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D3AA3" w14:textId="2393699F" w:rsidR="00931BA5" w:rsidRPr="00701439" w:rsidRDefault="00B778EC" w:rsidP="00E534C5">
      <w:pPr>
        <w:pStyle w:val="NoSpacing"/>
        <w:jc w:val="both"/>
        <w:rPr>
          <w:rStyle w:val="Strong"/>
          <w:sz w:val="20"/>
          <w:szCs w:val="20"/>
        </w:rPr>
      </w:pPr>
      <w:bookmarkStart w:id="0" w:name="_Hlk69131166"/>
      <w:r w:rsidRPr="00701439">
        <w:rPr>
          <w:noProof/>
          <w:sz w:val="20"/>
          <w:szCs w:val="20"/>
        </w:rPr>
        <w:drawing>
          <wp:anchor distT="0" distB="0" distL="114300" distR="114300" simplePos="0" relativeHeight="251658240" behindDoc="1" locked="0" layoutInCell="1" allowOverlap="1" wp14:anchorId="0EEAAB5F" wp14:editId="38E970F6">
            <wp:simplePos x="0" y="0"/>
            <wp:positionH relativeFrom="margin">
              <wp:align>center</wp:align>
            </wp:positionH>
            <wp:positionV relativeFrom="paragraph">
              <wp:posOffset>3810</wp:posOffset>
            </wp:positionV>
            <wp:extent cx="4367530" cy="882650"/>
            <wp:effectExtent l="0" t="0" r="0" b="0"/>
            <wp:wrapTight wrapText="bothSides">
              <wp:wrapPolygon edited="0">
                <wp:start x="0" y="0"/>
                <wp:lineTo x="0" y="20978"/>
                <wp:lineTo x="21481" y="20978"/>
                <wp:lineTo x="21481"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1" cstate="print">
                      <a:extLst>
                        <a:ext uri="{28A0092B-C50C-407E-A947-70E740481C1C}">
                          <a14:useLocalDpi xmlns:a14="http://schemas.microsoft.com/office/drawing/2010/main" val="0"/>
                        </a:ext>
                      </a:extLst>
                    </a:blip>
                    <a:srcRect l="6790" t="22279" r="6256" b="21047"/>
                    <a:stretch/>
                  </pic:blipFill>
                  <pic:spPr bwMode="auto">
                    <a:xfrm>
                      <a:off x="0" y="0"/>
                      <a:ext cx="4367530" cy="882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837D1B" w14:textId="728C64C8" w:rsidR="00931BA5" w:rsidRPr="00701439" w:rsidRDefault="00931BA5" w:rsidP="00E534C5">
      <w:pPr>
        <w:pStyle w:val="NoSpacing"/>
        <w:jc w:val="both"/>
        <w:rPr>
          <w:rStyle w:val="Strong"/>
          <w:sz w:val="20"/>
          <w:szCs w:val="20"/>
        </w:rPr>
      </w:pPr>
    </w:p>
    <w:p w14:paraId="018EFB65" w14:textId="77777777" w:rsidR="00931BA5" w:rsidRPr="00701439" w:rsidRDefault="00931BA5" w:rsidP="00E534C5">
      <w:pPr>
        <w:pStyle w:val="NoSpacing"/>
        <w:jc w:val="both"/>
        <w:rPr>
          <w:rStyle w:val="Strong"/>
          <w:sz w:val="20"/>
          <w:szCs w:val="20"/>
        </w:rPr>
      </w:pPr>
    </w:p>
    <w:p w14:paraId="293F3673" w14:textId="77777777" w:rsidR="00931BA5" w:rsidRPr="00701439" w:rsidRDefault="00931BA5" w:rsidP="00E534C5">
      <w:pPr>
        <w:pStyle w:val="NoSpacing"/>
        <w:jc w:val="both"/>
        <w:rPr>
          <w:rStyle w:val="Strong"/>
          <w:sz w:val="20"/>
          <w:szCs w:val="20"/>
        </w:rPr>
      </w:pPr>
    </w:p>
    <w:p w14:paraId="09718C20" w14:textId="77777777" w:rsidR="00B778EC" w:rsidRPr="00701439" w:rsidRDefault="00B778EC" w:rsidP="00B778EC">
      <w:pPr>
        <w:pStyle w:val="NoSpacing"/>
        <w:rPr>
          <w:rStyle w:val="Strong"/>
          <w:sz w:val="20"/>
          <w:szCs w:val="20"/>
        </w:rPr>
      </w:pPr>
    </w:p>
    <w:p w14:paraId="0263062D" w14:textId="77777777" w:rsidR="005E0421" w:rsidRPr="00701439" w:rsidRDefault="005E0421" w:rsidP="00B778EC">
      <w:pPr>
        <w:pStyle w:val="NoSpacing"/>
        <w:jc w:val="center"/>
        <w:rPr>
          <w:rStyle w:val="Strong"/>
          <w:sz w:val="20"/>
          <w:szCs w:val="20"/>
        </w:rPr>
      </w:pPr>
    </w:p>
    <w:p w14:paraId="794C8D20" w14:textId="429C5483" w:rsidR="00F01EC8" w:rsidRPr="00701439" w:rsidRDefault="00827C5D" w:rsidP="00B778EC">
      <w:pPr>
        <w:pStyle w:val="NoSpacing"/>
        <w:jc w:val="center"/>
        <w:rPr>
          <w:rStyle w:val="Strong"/>
          <w:sz w:val="20"/>
          <w:szCs w:val="20"/>
        </w:rPr>
      </w:pPr>
      <w:r w:rsidRPr="00701439">
        <w:rPr>
          <w:rStyle w:val="Strong"/>
          <w:sz w:val="20"/>
          <w:szCs w:val="20"/>
        </w:rPr>
        <w:t>Vanquis Banking Group</w:t>
      </w:r>
    </w:p>
    <w:p w14:paraId="08CEEB48" w14:textId="6A6CB434" w:rsidR="00F01EC8" w:rsidRPr="00701439" w:rsidRDefault="002A09A9" w:rsidP="00E534C5">
      <w:pPr>
        <w:pStyle w:val="NoSpacing"/>
        <w:jc w:val="center"/>
        <w:rPr>
          <w:rStyle w:val="Strong"/>
          <w:sz w:val="20"/>
          <w:szCs w:val="20"/>
        </w:rPr>
      </w:pPr>
      <w:r w:rsidRPr="00701439">
        <w:rPr>
          <w:rStyle w:val="Strong"/>
          <w:sz w:val="20"/>
          <w:szCs w:val="20"/>
        </w:rPr>
        <w:t>Preliminary</w:t>
      </w:r>
      <w:r w:rsidR="00931BA5" w:rsidRPr="00701439">
        <w:rPr>
          <w:rStyle w:val="Strong"/>
          <w:sz w:val="20"/>
          <w:szCs w:val="20"/>
        </w:rPr>
        <w:t xml:space="preserve"> results for the year ended </w:t>
      </w:r>
      <w:r w:rsidR="007F4FD2" w:rsidRPr="00701439">
        <w:rPr>
          <w:rStyle w:val="Strong"/>
          <w:sz w:val="20"/>
          <w:szCs w:val="20"/>
        </w:rPr>
        <w:t xml:space="preserve">31 </w:t>
      </w:r>
      <w:r w:rsidR="00931BA5" w:rsidRPr="00701439">
        <w:rPr>
          <w:rStyle w:val="Strong"/>
          <w:sz w:val="20"/>
          <w:szCs w:val="20"/>
        </w:rPr>
        <w:t>December 202</w:t>
      </w:r>
      <w:r w:rsidR="002F389C" w:rsidRPr="00701439">
        <w:rPr>
          <w:rStyle w:val="Strong"/>
          <w:sz w:val="20"/>
          <w:szCs w:val="20"/>
        </w:rPr>
        <w:t>2</w:t>
      </w:r>
    </w:p>
    <w:bookmarkEnd w:id="0"/>
    <w:p w14:paraId="0524D6F1" w14:textId="77777777" w:rsidR="00F01EC8" w:rsidRPr="00701439" w:rsidRDefault="00F01EC8" w:rsidP="00E534C5">
      <w:pPr>
        <w:pStyle w:val="NoSpacing"/>
        <w:jc w:val="both"/>
        <w:rPr>
          <w:sz w:val="20"/>
          <w:szCs w:val="20"/>
        </w:rPr>
      </w:pPr>
    </w:p>
    <w:p w14:paraId="71568E59" w14:textId="67024129" w:rsidR="00F01EC8" w:rsidRPr="00701439" w:rsidRDefault="00ED735A" w:rsidP="00E534C5">
      <w:pPr>
        <w:pStyle w:val="NoSpacing"/>
        <w:jc w:val="both"/>
        <w:rPr>
          <w:sz w:val="20"/>
          <w:szCs w:val="20"/>
        </w:rPr>
      </w:pPr>
      <w:r w:rsidRPr="00701439">
        <w:rPr>
          <w:sz w:val="20"/>
          <w:szCs w:val="20"/>
        </w:rPr>
        <w:t xml:space="preserve">Vanquis Banking Group </w:t>
      </w:r>
      <w:r w:rsidR="00F01EC8" w:rsidRPr="00701439">
        <w:rPr>
          <w:sz w:val="20"/>
          <w:szCs w:val="20"/>
        </w:rPr>
        <w:t>plc (‘the Group’)</w:t>
      </w:r>
      <w:r w:rsidR="009B42C7" w:rsidRPr="00701439">
        <w:rPr>
          <w:sz w:val="20"/>
          <w:szCs w:val="20"/>
        </w:rPr>
        <w:t xml:space="preserve">, a </w:t>
      </w:r>
      <w:r w:rsidR="00F01EC8" w:rsidRPr="00701439">
        <w:rPr>
          <w:sz w:val="20"/>
          <w:szCs w:val="20"/>
        </w:rPr>
        <w:t xml:space="preserve">leading </w:t>
      </w:r>
      <w:r w:rsidR="009B42C7" w:rsidRPr="00701439">
        <w:rPr>
          <w:sz w:val="20"/>
          <w:szCs w:val="20"/>
        </w:rPr>
        <w:t>specialist bank</w:t>
      </w:r>
      <w:r w:rsidR="00FD7D1A" w:rsidRPr="00701439">
        <w:rPr>
          <w:sz w:val="20"/>
          <w:szCs w:val="20"/>
        </w:rPr>
        <w:t>ing group</w:t>
      </w:r>
      <w:r w:rsidR="009B42C7" w:rsidRPr="00701439">
        <w:rPr>
          <w:sz w:val="20"/>
          <w:szCs w:val="20"/>
        </w:rPr>
        <w:t xml:space="preserve"> with a focus on </w:t>
      </w:r>
      <w:r w:rsidR="00076C87" w:rsidRPr="00701439">
        <w:rPr>
          <w:sz w:val="20"/>
          <w:szCs w:val="20"/>
        </w:rPr>
        <w:t>customers in the mid</w:t>
      </w:r>
      <w:r w:rsidR="00F90575" w:rsidRPr="00701439">
        <w:rPr>
          <w:sz w:val="20"/>
          <w:szCs w:val="20"/>
        </w:rPr>
        <w:t>-</w:t>
      </w:r>
      <w:r w:rsidR="0009010E" w:rsidRPr="00701439">
        <w:rPr>
          <w:sz w:val="20"/>
          <w:szCs w:val="20"/>
        </w:rPr>
        <w:t>cos</w:t>
      </w:r>
      <w:r w:rsidR="00076C87" w:rsidRPr="00701439">
        <w:rPr>
          <w:sz w:val="20"/>
          <w:szCs w:val="20"/>
        </w:rPr>
        <w:t>t and near-prime credit markets</w:t>
      </w:r>
      <w:r w:rsidR="009B42C7" w:rsidRPr="00701439">
        <w:rPr>
          <w:sz w:val="20"/>
          <w:szCs w:val="20"/>
        </w:rPr>
        <w:t>,</w:t>
      </w:r>
      <w:r w:rsidR="00931BA5" w:rsidRPr="00701439">
        <w:rPr>
          <w:sz w:val="20"/>
          <w:szCs w:val="20"/>
        </w:rPr>
        <w:t xml:space="preserve"> today publishes its results for the twelve months to the end of December 202</w:t>
      </w:r>
      <w:r w:rsidR="002F389C" w:rsidRPr="00701439">
        <w:rPr>
          <w:sz w:val="20"/>
          <w:szCs w:val="20"/>
        </w:rPr>
        <w:t>2</w:t>
      </w:r>
      <w:r w:rsidR="00931BA5" w:rsidRPr="00701439">
        <w:rPr>
          <w:sz w:val="20"/>
          <w:szCs w:val="20"/>
        </w:rPr>
        <w:t>, unless otherwise stated</w:t>
      </w:r>
      <w:r w:rsidR="007659F0" w:rsidRPr="00701439">
        <w:rPr>
          <w:sz w:val="20"/>
          <w:szCs w:val="20"/>
        </w:rPr>
        <w:t>.</w:t>
      </w:r>
    </w:p>
    <w:p w14:paraId="209FF262" w14:textId="77777777" w:rsidR="00F01EC8" w:rsidRPr="00701439" w:rsidRDefault="00F01EC8" w:rsidP="00E534C5">
      <w:pPr>
        <w:pStyle w:val="NoSpacing"/>
        <w:jc w:val="both"/>
        <w:rPr>
          <w:sz w:val="20"/>
          <w:szCs w:val="20"/>
        </w:rPr>
      </w:pPr>
    </w:p>
    <w:p w14:paraId="7827C344" w14:textId="77777777" w:rsidR="00E534C5" w:rsidRPr="00701439" w:rsidRDefault="00E534C5" w:rsidP="00E534C5">
      <w:pPr>
        <w:jc w:val="both"/>
        <w:rPr>
          <w:rStyle w:val="Strong"/>
          <w:rFonts w:asciiTheme="minorHAnsi" w:hAnsiTheme="minorHAnsi"/>
          <w:color w:val="4747FF"/>
          <w:sz w:val="22"/>
          <w:szCs w:val="22"/>
        </w:rPr>
      </w:pPr>
      <w:r w:rsidRPr="00701439">
        <w:rPr>
          <w:rStyle w:val="Strong"/>
          <w:rFonts w:asciiTheme="minorHAnsi" w:hAnsiTheme="minorHAnsi"/>
          <w:color w:val="4747FF"/>
          <w:sz w:val="22"/>
          <w:szCs w:val="22"/>
        </w:rPr>
        <w:t>Malcolm Le May, Chief Executive Officer, commented:</w:t>
      </w:r>
    </w:p>
    <w:p w14:paraId="3754F43C" w14:textId="5315791D" w:rsidR="00E534C5" w:rsidRPr="00701439" w:rsidRDefault="00E534C5" w:rsidP="00E534C5">
      <w:pPr>
        <w:jc w:val="both"/>
        <w:rPr>
          <w:rStyle w:val="Strong"/>
          <w:rFonts w:asciiTheme="minorHAnsi" w:eastAsiaTheme="minorHAnsi" w:hAnsiTheme="minorHAnsi" w:cstheme="minorBidi"/>
          <w:b w:val="0"/>
          <w:bCs w:val="0"/>
          <w:sz w:val="20"/>
          <w:szCs w:val="20"/>
          <w:lang w:eastAsia="en-US"/>
        </w:rPr>
      </w:pPr>
    </w:p>
    <w:p w14:paraId="101B63A5" w14:textId="35D745BB" w:rsidR="00FB506D" w:rsidRPr="00701439" w:rsidRDefault="0029619C" w:rsidP="00E534C5">
      <w:pPr>
        <w:jc w:val="both"/>
        <w:rPr>
          <w:rStyle w:val="Strong"/>
          <w:rFonts w:asciiTheme="minorHAnsi" w:eastAsiaTheme="minorHAnsi" w:hAnsiTheme="minorHAnsi" w:cstheme="minorBidi"/>
          <w:b w:val="0"/>
          <w:bCs w:val="0"/>
          <w:sz w:val="20"/>
          <w:szCs w:val="20"/>
          <w:lang w:eastAsia="en-US"/>
        </w:rPr>
      </w:pPr>
      <w:r w:rsidRPr="00701439">
        <w:rPr>
          <w:rStyle w:val="Strong"/>
          <w:rFonts w:asciiTheme="minorHAnsi" w:eastAsiaTheme="minorHAnsi" w:hAnsiTheme="minorHAnsi" w:cstheme="minorBidi"/>
          <w:b w:val="0"/>
          <w:bCs w:val="0"/>
          <w:sz w:val="20"/>
          <w:szCs w:val="20"/>
          <w:lang w:eastAsia="en-US"/>
        </w:rPr>
        <w:t>“</w:t>
      </w:r>
      <w:r w:rsidR="00FB506D" w:rsidRPr="00701439">
        <w:rPr>
          <w:rStyle w:val="Strong"/>
          <w:rFonts w:asciiTheme="minorHAnsi" w:eastAsiaTheme="minorHAnsi" w:hAnsiTheme="minorHAnsi" w:cstheme="minorBidi"/>
          <w:b w:val="0"/>
          <w:bCs w:val="0"/>
          <w:sz w:val="20"/>
          <w:szCs w:val="20"/>
          <w:lang w:eastAsia="en-US"/>
        </w:rPr>
        <w:t xml:space="preserve">I am pleased to report that the Group’s </w:t>
      </w:r>
      <w:r w:rsidR="0099681B" w:rsidRPr="00701439">
        <w:rPr>
          <w:rStyle w:val="Strong"/>
          <w:rFonts w:asciiTheme="minorHAnsi" w:eastAsiaTheme="minorHAnsi" w:hAnsiTheme="minorHAnsi" w:cstheme="minorBidi"/>
          <w:b w:val="0"/>
          <w:bCs w:val="0"/>
          <w:sz w:val="20"/>
          <w:szCs w:val="20"/>
          <w:lang w:eastAsia="en-US"/>
        </w:rPr>
        <w:t>adjusted profit before tax</w:t>
      </w:r>
      <w:r w:rsidR="00FB506D" w:rsidRPr="00701439">
        <w:rPr>
          <w:rStyle w:val="Strong"/>
          <w:rFonts w:asciiTheme="minorHAnsi" w:eastAsiaTheme="minorHAnsi" w:hAnsiTheme="minorHAnsi" w:cstheme="minorBidi"/>
          <w:b w:val="0"/>
          <w:bCs w:val="0"/>
          <w:sz w:val="20"/>
          <w:szCs w:val="20"/>
          <w:lang w:eastAsia="en-US"/>
        </w:rPr>
        <w:t xml:space="preserve"> for FY’22 </w:t>
      </w:r>
      <w:r w:rsidR="000E55D9" w:rsidRPr="00701439">
        <w:rPr>
          <w:rStyle w:val="Strong"/>
          <w:rFonts w:asciiTheme="minorHAnsi" w:eastAsiaTheme="minorHAnsi" w:hAnsiTheme="minorHAnsi" w:cstheme="minorBidi"/>
          <w:b w:val="0"/>
          <w:bCs w:val="0"/>
          <w:sz w:val="20"/>
          <w:szCs w:val="20"/>
          <w:lang w:eastAsia="en-US"/>
        </w:rPr>
        <w:t xml:space="preserve">is </w:t>
      </w:r>
      <w:r w:rsidR="00217A19" w:rsidRPr="00701439">
        <w:rPr>
          <w:rStyle w:val="Strong"/>
          <w:rFonts w:asciiTheme="minorHAnsi" w:eastAsiaTheme="minorHAnsi" w:hAnsiTheme="minorHAnsi" w:cstheme="minorBidi"/>
          <w:b w:val="0"/>
          <w:bCs w:val="0"/>
          <w:sz w:val="20"/>
          <w:szCs w:val="20"/>
          <w:lang w:eastAsia="en-US"/>
        </w:rPr>
        <w:t>marginally</w:t>
      </w:r>
      <w:r w:rsidR="007A0ABF" w:rsidRPr="00701439">
        <w:rPr>
          <w:rStyle w:val="Strong"/>
          <w:rFonts w:asciiTheme="minorHAnsi" w:eastAsiaTheme="minorHAnsi" w:hAnsiTheme="minorHAnsi" w:cstheme="minorBidi"/>
          <w:b w:val="0"/>
          <w:bCs w:val="0"/>
          <w:sz w:val="20"/>
          <w:szCs w:val="20"/>
          <w:lang w:eastAsia="en-US"/>
        </w:rPr>
        <w:t xml:space="preserve"> </w:t>
      </w:r>
      <w:r w:rsidR="000E55D9" w:rsidRPr="00701439">
        <w:rPr>
          <w:rStyle w:val="Strong"/>
          <w:rFonts w:asciiTheme="minorHAnsi" w:eastAsiaTheme="minorHAnsi" w:hAnsiTheme="minorHAnsi" w:cstheme="minorBidi"/>
          <w:b w:val="0"/>
          <w:bCs w:val="0"/>
          <w:sz w:val="20"/>
          <w:szCs w:val="20"/>
          <w:lang w:eastAsia="en-US"/>
        </w:rPr>
        <w:t xml:space="preserve">ahead of market </w:t>
      </w:r>
      <w:r w:rsidR="0099681B" w:rsidRPr="00701439">
        <w:rPr>
          <w:rStyle w:val="Strong"/>
          <w:rFonts w:asciiTheme="minorHAnsi" w:eastAsiaTheme="minorHAnsi" w:hAnsiTheme="minorHAnsi" w:cstheme="minorBidi"/>
          <w:b w:val="0"/>
          <w:bCs w:val="0"/>
          <w:sz w:val="20"/>
          <w:szCs w:val="20"/>
          <w:lang w:eastAsia="en-US"/>
        </w:rPr>
        <w:t xml:space="preserve">expectations. </w:t>
      </w:r>
      <w:r w:rsidR="00335030" w:rsidRPr="00701439">
        <w:rPr>
          <w:rStyle w:val="Strong"/>
          <w:rFonts w:asciiTheme="minorHAnsi" w:eastAsiaTheme="minorHAnsi" w:hAnsiTheme="minorHAnsi" w:cstheme="minorBidi"/>
          <w:b w:val="0"/>
          <w:bCs w:val="0"/>
          <w:sz w:val="20"/>
          <w:szCs w:val="20"/>
          <w:lang w:eastAsia="en-US"/>
        </w:rPr>
        <w:t>This excellent result reflects another year of important</w:t>
      </w:r>
      <w:r w:rsidR="00BE69D7" w:rsidRPr="00701439">
        <w:rPr>
          <w:rStyle w:val="Strong"/>
          <w:rFonts w:asciiTheme="minorHAnsi" w:eastAsiaTheme="minorHAnsi" w:hAnsiTheme="minorHAnsi" w:cstheme="minorBidi"/>
          <w:b w:val="0"/>
          <w:bCs w:val="0"/>
          <w:sz w:val="20"/>
          <w:szCs w:val="20"/>
          <w:lang w:eastAsia="en-US"/>
        </w:rPr>
        <w:t xml:space="preserve"> strategic</w:t>
      </w:r>
      <w:r w:rsidR="00335030" w:rsidRPr="00701439">
        <w:rPr>
          <w:rStyle w:val="Strong"/>
          <w:rFonts w:asciiTheme="minorHAnsi" w:eastAsiaTheme="minorHAnsi" w:hAnsiTheme="minorHAnsi" w:cstheme="minorBidi"/>
          <w:b w:val="0"/>
          <w:bCs w:val="0"/>
          <w:sz w:val="20"/>
          <w:szCs w:val="20"/>
          <w:lang w:eastAsia="en-US"/>
        </w:rPr>
        <w:t xml:space="preserve"> change</w:t>
      </w:r>
      <w:r w:rsidR="00CE794B" w:rsidRPr="00701439">
        <w:rPr>
          <w:rStyle w:val="Strong"/>
          <w:rFonts w:asciiTheme="minorHAnsi" w:eastAsiaTheme="minorHAnsi" w:hAnsiTheme="minorHAnsi" w:cstheme="minorBidi"/>
          <w:b w:val="0"/>
          <w:bCs w:val="0"/>
          <w:sz w:val="20"/>
          <w:szCs w:val="20"/>
          <w:lang w:eastAsia="en-US"/>
        </w:rPr>
        <w:t xml:space="preserve"> and progress</w:t>
      </w:r>
      <w:r w:rsidR="00335030" w:rsidRPr="00701439">
        <w:rPr>
          <w:rStyle w:val="Strong"/>
          <w:rFonts w:asciiTheme="minorHAnsi" w:eastAsiaTheme="minorHAnsi" w:hAnsiTheme="minorHAnsi" w:cstheme="minorBidi"/>
          <w:b w:val="0"/>
          <w:bCs w:val="0"/>
          <w:sz w:val="20"/>
          <w:szCs w:val="20"/>
          <w:lang w:eastAsia="en-US"/>
        </w:rPr>
        <w:t xml:space="preserve"> for the Group and is the culmination of </w:t>
      </w:r>
      <w:r w:rsidR="0071397A" w:rsidRPr="00701439">
        <w:rPr>
          <w:rStyle w:val="Strong"/>
          <w:rFonts w:asciiTheme="minorHAnsi" w:eastAsiaTheme="minorHAnsi" w:hAnsiTheme="minorHAnsi" w:cstheme="minorBidi"/>
          <w:b w:val="0"/>
          <w:bCs w:val="0"/>
          <w:sz w:val="20"/>
          <w:szCs w:val="20"/>
          <w:lang w:eastAsia="en-US"/>
        </w:rPr>
        <w:t xml:space="preserve">the </w:t>
      </w:r>
      <w:r w:rsidR="00335030" w:rsidRPr="00701439">
        <w:rPr>
          <w:rStyle w:val="Strong"/>
          <w:rFonts w:asciiTheme="minorHAnsi" w:eastAsiaTheme="minorHAnsi" w:hAnsiTheme="minorHAnsi" w:cstheme="minorBidi"/>
          <w:b w:val="0"/>
          <w:bCs w:val="0"/>
          <w:sz w:val="20"/>
          <w:szCs w:val="20"/>
          <w:lang w:eastAsia="en-US"/>
        </w:rPr>
        <w:t xml:space="preserve">hard work and dedication of colleagues across </w:t>
      </w:r>
      <w:r w:rsidR="00732F5E" w:rsidRPr="00701439">
        <w:rPr>
          <w:rStyle w:val="Strong"/>
          <w:rFonts w:asciiTheme="minorHAnsi" w:eastAsiaTheme="minorHAnsi" w:hAnsiTheme="minorHAnsi" w:cstheme="minorBidi"/>
          <w:b w:val="0"/>
          <w:bCs w:val="0"/>
          <w:sz w:val="20"/>
          <w:szCs w:val="20"/>
          <w:lang w:eastAsia="en-US"/>
        </w:rPr>
        <w:t>Vanquis Banking Group</w:t>
      </w:r>
      <w:r w:rsidR="0071397A" w:rsidRPr="00701439">
        <w:rPr>
          <w:rStyle w:val="Strong"/>
          <w:rFonts w:asciiTheme="minorHAnsi" w:eastAsiaTheme="minorHAnsi" w:hAnsiTheme="minorHAnsi" w:cstheme="minorBidi"/>
          <w:b w:val="0"/>
          <w:bCs w:val="0"/>
          <w:sz w:val="20"/>
          <w:szCs w:val="20"/>
          <w:lang w:eastAsia="en-US"/>
        </w:rPr>
        <w:t xml:space="preserve"> to whom </w:t>
      </w:r>
      <w:r w:rsidR="00434890" w:rsidRPr="00701439">
        <w:rPr>
          <w:rStyle w:val="Strong"/>
          <w:rFonts w:asciiTheme="minorHAnsi" w:eastAsiaTheme="minorHAnsi" w:hAnsiTheme="minorHAnsi" w:cstheme="minorBidi"/>
          <w:b w:val="0"/>
          <w:bCs w:val="0"/>
          <w:sz w:val="20"/>
          <w:szCs w:val="20"/>
          <w:lang w:eastAsia="en-US"/>
        </w:rPr>
        <w:t>the Board and I</w:t>
      </w:r>
      <w:r w:rsidR="0071397A" w:rsidRPr="00701439">
        <w:rPr>
          <w:rStyle w:val="Strong"/>
          <w:rFonts w:asciiTheme="minorHAnsi" w:eastAsiaTheme="minorHAnsi" w:hAnsiTheme="minorHAnsi" w:cstheme="minorBidi"/>
          <w:b w:val="0"/>
          <w:bCs w:val="0"/>
          <w:sz w:val="20"/>
          <w:szCs w:val="20"/>
          <w:lang w:eastAsia="en-US"/>
        </w:rPr>
        <w:t xml:space="preserve"> </w:t>
      </w:r>
      <w:r w:rsidR="00434890" w:rsidRPr="00701439">
        <w:rPr>
          <w:rStyle w:val="Strong"/>
          <w:rFonts w:asciiTheme="minorHAnsi" w:eastAsiaTheme="minorHAnsi" w:hAnsiTheme="minorHAnsi" w:cstheme="minorBidi"/>
          <w:b w:val="0"/>
          <w:bCs w:val="0"/>
          <w:sz w:val="20"/>
          <w:szCs w:val="20"/>
          <w:lang w:eastAsia="en-US"/>
        </w:rPr>
        <w:t>are</w:t>
      </w:r>
      <w:r w:rsidR="0071397A" w:rsidRPr="00701439">
        <w:rPr>
          <w:rStyle w:val="Strong"/>
          <w:rFonts w:asciiTheme="minorHAnsi" w:eastAsiaTheme="minorHAnsi" w:hAnsiTheme="minorHAnsi" w:cstheme="minorBidi"/>
          <w:b w:val="0"/>
          <w:bCs w:val="0"/>
          <w:sz w:val="20"/>
          <w:szCs w:val="20"/>
          <w:lang w:eastAsia="en-US"/>
        </w:rPr>
        <w:t xml:space="preserve"> extremely grateful. </w:t>
      </w:r>
    </w:p>
    <w:p w14:paraId="2384BB3B" w14:textId="77777777" w:rsidR="0071397A" w:rsidRPr="00701439" w:rsidRDefault="0071397A" w:rsidP="00E534C5">
      <w:pPr>
        <w:jc w:val="both"/>
        <w:rPr>
          <w:rStyle w:val="Strong"/>
          <w:rFonts w:asciiTheme="minorHAnsi" w:eastAsiaTheme="minorHAnsi" w:hAnsiTheme="minorHAnsi" w:cstheme="minorBidi"/>
          <w:b w:val="0"/>
          <w:bCs w:val="0"/>
          <w:sz w:val="20"/>
          <w:szCs w:val="20"/>
          <w:lang w:eastAsia="en-US"/>
        </w:rPr>
      </w:pPr>
    </w:p>
    <w:p w14:paraId="00707AED" w14:textId="2A4C1061" w:rsidR="00990717" w:rsidRPr="00701439" w:rsidRDefault="00354E0C" w:rsidP="00E534C5">
      <w:pPr>
        <w:jc w:val="both"/>
        <w:rPr>
          <w:rStyle w:val="Strong"/>
          <w:rFonts w:asciiTheme="minorHAnsi" w:eastAsiaTheme="minorHAnsi" w:hAnsiTheme="minorHAnsi" w:cstheme="minorBidi"/>
          <w:b w:val="0"/>
          <w:bCs w:val="0"/>
          <w:sz w:val="20"/>
          <w:szCs w:val="20"/>
          <w:lang w:eastAsia="en-US"/>
        </w:rPr>
      </w:pPr>
      <w:r w:rsidRPr="00701439">
        <w:rPr>
          <w:rStyle w:val="Strong"/>
          <w:rFonts w:asciiTheme="minorHAnsi" w:eastAsiaTheme="minorHAnsi" w:hAnsiTheme="minorHAnsi" w:cstheme="minorBidi"/>
          <w:b w:val="0"/>
          <w:bCs w:val="0"/>
          <w:sz w:val="20"/>
          <w:szCs w:val="20"/>
          <w:lang w:eastAsia="en-US"/>
        </w:rPr>
        <w:t xml:space="preserve">We have delivered a substantial amount </w:t>
      </w:r>
      <w:r w:rsidR="00A764AA" w:rsidRPr="00701439">
        <w:rPr>
          <w:rStyle w:val="Strong"/>
          <w:rFonts w:asciiTheme="minorHAnsi" w:eastAsiaTheme="minorHAnsi" w:hAnsiTheme="minorHAnsi" w:cstheme="minorBidi"/>
          <w:b w:val="0"/>
          <w:bCs w:val="0"/>
          <w:sz w:val="20"/>
          <w:szCs w:val="20"/>
          <w:lang w:eastAsia="en-US"/>
        </w:rPr>
        <w:t>of</w:t>
      </w:r>
      <w:r w:rsidR="00703DC0" w:rsidRPr="00701439">
        <w:rPr>
          <w:rStyle w:val="Strong"/>
          <w:rFonts w:asciiTheme="minorHAnsi" w:eastAsiaTheme="minorHAnsi" w:hAnsiTheme="minorHAnsi" w:cstheme="minorBidi"/>
          <w:b w:val="0"/>
          <w:bCs w:val="0"/>
          <w:sz w:val="20"/>
          <w:szCs w:val="20"/>
          <w:lang w:eastAsia="en-US"/>
        </w:rPr>
        <w:t xml:space="preserve"> progress </w:t>
      </w:r>
      <w:r w:rsidRPr="00701439">
        <w:rPr>
          <w:rStyle w:val="Strong"/>
          <w:rFonts w:asciiTheme="minorHAnsi" w:eastAsiaTheme="minorHAnsi" w:hAnsiTheme="minorHAnsi" w:cstheme="minorBidi"/>
          <w:b w:val="0"/>
          <w:bCs w:val="0"/>
          <w:sz w:val="20"/>
          <w:szCs w:val="20"/>
          <w:lang w:eastAsia="en-US"/>
        </w:rPr>
        <w:t>since I took over as CEO in</w:t>
      </w:r>
      <w:r w:rsidR="00D46F61" w:rsidRPr="00701439">
        <w:rPr>
          <w:rStyle w:val="Strong"/>
          <w:rFonts w:asciiTheme="minorHAnsi" w:eastAsiaTheme="minorHAnsi" w:hAnsiTheme="minorHAnsi" w:cstheme="minorBidi"/>
          <w:b w:val="0"/>
          <w:bCs w:val="0"/>
          <w:sz w:val="20"/>
          <w:szCs w:val="20"/>
          <w:lang w:eastAsia="en-US"/>
        </w:rPr>
        <w:t xml:space="preserve"> </w:t>
      </w:r>
      <w:r w:rsidR="00E037BE" w:rsidRPr="00701439">
        <w:rPr>
          <w:rStyle w:val="Strong"/>
          <w:rFonts w:asciiTheme="minorHAnsi" w:eastAsiaTheme="minorHAnsi" w:hAnsiTheme="minorHAnsi" w:cstheme="minorBidi"/>
          <w:b w:val="0"/>
          <w:bCs w:val="0"/>
          <w:sz w:val="20"/>
          <w:szCs w:val="20"/>
          <w:lang w:eastAsia="en-US"/>
        </w:rPr>
        <w:t xml:space="preserve">February </w:t>
      </w:r>
      <w:r w:rsidR="00D46F61" w:rsidRPr="00701439">
        <w:rPr>
          <w:rStyle w:val="Strong"/>
          <w:rFonts w:asciiTheme="minorHAnsi" w:eastAsiaTheme="minorHAnsi" w:hAnsiTheme="minorHAnsi" w:cstheme="minorBidi"/>
          <w:b w:val="0"/>
          <w:bCs w:val="0"/>
          <w:sz w:val="20"/>
          <w:szCs w:val="20"/>
          <w:lang w:eastAsia="en-US"/>
        </w:rPr>
        <w:t>2018</w:t>
      </w:r>
      <w:r w:rsidR="007828B8" w:rsidRPr="00701439">
        <w:rPr>
          <w:rStyle w:val="Strong"/>
          <w:rFonts w:asciiTheme="minorHAnsi" w:eastAsiaTheme="minorHAnsi" w:hAnsiTheme="minorHAnsi" w:cstheme="minorBidi"/>
          <w:b w:val="0"/>
          <w:bCs w:val="0"/>
          <w:sz w:val="20"/>
          <w:szCs w:val="20"/>
          <w:lang w:eastAsia="en-US"/>
        </w:rPr>
        <w:t xml:space="preserve"> and </w:t>
      </w:r>
      <w:r w:rsidR="00851BF9" w:rsidRPr="00701439">
        <w:rPr>
          <w:rStyle w:val="Strong"/>
          <w:rFonts w:asciiTheme="minorHAnsi" w:eastAsiaTheme="minorHAnsi" w:hAnsiTheme="minorHAnsi" w:cstheme="minorBidi"/>
          <w:b w:val="0"/>
          <w:bCs w:val="0"/>
          <w:sz w:val="20"/>
          <w:szCs w:val="20"/>
          <w:lang w:eastAsia="en-US"/>
        </w:rPr>
        <w:t xml:space="preserve">2022 was another important year </w:t>
      </w:r>
      <w:r w:rsidR="00C1160F" w:rsidRPr="00701439">
        <w:rPr>
          <w:rStyle w:val="Strong"/>
          <w:rFonts w:asciiTheme="minorHAnsi" w:eastAsiaTheme="minorHAnsi" w:hAnsiTheme="minorHAnsi" w:cstheme="minorBidi"/>
          <w:b w:val="0"/>
          <w:bCs w:val="0"/>
          <w:sz w:val="20"/>
          <w:szCs w:val="20"/>
          <w:lang w:eastAsia="en-US"/>
        </w:rPr>
        <w:t xml:space="preserve">of strategic </w:t>
      </w:r>
      <w:r w:rsidR="007658D4" w:rsidRPr="00701439">
        <w:rPr>
          <w:rStyle w:val="Strong"/>
          <w:rFonts w:asciiTheme="minorHAnsi" w:eastAsiaTheme="minorHAnsi" w:hAnsiTheme="minorHAnsi" w:cstheme="minorBidi"/>
          <w:b w:val="0"/>
          <w:bCs w:val="0"/>
          <w:sz w:val="20"/>
          <w:szCs w:val="20"/>
          <w:lang w:eastAsia="en-US"/>
        </w:rPr>
        <w:t>development</w:t>
      </w:r>
      <w:r w:rsidR="00C1160F" w:rsidRPr="00701439">
        <w:rPr>
          <w:rStyle w:val="Strong"/>
          <w:rFonts w:asciiTheme="minorHAnsi" w:eastAsiaTheme="minorHAnsi" w:hAnsiTheme="minorHAnsi" w:cstheme="minorBidi"/>
          <w:b w:val="0"/>
          <w:bCs w:val="0"/>
          <w:sz w:val="20"/>
          <w:szCs w:val="20"/>
          <w:lang w:eastAsia="en-US"/>
        </w:rPr>
        <w:t xml:space="preserve"> for</w:t>
      </w:r>
      <w:r w:rsidR="00851BF9" w:rsidRPr="00701439">
        <w:rPr>
          <w:rStyle w:val="Strong"/>
          <w:rFonts w:asciiTheme="minorHAnsi" w:eastAsiaTheme="minorHAnsi" w:hAnsiTheme="minorHAnsi" w:cstheme="minorBidi"/>
          <w:b w:val="0"/>
          <w:bCs w:val="0"/>
          <w:sz w:val="20"/>
          <w:szCs w:val="20"/>
          <w:lang w:eastAsia="en-US"/>
        </w:rPr>
        <w:t xml:space="preserve"> the Grou</w:t>
      </w:r>
      <w:r w:rsidR="00F02CFB" w:rsidRPr="00701439">
        <w:rPr>
          <w:rStyle w:val="Strong"/>
          <w:rFonts w:asciiTheme="minorHAnsi" w:eastAsiaTheme="minorHAnsi" w:hAnsiTheme="minorHAnsi" w:cstheme="minorBidi"/>
          <w:b w:val="0"/>
          <w:bCs w:val="0"/>
          <w:sz w:val="20"/>
          <w:szCs w:val="20"/>
          <w:lang w:eastAsia="en-US"/>
        </w:rPr>
        <w:t>p</w:t>
      </w:r>
      <w:r w:rsidR="00B10A0D" w:rsidRPr="00701439">
        <w:rPr>
          <w:rStyle w:val="Strong"/>
          <w:rFonts w:asciiTheme="minorHAnsi" w:eastAsiaTheme="minorHAnsi" w:hAnsiTheme="minorHAnsi" w:cstheme="minorBidi"/>
          <w:b w:val="0"/>
          <w:bCs w:val="0"/>
          <w:sz w:val="20"/>
          <w:szCs w:val="20"/>
          <w:lang w:eastAsia="en-US"/>
        </w:rPr>
        <w:t>. W</w:t>
      </w:r>
      <w:r w:rsidR="00C1160F" w:rsidRPr="00701439">
        <w:rPr>
          <w:rStyle w:val="Strong"/>
          <w:rFonts w:asciiTheme="minorHAnsi" w:eastAsiaTheme="minorHAnsi" w:hAnsiTheme="minorHAnsi" w:cstheme="minorBidi"/>
          <w:b w:val="0"/>
          <w:bCs w:val="0"/>
          <w:sz w:val="20"/>
          <w:szCs w:val="20"/>
          <w:lang w:eastAsia="en-US"/>
        </w:rPr>
        <w:t xml:space="preserve">e </w:t>
      </w:r>
      <w:r w:rsidR="00BA1E31" w:rsidRPr="00701439">
        <w:rPr>
          <w:rStyle w:val="Strong"/>
          <w:rFonts w:asciiTheme="minorHAnsi" w:eastAsiaTheme="minorHAnsi" w:hAnsiTheme="minorHAnsi" w:cstheme="minorBidi"/>
          <w:b w:val="0"/>
          <w:bCs w:val="0"/>
          <w:sz w:val="20"/>
          <w:szCs w:val="20"/>
          <w:lang w:eastAsia="en-US"/>
        </w:rPr>
        <w:t>reinforced</w:t>
      </w:r>
      <w:r w:rsidR="00C1160F" w:rsidRPr="00701439">
        <w:rPr>
          <w:rStyle w:val="Strong"/>
          <w:rFonts w:asciiTheme="minorHAnsi" w:eastAsiaTheme="minorHAnsi" w:hAnsiTheme="minorHAnsi" w:cstheme="minorBidi"/>
          <w:b w:val="0"/>
          <w:bCs w:val="0"/>
          <w:sz w:val="20"/>
          <w:szCs w:val="20"/>
          <w:lang w:eastAsia="en-US"/>
        </w:rPr>
        <w:t xml:space="preserve"> </w:t>
      </w:r>
      <w:r w:rsidR="00B10A0D" w:rsidRPr="00701439">
        <w:rPr>
          <w:rStyle w:val="Strong"/>
          <w:rFonts w:asciiTheme="minorHAnsi" w:eastAsiaTheme="minorHAnsi" w:hAnsiTheme="minorHAnsi" w:cstheme="minorBidi"/>
          <w:b w:val="0"/>
          <w:bCs w:val="0"/>
          <w:sz w:val="20"/>
          <w:szCs w:val="20"/>
          <w:lang w:eastAsia="en-US"/>
        </w:rPr>
        <w:t>our</w:t>
      </w:r>
      <w:r w:rsidR="00C1160F" w:rsidRPr="00701439">
        <w:rPr>
          <w:rStyle w:val="Strong"/>
          <w:rFonts w:asciiTheme="minorHAnsi" w:eastAsiaTheme="minorHAnsi" w:hAnsiTheme="minorHAnsi" w:cstheme="minorBidi"/>
          <w:b w:val="0"/>
          <w:bCs w:val="0"/>
          <w:sz w:val="20"/>
          <w:szCs w:val="20"/>
          <w:lang w:eastAsia="en-US"/>
        </w:rPr>
        <w:t xml:space="preserve"> </w:t>
      </w:r>
      <w:r w:rsidR="00244D8F" w:rsidRPr="00701439">
        <w:rPr>
          <w:rStyle w:val="Strong"/>
          <w:rFonts w:asciiTheme="minorHAnsi" w:eastAsiaTheme="minorHAnsi" w:hAnsiTheme="minorHAnsi" w:cstheme="minorBidi"/>
          <w:b w:val="0"/>
          <w:bCs w:val="0"/>
          <w:sz w:val="20"/>
          <w:szCs w:val="20"/>
          <w:lang w:eastAsia="en-US"/>
        </w:rPr>
        <w:t>re</w:t>
      </w:r>
      <w:r w:rsidR="00BA1E31" w:rsidRPr="00701439">
        <w:rPr>
          <w:rStyle w:val="Strong"/>
          <w:rFonts w:asciiTheme="minorHAnsi" w:eastAsiaTheme="minorHAnsi" w:hAnsiTheme="minorHAnsi" w:cstheme="minorBidi"/>
          <w:b w:val="0"/>
          <w:bCs w:val="0"/>
          <w:sz w:val="20"/>
          <w:szCs w:val="20"/>
          <w:lang w:eastAsia="en-US"/>
        </w:rPr>
        <w:t>position</w:t>
      </w:r>
      <w:r w:rsidR="00244D8F" w:rsidRPr="00701439">
        <w:rPr>
          <w:rStyle w:val="Strong"/>
          <w:rFonts w:asciiTheme="minorHAnsi" w:eastAsiaTheme="minorHAnsi" w:hAnsiTheme="minorHAnsi" w:cstheme="minorBidi"/>
          <w:b w:val="0"/>
          <w:bCs w:val="0"/>
          <w:sz w:val="20"/>
          <w:szCs w:val="20"/>
          <w:lang w:eastAsia="en-US"/>
        </w:rPr>
        <w:t>ing</w:t>
      </w:r>
      <w:r w:rsidR="00C1160F" w:rsidRPr="00701439">
        <w:rPr>
          <w:rStyle w:val="Strong"/>
          <w:rFonts w:asciiTheme="minorHAnsi" w:eastAsiaTheme="minorHAnsi" w:hAnsiTheme="minorHAnsi" w:cstheme="minorBidi"/>
          <w:b w:val="0"/>
          <w:bCs w:val="0"/>
          <w:sz w:val="20"/>
          <w:szCs w:val="20"/>
          <w:lang w:eastAsia="en-US"/>
        </w:rPr>
        <w:t xml:space="preserve"> as a leading specialist banking group</w:t>
      </w:r>
      <w:r w:rsidR="00BA1E31" w:rsidRPr="00701439">
        <w:rPr>
          <w:rStyle w:val="Strong"/>
          <w:rFonts w:asciiTheme="minorHAnsi" w:eastAsiaTheme="minorHAnsi" w:hAnsiTheme="minorHAnsi" w:cstheme="minorBidi"/>
          <w:b w:val="0"/>
          <w:bCs w:val="0"/>
          <w:sz w:val="20"/>
          <w:szCs w:val="20"/>
          <w:lang w:eastAsia="en-US"/>
        </w:rPr>
        <w:t xml:space="preserve"> </w:t>
      </w:r>
      <w:r w:rsidR="00F02CFB" w:rsidRPr="00701439">
        <w:rPr>
          <w:rStyle w:val="Strong"/>
          <w:rFonts w:asciiTheme="minorHAnsi" w:eastAsiaTheme="minorHAnsi" w:hAnsiTheme="minorHAnsi" w:cstheme="minorBidi"/>
          <w:b w:val="0"/>
          <w:bCs w:val="0"/>
          <w:sz w:val="20"/>
          <w:szCs w:val="20"/>
          <w:lang w:eastAsia="en-US"/>
        </w:rPr>
        <w:t>in the mid-cost and near-prime parts of the</w:t>
      </w:r>
      <w:r w:rsidR="00925934" w:rsidRPr="00701439">
        <w:rPr>
          <w:rStyle w:val="Strong"/>
          <w:rFonts w:asciiTheme="minorHAnsi" w:eastAsiaTheme="minorHAnsi" w:hAnsiTheme="minorHAnsi" w:cstheme="minorBidi"/>
          <w:b w:val="0"/>
          <w:bCs w:val="0"/>
          <w:sz w:val="20"/>
          <w:szCs w:val="20"/>
          <w:lang w:eastAsia="en-US"/>
        </w:rPr>
        <w:t xml:space="preserve"> credit</w:t>
      </w:r>
      <w:r w:rsidR="00F02CFB" w:rsidRPr="00701439">
        <w:rPr>
          <w:rStyle w:val="Strong"/>
          <w:rFonts w:asciiTheme="minorHAnsi" w:eastAsiaTheme="minorHAnsi" w:hAnsiTheme="minorHAnsi" w:cstheme="minorBidi"/>
          <w:b w:val="0"/>
          <w:bCs w:val="0"/>
          <w:sz w:val="20"/>
          <w:szCs w:val="20"/>
          <w:lang w:eastAsia="en-US"/>
        </w:rPr>
        <w:t xml:space="preserve"> market </w:t>
      </w:r>
      <w:r w:rsidR="008C14FD" w:rsidRPr="00701439">
        <w:rPr>
          <w:rStyle w:val="Strong"/>
          <w:rFonts w:asciiTheme="minorHAnsi" w:eastAsiaTheme="minorHAnsi" w:hAnsiTheme="minorHAnsi" w:cstheme="minorBidi"/>
          <w:b w:val="0"/>
          <w:bCs w:val="0"/>
          <w:sz w:val="20"/>
          <w:szCs w:val="20"/>
          <w:lang w:eastAsia="en-US"/>
        </w:rPr>
        <w:t>with a focus</w:t>
      </w:r>
      <w:r w:rsidR="00F02CFB" w:rsidRPr="00701439">
        <w:rPr>
          <w:rStyle w:val="Strong"/>
          <w:rFonts w:asciiTheme="minorHAnsi" w:eastAsiaTheme="minorHAnsi" w:hAnsiTheme="minorHAnsi" w:cstheme="minorBidi"/>
          <w:b w:val="0"/>
          <w:bCs w:val="0"/>
          <w:sz w:val="20"/>
          <w:szCs w:val="20"/>
          <w:lang w:eastAsia="en-US"/>
        </w:rPr>
        <w:t xml:space="preserve"> on </w:t>
      </w:r>
      <w:r w:rsidR="00751A3E" w:rsidRPr="00701439">
        <w:rPr>
          <w:rStyle w:val="Strong"/>
          <w:rFonts w:asciiTheme="minorHAnsi" w:eastAsiaTheme="minorHAnsi" w:hAnsiTheme="minorHAnsi" w:cstheme="minorBidi"/>
          <w:b w:val="0"/>
          <w:bCs w:val="0"/>
          <w:sz w:val="20"/>
          <w:szCs w:val="20"/>
          <w:lang w:eastAsia="en-US"/>
        </w:rPr>
        <w:t>lower risk customers</w:t>
      </w:r>
      <w:r w:rsidR="006E0A7A" w:rsidRPr="00701439">
        <w:rPr>
          <w:rStyle w:val="Strong"/>
          <w:rFonts w:asciiTheme="minorHAnsi" w:eastAsiaTheme="minorHAnsi" w:hAnsiTheme="minorHAnsi" w:cstheme="minorBidi"/>
          <w:b w:val="0"/>
          <w:bCs w:val="0"/>
          <w:sz w:val="20"/>
          <w:szCs w:val="20"/>
          <w:lang w:eastAsia="en-US"/>
        </w:rPr>
        <w:t xml:space="preserve">, which </w:t>
      </w:r>
      <w:r w:rsidR="00BA1E31" w:rsidRPr="00701439">
        <w:rPr>
          <w:rStyle w:val="Strong"/>
          <w:rFonts w:asciiTheme="minorHAnsi" w:eastAsiaTheme="minorHAnsi" w:hAnsiTheme="minorHAnsi" w:cstheme="minorBidi"/>
          <w:b w:val="0"/>
          <w:bCs w:val="0"/>
          <w:sz w:val="20"/>
          <w:szCs w:val="20"/>
          <w:lang w:eastAsia="en-US"/>
        </w:rPr>
        <w:t>has resulted</w:t>
      </w:r>
      <w:r w:rsidR="00751A3E" w:rsidRPr="00701439">
        <w:rPr>
          <w:rStyle w:val="Strong"/>
          <w:rFonts w:asciiTheme="minorHAnsi" w:eastAsiaTheme="minorHAnsi" w:hAnsiTheme="minorHAnsi" w:cstheme="minorBidi"/>
          <w:b w:val="0"/>
          <w:bCs w:val="0"/>
          <w:sz w:val="20"/>
          <w:szCs w:val="20"/>
          <w:lang w:eastAsia="en-US"/>
        </w:rPr>
        <w:t xml:space="preserve"> </w:t>
      </w:r>
      <w:r w:rsidR="00D069A3" w:rsidRPr="00701439">
        <w:rPr>
          <w:rStyle w:val="Strong"/>
          <w:rFonts w:asciiTheme="minorHAnsi" w:eastAsiaTheme="minorHAnsi" w:hAnsiTheme="minorHAnsi" w:cstheme="minorBidi"/>
          <w:b w:val="0"/>
          <w:bCs w:val="0"/>
          <w:sz w:val="20"/>
          <w:szCs w:val="20"/>
          <w:lang w:eastAsia="en-US"/>
        </w:rPr>
        <w:t>in</w:t>
      </w:r>
      <w:r w:rsidR="00751A3E" w:rsidRPr="00701439">
        <w:rPr>
          <w:rStyle w:val="Strong"/>
          <w:rFonts w:asciiTheme="minorHAnsi" w:eastAsiaTheme="minorHAnsi" w:hAnsiTheme="minorHAnsi" w:cstheme="minorBidi"/>
          <w:b w:val="0"/>
          <w:bCs w:val="0"/>
          <w:sz w:val="20"/>
          <w:szCs w:val="20"/>
          <w:lang w:eastAsia="en-US"/>
        </w:rPr>
        <w:t xml:space="preserve"> credit risk </w:t>
      </w:r>
      <w:r w:rsidR="00A73AD7" w:rsidRPr="00701439">
        <w:rPr>
          <w:rStyle w:val="Strong"/>
          <w:rFonts w:asciiTheme="minorHAnsi" w:eastAsiaTheme="minorHAnsi" w:hAnsiTheme="minorHAnsi" w:cstheme="minorBidi"/>
          <w:b w:val="0"/>
          <w:bCs w:val="0"/>
          <w:sz w:val="20"/>
          <w:szCs w:val="20"/>
          <w:lang w:eastAsia="en-US"/>
        </w:rPr>
        <w:t xml:space="preserve">across the Group </w:t>
      </w:r>
      <w:r w:rsidR="00D0500B" w:rsidRPr="00701439">
        <w:rPr>
          <w:rStyle w:val="Strong"/>
          <w:rFonts w:asciiTheme="minorHAnsi" w:eastAsiaTheme="minorHAnsi" w:hAnsiTheme="minorHAnsi" w:cstheme="minorBidi"/>
          <w:b w:val="0"/>
          <w:bCs w:val="0"/>
          <w:sz w:val="20"/>
          <w:szCs w:val="20"/>
          <w:lang w:eastAsia="en-US"/>
        </w:rPr>
        <w:t>reducing</w:t>
      </w:r>
      <w:r w:rsidR="00751A3E" w:rsidRPr="00701439">
        <w:rPr>
          <w:rStyle w:val="Strong"/>
          <w:rFonts w:asciiTheme="minorHAnsi" w:eastAsiaTheme="minorHAnsi" w:hAnsiTheme="minorHAnsi" w:cstheme="minorBidi"/>
          <w:b w:val="0"/>
          <w:bCs w:val="0"/>
          <w:sz w:val="20"/>
          <w:szCs w:val="20"/>
          <w:lang w:eastAsia="en-US"/>
        </w:rPr>
        <w:t xml:space="preserve"> materially</w:t>
      </w:r>
      <w:r w:rsidR="00A06AB8" w:rsidRPr="00701439">
        <w:rPr>
          <w:rStyle w:val="Strong"/>
          <w:rFonts w:asciiTheme="minorHAnsi" w:eastAsiaTheme="minorHAnsi" w:hAnsiTheme="minorHAnsi" w:cstheme="minorBidi"/>
          <w:b w:val="0"/>
          <w:bCs w:val="0"/>
          <w:sz w:val="20"/>
          <w:szCs w:val="20"/>
          <w:lang w:eastAsia="en-US"/>
        </w:rPr>
        <w:t xml:space="preserve"> since 2019</w:t>
      </w:r>
      <w:r w:rsidR="00F02CFB" w:rsidRPr="00701439">
        <w:rPr>
          <w:rStyle w:val="Strong"/>
          <w:rFonts w:asciiTheme="minorHAnsi" w:eastAsiaTheme="minorHAnsi" w:hAnsiTheme="minorHAnsi" w:cstheme="minorBidi"/>
          <w:b w:val="0"/>
          <w:bCs w:val="0"/>
          <w:sz w:val="20"/>
          <w:szCs w:val="20"/>
          <w:lang w:eastAsia="en-US"/>
        </w:rPr>
        <w:t xml:space="preserve">. </w:t>
      </w:r>
      <w:r w:rsidR="00C96FAE" w:rsidRPr="00701439">
        <w:rPr>
          <w:rStyle w:val="Strong"/>
          <w:rFonts w:asciiTheme="minorHAnsi" w:eastAsiaTheme="minorHAnsi" w:hAnsiTheme="minorHAnsi" w:cstheme="minorBidi"/>
          <w:b w:val="0"/>
          <w:bCs w:val="0"/>
          <w:sz w:val="20"/>
          <w:szCs w:val="20"/>
          <w:lang w:eastAsia="en-US"/>
        </w:rPr>
        <w:t>The process of rebuilding the Group’s loan book</w:t>
      </w:r>
      <w:r w:rsidR="00714CF6" w:rsidRPr="00701439">
        <w:rPr>
          <w:rStyle w:val="Strong"/>
          <w:rFonts w:asciiTheme="minorHAnsi" w:eastAsiaTheme="minorHAnsi" w:hAnsiTheme="minorHAnsi" w:cstheme="minorBidi"/>
          <w:b w:val="0"/>
          <w:bCs w:val="0"/>
          <w:sz w:val="20"/>
          <w:szCs w:val="20"/>
          <w:lang w:eastAsia="en-US"/>
        </w:rPr>
        <w:t>s</w:t>
      </w:r>
      <w:r w:rsidR="00C96FAE" w:rsidRPr="00701439">
        <w:rPr>
          <w:rStyle w:val="Strong"/>
          <w:rFonts w:asciiTheme="minorHAnsi" w:eastAsiaTheme="minorHAnsi" w:hAnsiTheme="minorHAnsi" w:cstheme="minorBidi"/>
          <w:b w:val="0"/>
          <w:bCs w:val="0"/>
          <w:sz w:val="20"/>
          <w:szCs w:val="20"/>
          <w:lang w:eastAsia="en-US"/>
        </w:rPr>
        <w:t xml:space="preserve"> back to pre-pandemic levels is underway, as demonstrated by the excellent growth and momentum we delivered in the fourth quarter of </w:t>
      </w:r>
      <w:r w:rsidR="00934609" w:rsidRPr="00701439">
        <w:rPr>
          <w:rStyle w:val="Strong"/>
          <w:rFonts w:asciiTheme="minorHAnsi" w:eastAsiaTheme="minorHAnsi" w:hAnsiTheme="minorHAnsi" w:cstheme="minorBidi"/>
          <w:b w:val="0"/>
          <w:bCs w:val="0"/>
          <w:sz w:val="20"/>
          <w:szCs w:val="20"/>
          <w:lang w:eastAsia="en-US"/>
        </w:rPr>
        <w:t>2022</w:t>
      </w:r>
      <w:r w:rsidR="00C96FAE" w:rsidRPr="00701439">
        <w:rPr>
          <w:rStyle w:val="Strong"/>
          <w:rFonts w:asciiTheme="minorHAnsi" w:eastAsiaTheme="minorHAnsi" w:hAnsiTheme="minorHAnsi" w:cstheme="minorBidi"/>
          <w:b w:val="0"/>
          <w:bCs w:val="0"/>
          <w:sz w:val="20"/>
          <w:szCs w:val="20"/>
          <w:lang w:eastAsia="en-US"/>
        </w:rPr>
        <w:t xml:space="preserve">. </w:t>
      </w:r>
      <w:r w:rsidR="000B7862" w:rsidRPr="00701439">
        <w:rPr>
          <w:rStyle w:val="Strong"/>
          <w:rFonts w:asciiTheme="minorHAnsi" w:eastAsiaTheme="minorHAnsi" w:hAnsiTheme="minorHAnsi" w:cstheme="minorBidi"/>
          <w:b w:val="0"/>
          <w:bCs w:val="0"/>
          <w:sz w:val="20"/>
          <w:szCs w:val="20"/>
          <w:lang w:eastAsia="en-US"/>
        </w:rPr>
        <w:t>R</w:t>
      </w:r>
      <w:r w:rsidR="00273442" w:rsidRPr="00701439">
        <w:rPr>
          <w:rStyle w:val="Strong"/>
          <w:rFonts w:asciiTheme="minorHAnsi" w:eastAsiaTheme="minorHAnsi" w:hAnsiTheme="minorHAnsi" w:cstheme="minorBidi"/>
          <w:b w:val="0"/>
          <w:bCs w:val="0"/>
          <w:sz w:val="20"/>
          <w:szCs w:val="20"/>
          <w:lang w:eastAsia="en-US"/>
        </w:rPr>
        <w:t>eflect</w:t>
      </w:r>
      <w:r w:rsidR="00EB55A3" w:rsidRPr="00701439">
        <w:rPr>
          <w:rStyle w:val="Strong"/>
          <w:rFonts w:asciiTheme="minorHAnsi" w:eastAsiaTheme="minorHAnsi" w:hAnsiTheme="minorHAnsi" w:cstheme="minorBidi"/>
          <w:b w:val="0"/>
          <w:bCs w:val="0"/>
          <w:sz w:val="20"/>
          <w:szCs w:val="20"/>
          <w:lang w:eastAsia="en-US"/>
        </w:rPr>
        <w:t>ing</w:t>
      </w:r>
      <w:r w:rsidR="00273442" w:rsidRPr="00701439">
        <w:rPr>
          <w:rStyle w:val="Strong"/>
          <w:rFonts w:asciiTheme="minorHAnsi" w:eastAsiaTheme="minorHAnsi" w:hAnsiTheme="minorHAnsi" w:cstheme="minorBidi"/>
          <w:b w:val="0"/>
          <w:bCs w:val="0"/>
          <w:sz w:val="20"/>
          <w:szCs w:val="20"/>
          <w:lang w:eastAsia="en-US"/>
        </w:rPr>
        <w:t xml:space="preserve"> this strong performance,</w:t>
      </w:r>
      <w:r w:rsidR="0091197E" w:rsidRPr="00701439">
        <w:rPr>
          <w:rStyle w:val="Strong"/>
          <w:rFonts w:asciiTheme="minorHAnsi" w:eastAsiaTheme="minorHAnsi" w:hAnsiTheme="minorHAnsi" w:cstheme="minorBidi"/>
          <w:b w:val="0"/>
          <w:bCs w:val="0"/>
          <w:sz w:val="20"/>
          <w:szCs w:val="20"/>
          <w:lang w:eastAsia="en-US"/>
        </w:rPr>
        <w:t xml:space="preserve"> and the Group’s strong financial </w:t>
      </w:r>
      <w:r w:rsidR="00934609" w:rsidRPr="00701439">
        <w:rPr>
          <w:rStyle w:val="Strong"/>
          <w:rFonts w:asciiTheme="minorHAnsi" w:eastAsiaTheme="minorHAnsi" w:hAnsiTheme="minorHAnsi" w:cstheme="minorBidi"/>
          <w:b w:val="0"/>
          <w:bCs w:val="0"/>
          <w:sz w:val="20"/>
          <w:szCs w:val="20"/>
          <w:lang w:eastAsia="en-US"/>
        </w:rPr>
        <w:t>foundations</w:t>
      </w:r>
      <w:r w:rsidR="0091197E" w:rsidRPr="00701439">
        <w:rPr>
          <w:rStyle w:val="Strong"/>
          <w:rFonts w:asciiTheme="minorHAnsi" w:eastAsiaTheme="minorHAnsi" w:hAnsiTheme="minorHAnsi" w:cstheme="minorBidi"/>
          <w:b w:val="0"/>
          <w:bCs w:val="0"/>
          <w:sz w:val="20"/>
          <w:szCs w:val="20"/>
          <w:lang w:eastAsia="en-US"/>
        </w:rPr>
        <w:t>,</w:t>
      </w:r>
      <w:r w:rsidR="00273442" w:rsidRPr="00701439">
        <w:rPr>
          <w:rStyle w:val="Strong"/>
          <w:rFonts w:asciiTheme="minorHAnsi" w:eastAsiaTheme="minorHAnsi" w:hAnsiTheme="minorHAnsi" w:cstheme="minorBidi"/>
          <w:b w:val="0"/>
          <w:bCs w:val="0"/>
          <w:sz w:val="20"/>
          <w:szCs w:val="20"/>
          <w:lang w:eastAsia="en-US"/>
        </w:rPr>
        <w:t xml:space="preserve"> the Board </w:t>
      </w:r>
      <w:r w:rsidR="00412B03" w:rsidRPr="00701439">
        <w:rPr>
          <w:rStyle w:val="Strong"/>
          <w:rFonts w:asciiTheme="minorHAnsi" w:eastAsiaTheme="minorHAnsi" w:hAnsiTheme="minorHAnsi" w:cstheme="minorBidi"/>
          <w:b w:val="0"/>
          <w:bCs w:val="0"/>
          <w:sz w:val="20"/>
          <w:szCs w:val="20"/>
          <w:lang w:eastAsia="en-US"/>
        </w:rPr>
        <w:t xml:space="preserve">is proposing a final dividend of </w:t>
      </w:r>
      <w:r w:rsidR="00C8780E" w:rsidRPr="00701439">
        <w:rPr>
          <w:rStyle w:val="Strong"/>
          <w:rFonts w:asciiTheme="minorHAnsi" w:eastAsiaTheme="minorHAnsi" w:hAnsiTheme="minorHAnsi" w:cstheme="minorBidi"/>
          <w:b w:val="0"/>
          <w:bCs w:val="0"/>
          <w:sz w:val="20"/>
          <w:szCs w:val="20"/>
          <w:lang w:eastAsia="en-US"/>
        </w:rPr>
        <w:t>10.3</w:t>
      </w:r>
      <w:r w:rsidR="00412B03" w:rsidRPr="00701439">
        <w:rPr>
          <w:rStyle w:val="Strong"/>
          <w:rFonts w:asciiTheme="minorHAnsi" w:eastAsiaTheme="minorHAnsi" w:hAnsiTheme="minorHAnsi" w:cstheme="minorBidi"/>
          <w:b w:val="0"/>
          <w:bCs w:val="0"/>
          <w:sz w:val="20"/>
          <w:szCs w:val="20"/>
          <w:lang w:eastAsia="en-US"/>
        </w:rPr>
        <w:t>p per share</w:t>
      </w:r>
      <w:r w:rsidR="00D726B0" w:rsidRPr="00701439">
        <w:rPr>
          <w:rStyle w:val="Strong"/>
          <w:rFonts w:asciiTheme="minorHAnsi" w:eastAsiaTheme="minorHAnsi" w:hAnsiTheme="minorHAnsi" w:cstheme="minorBidi"/>
          <w:b w:val="0"/>
          <w:bCs w:val="0"/>
          <w:sz w:val="20"/>
          <w:szCs w:val="20"/>
          <w:lang w:eastAsia="en-US"/>
        </w:rPr>
        <w:t xml:space="preserve">. This </w:t>
      </w:r>
      <w:r w:rsidR="00A02CE4" w:rsidRPr="00701439">
        <w:rPr>
          <w:rStyle w:val="Strong"/>
          <w:rFonts w:asciiTheme="minorHAnsi" w:eastAsiaTheme="minorHAnsi" w:hAnsiTheme="minorHAnsi" w:cstheme="minorBidi"/>
          <w:b w:val="0"/>
          <w:bCs w:val="0"/>
          <w:sz w:val="20"/>
          <w:szCs w:val="20"/>
          <w:lang w:eastAsia="en-US"/>
        </w:rPr>
        <w:t xml:space="preserve">equates to a total dividend of </w:t>
      </w:r>
      <w:r w:rsidR="00C8780E" w:rsidRPr="00701439">
        <w:rPr>
          <w:rStyle w:val="Strong"/>
          <w:rFonts w:asciiTheme="minorHAnsi" w:eastAsiaTheme="minorHAnsi" w:hAnsiTheme="minorHAnsi" w:cstheme="minorBidi"/>
          <w:b w:val="0"/>
          <w:bCs w:val="0"/>
          <w:sz w:val="20"/>
          <w:szCs w:val="20"/>
          <w:lang w:eastAsia="en-US"/>
        </w:rPr>
        <w:t>15.3</w:t>
      </w:r>
      <w:r w:rsidR="00A02CE4" w:rsidRPr="00701439">
        <w:rPr>
          <w:rStyle w:val="Strong"/>
          <w:rFonts w:asciiTheme="minorHAnsi" w:eastAsiaTheme="minorHAnsi" w:hAnsiTheme="minorHAnsi" w:cstheme="minorBidi"/>
          <w:b w:val="0"/>
          <w:bCs w:val="0"/>
          <w:sz w:val="20"/>
          <w:szCs w:val="20"/>
          <w:lang w:eastAsia="en-US"/>
        </w:rPr>
        <w:t xml:space="preserve">p </w:t>
      </w:r>
      <w:r w:rsidR="00D726B0" w:rsidRPr="00701439">
        <w:rPr>
          <w:rStyle w:val="Strong"/>
          <w:rFonts w:asciiTheme="minorHAnsi" w:eastAsiaTheme="minorHAnsi" w:hAnsiTheme="minorHAnsi" w:cstheme="minorBidi"/>
          <w:b w:val="0"/>
          <w:bCs w:val="0"/>
          <w:sz w:val="20"/>
          <w:szCs w:val="20"/>
          <w:lang w:eastAsia="en-US"/>
        </w:rPr>
        <w:t>and</w:t>
      </w:r>
      <w:r w:rsidR="00A02CE4" w:rsidRPr="00701439">
        <w:rPr>
          <w:rStyle w:val="Strong"/>
          <w:rFonts w:asciiTheme="minorHAnsi" w:eastAsiaTheme="minorHAnsi" w:hAnsiTheme="minorHAnsi" w:cstheme="minorBidi"/>
          <w:b w:val="0"/>
          <w:bCs w:val="0"/>
          <w:sz w:val="20"/>
          <w:szCs w:val="20"/>
          <w:lang w:eastAsia="en-US"/>
        </w:rPr>
        <w:t xml:space="preserve"> a pay-out ratio of </w:t>
      </w:r>
      <w:r w:rsidR="00C8780E" w:rsidRPr="00701439">
        <w:rPr>
          <w:rStyle w:val="Strong"/>
          <w:rFonts w:asciiTheme="minorHAnsi" w:eastAsiaTheme="minorHAnsi" w:hAnsiTheme="minorHAnsi" w:cstheme="minorBidi"/>
          <w:b w:val="0"/>
          <w:sz w:val="20"/>
          <w:szCs w:val="20"/>
          <w:lang w:eastAsia="en-US"/>
        </w:rPr>
        <w:t>40</w:t>
      </w:r>
      <w:r w:rsidR="00A02CE4" w:rsidRPr="00701439">
        <w:rPr>
          <w:rStyle w:val="Strong"/>
          <w:rFonts w:asciiTheme="minorHAnsi" w:eastAsiaTheme="minorHAnsi" w:hAnsiTheme="minorHAnsi" w:cstheme="minorBidi"/>
          <w:b w:val="0"/>
          <w:bCs w:val="0"/>
          <w:sz w:val="20"/>
          <w:szCs w:val="20"/>
          <w:lang w:eastAsia="en-US"/>
        </w:rPr>
        <w:t>%</w:t>
      </w:r>
      <w:r w:rsidR="00D726B0" w:rsidRPr="00701439">
        <w:rPr>
          <w:rStyle w:val="Strong"/>
          <w:rFonts w:asciiTheme="minorHAnsi" w:eastAsiaTheme="minorHAnsi" w:hAnsiTheme="minorHAnsi" w:cstheme="minorBidi"/>
          <w:b w:val="0"/>
          <w:bCs w:val="0"/>
          <w:sz w:val="20"/>
          <w:szCs w:val="20"/>
          <w:lang w:eastAsia="en-US"/>
        </w:rPr>
        <w:t xml:space="preserve"> consistent with our dividend policy</w:t>
      </w:r>
      <w:r w:rsidR="00637002" w:rsidRPr="00701439">
        <w:rPr>
          <w:rStyle w:val="Strong"/>
          <w:rFonts w:asciiTheme="minorHAnsi" w:eastAsiaTheme="minorHAnsi" w:hAnsiTheme="minorHAnsi" w:cstheme="minorBidi"/>
          <w:b w:val="0"/>
          <w:bCs w:val="0"/>
          <w:sz w:val="20"/>
          <w:szCs w:val="20"/>
          <w:lang w:eastAsia="en-US"/>
        </w:rPr>
        <w:t xml:space="preserve">. </w:t>
      </w:r>
      <w:r w:rsidR="00AC5B7A" w:rsidRPr="00701439">
        <w:rPr>
          <w:rStyle w:val="Strong"/>
          <w:rFonts w:asciiTheme="minorHAnsi" w:eastAsiaTheme="minorHAnsi" w:hAnsiTheme="minorHAnsi" w:cstheme="minorBidi"/>
          <w:b w:val="0"/>
          <w:bCs w:val="0"/>
          <w:sz w:val="20"/>
          <w:szCs w:val="20"/>
          <w:lang w:eastAsia="en-US"/>
        </w:rPr>
        <w:t xml:space="preserve">The Group </w:t>
      </w:r>
      <w:r w:rsidR="00AC5B7A" w:rsidRPr="00701439">
        <w:rPr>
          <w:rFonts w:asciiTheme="minorHAnsi" w:eastAsiaTheme="minorHAnsi" w:hAnsiTheme="minorHAnsi" w:cstheme="minorBidi"/>
          <w:sz w:val="20"/>
          <w:szCs w:val="20"/>
          <w:lang w:eastAsia="en-US"/>
        </w:rPr>
        <w:t xml:space="preserve">remains well positioned in growing </w:t>
      </w:r>
      <w:r w:rsidR="00506CC0" w:rsidRPr="00701439">
        <w:rPr>
          <w:rFonts w:asciiTheme="minorHAnsi" w:eastAsiaTheme="minorHAnsi" w:hAnsiTheme="minorHAnsi" w:cstheme="minorBidi"/>
          <w:sz w:val="20"/>
          <w:szCs w:val="20"/>
          <w:lang w:eastAsia="en-US"/>
        </w:rPr>
        <w:t xml:space="preserve">addressable </w:t>
      </w:r>
      <w:r w:rsidR="00AC5B7A" w:rsidRPr="00701439">
        <w:rPr>
          <w:rFonts w:asciiTheme="minorHAnsi" w:eastAsiaTheme="minorHAnsi" w:hAnsiTheme="minorHAnsi" w:cstheme="minorBidi"/>
          <w:sz w:val="20"/>
          <w:szCs w:val="20"/>
          <w:lang w:eastAsia="en-US"/>
        </w:rPr>
        <w:t>markets to deliver attractive and sustainable returns to shareholders over the medium-term whilst supporting our customers</w:t>
      </w:r>
      <w:r w:rsidR="00194638" w:rsidRPr="00701439">
        <w:rPr>
          <w:rFonts w:asciiTheme="minorHAnsi" w:eastAsiaTheme="minorHAnsi" w:hAnsiTheme="minorHAnsi" w:cstheme="minorBidi"/>
          <w:sz w:val="20"/>
          <w:szCs w:val="20"/>
          <w:lang w:eastAsia="en-US"/>
        </w:rPr>
        <w:t xml:space="preserve"> </w:t>
      </w:r>
      <w:r w:rsidR="00D073B1" w:rsidRPr="00701439">
        <w:rPr>
          <w:rFonts w:asciiTheme="minorHAnsi" w:eastAsiaTheme="minorHAnsi" w:hAnsiTheme="minorHAnsi" w:cstheme="minorBidi"/>
          <w:sz w:val="20"/>
          <w:szCs w:val="20"/>
          <w:lang w:eastAsia="en-US"/>
        </w:rPr>
        <w:t xml:space="preserve">in </w:t>
      </w:r>
      <w:r w:rsidR="008D7A8B" w:rsidRPr="00701439">
        <w:rPr>
          <w:rFonts w:asciiTheme="minorHAnsi" w:eastAsiaTheme="minorHAnsi" w:hAnsiTheme="minorHAnsi" w:cstheme="minorBidi"/>
          <w:sz w:val="20"/>
          <w:szCs w:val="20"/>
          <w:lang w:eastAsia="en-US"/>
        </w:rPr>
        <w:t xml:space="preserve">this </w:t>
      </w:r>
      <w:r w:rsidR="00EA59F6" w:rsidRPr="00701439">
        <w:rPr>
          <w:rFonts w:asciiTheme="minorHAnsi" w:eastAsiaTheme="minorHAnsi" w:hAnsiTheme="minorHAnsi" w:cstheme="minorBidi"/>
          <w:sz w:val="20"/>
          <w:szCs w:val="20"/>
          <w:lang w:eastAsia="en-US"/>
        </w:rPr>
        <w:t>challenging</w:t>
      </w:r>
      <w:r w:rsidR="008D7A8B" w:rsidRPr="00701439">
        <w:rPr>
          <w:rFonts w:asciiTheme="minorHAnsi" w:eastAsiaTheme="minorHAnsi" w:hAnsiTheme="minorHAnsi" w:cstheme="minorBidi"/>
          <w:sz w:val="20"/>
          <w:szCs w:val="20"/>
          <w:lang w:eastAsia="en-US"/>
        </w:rPr>
        <w:t xml:space="preserve"> </w:t>
      </w:r>
      <w:r w:rsidR="00D073B1" w:rsidRPr="00701439">
        <w:rPr>
          <w:rFonts w:asciiTheme="minorHAnsi" w:eastAsiaTheme="minorHAnsi" w:hAnsiTheme="minorHAnsi" w:cstheme="minorBidi"/>
          <w:sz w:val="20"/>
          <w:szCs w:val="20"/>
          <w:lang w:eastAsia="en-US"/>
        </w:rPr>
        <w:t>macroeconomic environment</w:t>
      </w:r>
      <w:r w:rsidR="00EA59F6" w:rsidRPr="00701439">
        <w:rPr>
          <w:rFonts w:asciiTheme="minorHAnsi" w:eastAsiaTheme="minorHAnsi" w:hAnsiTheme="minorHAnsi" w:cstheme="minorBidi"/>
          <w:sz w:val="20"/>
          <w:szCs w:val="20"/>
          <w:lang w:eastAsia="en-US"/>
        </w:rPr>
        <w:t>.”</w:t>
      </w:r>
    </w:p>
    <w:p w14:paraId="0724ED9C" w14:textId="77777777" w:rsidR="00E534C5" w:rsidRPr="00701439" w:rsidRDefault="00E534C5" w:rsidP="00E534C5">
      <w:pPr>
        <w:jc w:val="both"/>
        <w:rPr>
          <w:rStyle w:val="Strong"/>
          <w:rFonts w:asciiTheme="minorHAnsi" w:hAnsiTheme="minorHAnsi"/>
          <w:sz w:val="20"/>
          <w:szCs w:val="20"/>
        </w:rPr>
      </w:pPr>
    </w:p>
    <w:p w14:paraId="649C8DCC" w14:textId="2EBC23DC" w:rsidR="004E7017" w:rsidRPr="00701439" w:rsidRDefault="00F01EC8" w:rsidP="00E534C5">
      <w:pPr>
        <w:jc w:val="both"/>
        <w:rPr>
          <w:rStyle w:val="Strong"/>
          <w:rFonts w:asciiTheme="minorHAnsi" w:hAnsiTheme="minorHAnsi"/>
          <w:color w:val="4747FF"/>
          <w:sz w:val="22"/>
          <w:szCs w:val="22"/>
        </w:rPr>
      </w:pPr>
      <w:r w:rsidRPr="00701439">
        <w:rPr>
          <w:rStyle w:val="Strong"/>
          <w:rFonts w:asciiTheme="minorHAnsi" w:hAnsiTheme="minorHAnsi"/>
          <w:color w:val="4747FF"/>
          <w:sz w:val="22"/>
          <w:szCs w:val="22"/>
        </w:rPr>
        <w:t>Key financial results</w:t>
      </w:r>
    </w:p>
    <w:tbl>
      <w:tblPr>
        <w:tblW w:w="8882" w:type="dxa"/>
        <w:tblInd w:w="426" w:type="dxa"/>
        <w:tblLayout w:type="fixed"/>
        <w:tblLook w:val="04A0" w:firstRow="1" w:lastRow="0" w:firstColumn="1" w:lastColumn="0" w:noHBand="0" w:noVBand="1"/>
      </w:tblPr>
      <w:tblGrid>
        <w:gridCol w:w="4961"/>
        <w:gridCol w:w="1701"/>
        <w:gridCol w:w="1984"/>
        <w:gridCol w:w="236"/>
      </w:tblGrid>
      <w:tr w:rsidR="004C7864" w:rsidRPr="00701439" w14:paraId="50FD7887" w14:textId="5366514A" w:rsidTr="0002541E">
        <w:tc>
          <w:tcPr>
            <w:tcW w:w="4961" w:type="dxa"/>
            <w:vAlign w:val="bottom"/>
          </w:tcPr>
          <w:p w14:paraId="45B48CC8" w14:textId="77777777" w:rsidR="004C7864" w:rsidRPr="00701439" w:rsidRDefault="004C7864" w:rsidP="00E534C5">
            <w:pPr>
              <w:pStyle w:val="NoSpacing"/>
              <w:jc w:val="both"/>
              <w:rPr>
                <w:sz w:val="20"/>
                <w:szCs w:val="20"/>
              </w:rPr>
            </w:pPr>
          </w:p>
        </w:tc>
        <w:tc>
          <w:tcPr>
            <w:tcW w:w="3685" w:type="dxa"/>
            <w:gridSpan w:val="2"/>
          </w:tcPr>
          <w:p w14:paraId="1882B097" w14:textId="0857ED0D" w:rsidR="004C7864" w:rsidRPr="00701439" w:rsidRDefault="004C7864" w:rsidP="000328C7">
            <w:pPr>
              <w:jc w:val="right"/>
              <w:rPr>
                <w:rFonts w:asciiTheme="minorHAnsi" w:hAnsiTheme="minorHAnsi"/>
                <w:b/>
                <w:bCs/>
                <w:sz w:val="20"/>
                <w:szCs w:val="20"/>
              </w:rPr>
            </w:pPr>
            <w:r w:rsidRPr="00701439">
              <w:rPr>
                <w:rFonts w:asciiTheme="minorHAnsi" w:hAnsiTheme="minorHAnsi"/>
                <w:b/>
                <w:bCs/>
                <w:sz w:val="20"/>
                <w:szCs w:val="20"/>
              </w:rPr>
              <w:t>Twelve months ended 31 December</w:t>
            </w:r>
          </w:p>
        </w:tc>
        <w:tc>
          <w:tcPr>
            <w:tcW w:w="236" w:type="dxa"/>
          </w:tcPr>
          <w:p w14:paraId="17495483" w14:textId="77777777" w:rsidR="004C7864" w:rsidRPr="00701439" w:rsidRDefault="004C7864" w:rsidP="00E534C5">
            <w:pPr>
              <w:jc w:val="center"/>
              <w:rPr>
                <w:rFonts w:asciiTheme="minorHAnsi" w:hAnsiTheme="minorHAnsi"/>
                <w:sz w:val="20"/>
                <w:szCs w:val="20"/>
              </w:rPr>
            </w:pPr>
          </w:p>
        </w:tc>
      </w:tr>
      <w:tr w:rsidR="00865942" w:rsidRPr="00701439" w14:paraId="279E5E9A" w14:textId="733BDAC9" w:rsidTr="0002541E">
        <w:trPr>
          <w:gridAfter w:val="1"/>
          <w:wAfter w:w="236" w:type="dxa"/>
        </w:trPr>
        <w:tc>
          <w:tcPr>
            <w:tcW w:w="4961" w:type="dxa"/>
            <w:vAlign w:val="bottom"/>
          </w:tcPr>
          <w:p w14:paraId="2705C5E9" w14:textId="77777777" w:rsidR="00865942" w:rsidRPr="00701439" w:rsidRDefault="00865942" w:rsidP="00E534C5">
            <w:pPr>
              <w:pStyle w:val="NoSpacing"/>
              <w:jc w:val="both"/>
              <w:rPr>
                <w:sz w:val="20"/>
                <w:szCs w:val="20"/>
              </w:rPr>
            </w:pPr>
          </w:p>
        </w:tc>
        <w:tc>
          <w:tcPr>
            <w:tcW w:w="1701" w:type="dxa"/>
            <w:vAlign w:val="bottom"/>
            <w:hideMark/>
          </w:tcPr>
          <w:p w14:paraId="23864095" w14:textId="58A411B9" w:rsidR="00865942" w:rsidRPr="00701439" w:rsidRDefault="00865942" w:rsidP="000328C7">
            <w:pPr>
              <w:pStyle w:val="NoSpacing"/>
              <w:jc w:val="right"/>
              <w:rPr>
                <w:b/>
                <w:bCs/>
                <w:sz w:val="20"/>
                <w:szCs w:val="20"/>
              </w:rPr>
            </w:pPr>
            <w:r w:rsidRPr="00701439">
              <w:rPr>
                <w:b/>
                <w:bCs/>
                <w:sz w:val="20"/>
                <w:szCs w:val="20"/>
              </w:rPr>
              <w:t>202</w:t>
            </w:r>
            <w:r w:rsidR="006952AC" w:rsidRPr="00701439">
              <w:rPr>
                <w:b/>
                <w:bCs/>
                <w:sz w:val="20"/>
                <w:szCs w:val="20"/>
              </w:rPr>
              <w:t>2</w:t>
            </w:r>
          </w:p>
        </w:tc>
        <w:tc>
          <w:tcPr>
            <w:tcW w:w="1984" w:type="dxa"/>
            <w:vAlign w:val="bottom"/>
            <w:hideMark/>
          </w:tcPr>
          <w:p w14:paraId="70684BCC" w14:textId="2948B9C1" w:rsidR="00865942" w:rsidRPr="00701439" w:rsidRDefault="00865942" w:rsidP="000328C7">
            <w:pPr>
              <w:pStyle w:val="NoSpacing"/>
              <w:jc w:val="right"/>
              <w:rPr>
                <w:b/>
                <w:bCs/>
                <w:sz w:val="20"/>
                <w:szCs w:val="20"/>
              </w:rPr>
            </w:pPr>
            <w:r w:rsidRPr="00701439">
              <w:rPr>
                <w:b/>
                <w:bCs/>
                <w:sz w:val="20"/>
                <w:szCs w:val="20"/>
              </w:rPr>
              <w:t>202</w:t>
            </w:r>
            <w:r w:rsidR="006952AC" w:rsidRPr="00701439">
              <w:rPr>
                <w:b/>
                <w:bCs/>
                <w:sz w:val="20"/>
                <w:szCs w:val="20"/>
              </w:rPr>
              <w:t>1</w:t>
            </w:r>
          </w:p>
        </w:tc>
      </w:tr>
      <w:tr w:rsidR="00865942" w:rsidRPr="00701439" w14:paraId="65AF9EF3" w14:textId="30160BC8" w:rsidTr="0002541E">
        <w:trPr>
          <w:gridAfter w:val="1"/>
          <w:wAfter w:w="236" w:type="dxa"/>
        </w:trPr>
        <w:tc>
          <w:tcPr>
            <w:tcW w:w="4961" w:type="dxa"/>
            <w:vAlign w:val="bottom"/>
          </w:tcPr>
          <w:p w14:paraId="01A004CE" w14:textId="49516753" w:rsidR="00865942" w:rsidRPr="00701439" w:rsidRDefault="00EE6969" w:rsidP="00E534C5">
            <w:pPr>
              <w:pStyle w:val="NoSpacing"/>
              <w:jc w:val="both"/>
              <w:rPr>
                <w:b/>
                <w:sz w:val="20"/>
                <w:szCs w:val="20"/>
              </w:rPr>
            </w:pPr>
            <w:r w:rsidRPr="00701439">
              <w:rPr>
                <w:b/>
                <w:sz w:val="20"/>
                <w:szCs w:val="20"/>
              </w:rPr>
              <w:t>Continuing Operations:</w:t>
            </w:r>
          </w:p>
        </w:tc>
        <w:tc>
          <w:tcPr>
            <w:tcW w:w="1701" w:type="dxa"/>
            <w:tcBorders>
              <w:top w:val="nil"/>
              <w:left w:val="nil"/>
              <w:bottom w:val="single" w:sz="4" w:space="0" w:color="auto"/>
              <w:right w:val="nil"/>
            </w:tcBorders>
            <w:vAlign w:val="bottom"/>
            <w:hideMark/>
          </w:tcPr>
          <w:p w14:paraId="72E4F18E" w14:textId="44BD63DB" w:rsidR="00865942" w:rsidRPr="00701439" w:rsidRDefault="00865942" w:rsidP="000328C7">
            <w:pPr>
              <w:pStyle w:val="NoSpacing"/>
              <w:jc w:val="right"/>
              <w:rPr>
                <w:b/>
                <w:bCs/>
                <w:sz w:val="20"/>
                <w:szCs w:val="20"/>
              </w:rPr>
            </w:pPr>
            <w:r w:rsidRPr="00701439">
              <w:rPr>
                <w:b/>
                <w:bCs/>
                <w:sz w:val="20"/>
                <w:szCs w:val="20"/>
              </w:rPr>
              <w:t>£m</w:t>
            </w:r>
          </w:p>
        </w:tc>
        <w:tc>
          <w:tcPr>
            <w:tcW w:w="1984" w:type="dxa"/>
            <w:tcBorders>
              <w:top w:val="nil"/>
              <w:left w:val="nil"/>
              <w:bottom w:val="single" w:sz="4" w:space="0" w:color="auto"/>
              <w:right w:val="nil"/>
            </w:tcBorders>
            <w:vAlign w:val="bottom"/>
            <w:hideMark/>
          </w:tcPr>
          <w:p w14:paraId="5413C08F" w14:textId="77777777" w:rsidR="00865942" w:rsidRPr="00701439" w:rsidRDefault="00865942" w:rsidP="000328C7">
            <w:pPr>
              <w:pStyle w:val="NoSpacing"/>
              <w:jc w:val="right"/>
              <w:rPr>
                <w:b/>
                <w:bCs/>
                <w:sz w:val="20"/>
                <w:szCs w:val="20"/>
              </w:rPr>
            </w:pPr>
            <w:r w:rsidRPr="00701439">
              <w:rPr>
                <w:b/>
                <w:bCs/>
                <w:sz w:val="20"/>
                <w:szCs w:val="20"/>
              </w:rPr>
              <w:t>£m</w:t>
            </w:r>
          </w:p>
        </w:tc>
      </w:tr>
      <w:tr w:rsidR="00865942" w:rsidRPr="00701439" w14:paraId="7842EEAD" w14:textId="11E01FF5" w:rsidTr="0002541E">
        <w:trPr>
          <w:gridAfter w:val="1"/>
          <w:wAfter w:w="236" w:type="dxa"/>
        </w:trPr>
        <w:tc>
          <w:tcPr>
            <w:tcW w:w="4961" w:type="dxa"/>
            <w:vAlign w:val="bottom"/>
            <w:hideMark/>
          </w:tcPr>
          <w:p w14:paraId="1D71B9DB" w14:textId="7D73EB2C" w:rsidR="00865942" w:rsidRPr="00701439" w:rsidRDefault="00865942" w:rsidP="00E534C5">
            <w:pPr>
              <w:pStyle w:val="NoSpacing"/>
              <w:jc w:val="both"/>
              <w:rPr>
                <w:sz w:val="20"/>
                <w:szCs w:val="20"/>
              </w:rPr>
            </w:pPr>
            <w:r w:rsidRPr="00701439">
              <w:rPr>
                <w:sz w:val="20"/>
                <w:szCs w:val="20"/>
              </w:rPr>
              <w:t>Adjusted profi</w:t>
            </w:r>
            <w:r w:rsidR="00293CA5" w:rsidRPr="00701439">
              <w:rPr>
                <w:sz w:val="20"/>
                <w:szCs w:val="20"/>
              </w:rPr>
              <w:t>t</w:t>
            </w:r>
            <w:r w:rsidRPr="00701439">
              <w:rPr>
                <w:sz w:val="20"/>
                <w:szCs w:val="20"/>
              </w:rPr>
              <w:t xml:space="preserve"> before tax:</w:t>
            </w:r>
          </w:p>
        </w:tc>
        <w:tc>
          <w:tcPr>
            <w:tcW w:w="1701" w:type="dxa"/>
            <w:tcBorders>
              <w:top w:val="single" w:sz="4" w:space="0" w:color="auto"/>
              <w:left w:val="nil"/>
              <w:bottom w:val="nil"/>
              <w:right w:val="nil"/>
            </w:tcBorders>
            <w:vAlign w:val="bottom"/>
          </w:tcPr>
          <w:p w14:paraId="2EF3B76A" w14:textId="682CE841" w:rsidR="00865942" w:rsidRPr="00701439" w:rsidRDefault="00865942" w:rsidP="000328C7">
            <w:pPr>
              <w:pStyle w:val="NoSpacing"/>
              <w:jc w:val="right"/>
              <w:rPr>
                <w:sz w:val="20"/>
                <w:szCs w:val="20"/>
              </w:rPr>
            </w:pPr>
          </w:p>
        </w:tc>
        <w:tc>
          <w:tcPr>
            <w:tcW w:w="1984" w:type="dxa"/>
            <w:tcBorders>
              <w:top w:val="single" w:sz="4" w:space="0" w:color="auto"/>
              <w:left w:val="nil"/>
              <w:bottom w:val="nil"/>
              <w:right w:val="nil"/>
            </w:tcBorders>
            <w:vAlign w:val="bottom"/>
          </w:tcPr>
          <w:p w14:paraId="56D02177" w14:textId="77777777" w:rsidR="00865942" w:rsidRPr="00701439" w:rsidRDefault="00865942" w:rsidP="000328C7">
            <w:pPr>
              <w:pStyle w:val="NoSpacing"/>
              <w:jc w:val="right"/>
              <w:rPr>
                <w:sz w:val="20"/>
                <w:szCs w:val="20"/>
              </w:rPr>
            </w:pPr>
          </w:p>
        </w:tc>
      </w:tr>
      <w:tr w:rsidR="006952AC" w:rsidRPr="00701439" w14:paraId="09B7F12A" w14:textId="745C25D3" w:rsidTr="0002541E">
        <w:trPr>
          <w:gridAfter w:val="1"/>
          <w:wAfter w:w="236" w:type="dxa"/>
        </w:trPr>
        <w:tc>
          <w:tcPr>
            <w:tcW w:w="4961" w:type="dxa"/>
            <w:vAlign w:val="bottom"/>
            <w:hideMark/>
          </w:tcPr>
          <w:p w14:paraId="3ACB5D22" w14:textId="03ECF409" w:rsidR="006952AC" w:rsidRPr="00701439" w:rsidRDefault="006952AC" w:rsidP="006952AC">
            <w:pPr>
              <w:pStyle w:val="NoSpacing"/>
              <w:jc w:val="both"/>
              <w:rPr>
                <w:sz w:val="20"/>
                <w:szCs w:val="20"/>
              </w:rPr>
            </w:pPr>
            <w:r w:rsidRPr="00701439">
              <w:rPr>
                <w:sz w:val="20"/>
                <w:szCs w:val="20"/>
              </w:rPr>
              <w:t>– Credit cards</w:t>
            </w:r>
          </w:p>
        </w:tc>
        <w:tc>
          <w:tcPr>
            <w:tcW w:w="1701" w:type="dxa"/>
            <w:vAlign w:val="bottom"/>
          </w:tcPr>
          <w:p w14:paraId="26C0A59D" w14:textId="73622E1C" w:rsidR="006952AC" w:rsidRPr="00701439" w:rsidRDefault="006952AC" w:rsidP="000328C7">
            <w:pPr>
              <w:pStyle w:val="NoSpacing"/>
              <w:jc w:val="right"/>
              <w:rPr>
                <w:sz w:val="20"/>
                <w:szCs w:val="20"/>
              </w:rPr>
            </w:pPr>
            <w:r w:rsidRPr="00701439">
              <w:rPr>
                <w:sz w:val="20"/>
                <w:szCs w:val="20"/>
              </w:rPr>
              <w:t>17</w:t>
            </w:r>
            <w:r w:rsidR="003C24AC" w:rsidRPr="00701439">
              <w:rPr>
                <w:sz w:val="20"/>
                <w:szCs w:val="20"/>
              </w:rPr>
              <w:t>8.5</w:t>
            </w:r>
          </w:p>
        </w:tc>
        <w:tc>
          <w:tcPr>
            <w:tcW w:w="1984" w:type="dxa"/>
            <w:vAlign w:val="bottom"/>
          </w:tcPr>
          <w:p w14:paraId="479E3DB8" w14:textId="660AE8E5" w:rsidR="006952AC" w:rsidRPr="00701439" w:rsidRDefault="006952AC" w:rsidP="000328C7">
            <w:pPr>
              <w:pStyle w:val="NoSpacing"/>
              <w:jc w:val="right"/>
              <w:rPr>
                <w:sz w:val="20"/>
                <w:szCs w:val="20"/>
              </w:rPr>
            </w:pPr>
            <w:r w:rsidRPr="00701439">
              <w:rPr>
                <w:sz w:val="20"/>
                <w:szCs w:val="20"/>
              </w:rPr>
              <w:t>173.9</w:t>
            </w:r>
          </w:p>
        </w:tc>
      </w:tr>
      <w:tr w:rsidR="006952AC" w:rsidRPr="00701439" w14:paraId="62452FB6" w14:textId="172B059F" w:rsidTr="0002541E">
        <w:trPr>
          <w:gridAfter w:val="1"/>
          <w:wAfter w:w="236" w:type="dxa"/>
        </w:trPr>
        <w:tc>
          <w:tcPr>
            <w:tcW w:w="4961" w:type="dxa"/>
            <w:vAlign w:val="bottom"/>
            <w:hideMark/>
          </w:tcPr>
          <w:p w14:paraId="70AB8E6E" w14:textId="520387DB" w:rsidR="006952AC" w:rsidRPr="00701439" w:rsidRDefault="006952AC" w:rsidP="006952AC">
            <w:pPr>
              <w:pStyle w:val="NoSpacing"/>
              <w:jc w:val="both"/>
              <w:rPr>
                <w:sz w:val="20"/>
                <w:szCs w:val="20"/>
              </w:rPr>
            </w:pPr>
            <w:r w:rsidRPr="00701439">
              <w:rPr>
                <w:sz w:val="20"/>
                <w:szCs w:val="20"/>
              </w:rPr>
              <w:t>– Vehicle finance</w:t>
            </w:r>
          </w:p>
        </w:tc>
        <w:tc>
          <w:tcPr>
            <w:tcW w:w="1701" w:type="dxa"/>
            <w:vAlign w:val="bottom"/>
          </w:tcPr>
          <w:p w14:paraId="0083F851" w14:textId="46430318" w:rsidR="006952AC" w:rsidRPr="00701439" w:rsidRDefault="00D967E3" w:rsidP="000328C7">
            <w:pPr>
              <w:pStyle w:val="NoSpacing"/>
              <w:jc w:val="right"/>
              <w:rPr>
                <w:rFonts w:cstheme="minorHAnsi"/>
                <w:sz w:val="20"/>
                <w:szCs w:val="20"/>
              </w:rPr>
            </w:pPr>
            <w:r w:rsidRPr="00701439">
              <w:rPr>
                <w:rFonts w:cstheme="minorHAnsi"/>
                <w:sz w:val="20"/>
                <w:szCs w:val="20"/>
              </w:rPr>
              <w:t>38.0</w:t>
            </w:r>
          </w:p>
        </w:tc>
        <w:tc>
          <w:tcPr>
            <w:tcW w:w="1984" w:type="dxa"/>
            <w:vAlign w:val="bottom"/>
          </w:tcPr>
          <w:p w14:paraId="61D9F3B2" w14:textId="4B95737B" w:rsidR="006952AC" w:rsidRPr="00701439" w:rsidRDefault="006952AC" w:rsidP="000328C7">
            <w:pPr>
              <w:pStyle w:val="NoSpacing"/>
              <w:jc w:val="right"/>
              <w:rPr>
                <w:rFonts w:cstheme="minorHAnsi"/>
                <w:sz w:val="20"/>
                <w:szCs w:val="20"/>
              </w:rPr>
            </w:pPr>
            <w:r w:rsidRPr="00701439">
              <w:rPr>
                <w:rFonts w:cstheme="minorHAnsi"/>
                <w:sz w:val="20"/>
                <w:szCs w:val="20"/>
              </w:rPr>
              <w:t>28.9</w:t>
            </w:r>
          </w:p>
        </w:tc>
      </w:tr>
      <w:tr w:rsidR="006952AC" w:rsidRPr="00701439" w14:paraId="466B9612" w14:textId="164C5AC0" w:rsidTr="0002541E">
        <w:trPr>
          <w:gridAfter w:val="1"/>
          <w:wAfter w:w="236" w:type="dxa"/>
        </w:trPr>
        <w:tc>
          <w:tcPr>
            <w:tcW w:w="4961" w:type="dxa"/>
            <w:vAlign w:val="bottom"/>
          </w:tcPr>
          <w:p w14:paraId="2F287491" w14:textId="5F96539F" w:rsidR="006952AC" w:rsidRPr="00701439" w:rsidRDefault="006952AC" w:rsidP="006952AC">
            <w:pPr>
              <w:pStyle w:val="NoSpacing"/>
              <w:numPr>
                <w:ilvl w:val="0"/>
                <w:numId w:val="22"/>
              </w:numPr>
              <w:ind w:left="169" w:hanging="169"/>
              <w:jc w:val="both"/>
              <w:rPr>
                <w:sz w:val="20"/>
                <w:szCs w:val="20"/>
              </w:rPr>
            </w:pPr>
            <w:r w:rsidRPr="00701439">
              <w:rPr>
                <w:sz w:val="20"/>
                <w:szCs w:val="20"/>
              </w:rPr>
              <w:t>Personal loans</w:t>
            </w:r>
          </w:p>
        </w:tc>
        <w:tc>
          <w:tcPr>
            <w:tcW w:w="1701" w:type="dxa"/>
            <w:vAlign w:val="bottom"/>
          </w:tcPr>
          <w:p w14:paraId="3E0CAF39" w14:textId="747E5029" w:rsidR="006952AC" w:rsidRPr="00701439" w:rsidRDefault="006952AC" w:rsidP="000328C7">
            <w:pPr>
              <w:pStyle w:val="NoSpacing"/>
              <w:jc w:val="right"/>
              <w:rPr>
                <w:rFonts w:cstheme="minorHAnsi"/>
                <w:sz w:val="20"/>
                <w:szCs w:val="20"/>
              </w:rPr>
            </w:pPr>
            <w:r w:rsidRPr="00701439">
              <w:rPr>
                <w:rFonts w:cstheme="minorHAnsi"/>
                <w:sz w:val="20"/>
                <w:szCs w:val="20"/>
              </w:rPr>
              <w:t>(</w:t>
            </w:r>
            <w:r w:rsidR="000F5148" w:rsidRPr="00701439">
              <w:rPr>
                <w:rFonts w:cstheme="minorHAnsi"/>
                <w:sz w:val="20"/>
                <w:szCs w:val="20"/>
              </w:rPr>
              <w:t>15</w:t>
            </w:r>
            <w:r w:rsidRPr="00701439">
              <w:rPr>
                <w:rFonts w:cstheme="minorHAnsi"/>
                <w:sz w:val="20"/>
                <w:szCs w:val="20"/>
              </w:rPr>
              <w:t>.7)</w:t>
            </w:r>
          </w:p>
        </w:tc>
        <w:tc>
          <w:tcPr>
            <w:tcW w:w="1984" w:type="dxa"/>
            <w:vAlign w:val="bottom"/>
          </w:tcPr>
          <w:p w14:paraId="07AB01AA" w14:textId="3F7C0ACD" w:rsidR="006952AC" w:rsidRPr="00701439" w:rsidRDefault="006952AC" w:rsidP="000328C7">
            <w:pPr>
              <w:pStyle w:val="NoSpacing"/>
              <w:jc w:val="right"/>
              <w:rPr>
                <w:rFonts w:cstheme="minorHAnsi"/>
                <w:sz w:val="20"/>
                <w:szCs w:val="20"/>
              </w:rPr>
            </w:pPr>
            <w:r w:rsidRPr="00701439">
              <w:rPr>
                <w:rFonts w:cstheme="minorHAnsi"/>
                <w:sz w:val="20"/>
                <w:szCs w:val="20"/>
              </w:rPr>
              <w:t>(8.7)</w:t>
            </w:r>
          </w:p>
        </w:tc>
      </w:tr>
      <w:tr w:rsidR="006952AC" w:rsidRPr="00701439" w14:paraId="394558F2" w14:textId="2AB45CE3" w:rsidTr="0002541E">
        <w:trPr>
          <w:gridAfter w:val="1"/>
          <w:wAfter w:w="236" w:type="dxa"/>
        </w:trPr>
        <w:tc>
          <w:tcPr>
            <w:tcW w:w="4961" w:type="dxa"/>
            <w:vAlign w:val="bottom"/>
            <w:hideMark/>
          </w:tcPr>
          <w:p w14:paraId="7DBCEDD9" w14:textId="727EEA34" w:rsidR="006952AC" w:rsidRPr="00701439" w:rsidRDefault="006952AC" w:rsidP="006952AC">
            <w:pPr>
              <w:pStyle w:val="NoSpacing"/>
              <w:jc w:val="both"/>
              <w:rPr>
                <w:sz w:val="20"/>
                <w:szCs w:val="20"/>
              </w:rPr>
            </w:pPr>
            <w:r w:rsidRPr="00701439">
              <w:rPr>
                <w:sz w:val="20"/>
                <w:szCs w:val="20"/>
              </w:rPr>
              <w:t xml:space="preserve">– Central </w:t>
            </w:r>
            <w:r w:rsidR="007B3771" w:rsidRPr="00701439">
              <w:rPr>
                <w:sz w:val="20"/>
                <w:szCs w:val="20"/>
              </w:rPr>
              <w:t>division:</w:t>
            </w:r>
          </w:p>
        </w:tc>
        <w:tc>
          <w:tcPr>
            <w:tcW w:w="1701" w:type="dxa"/>
            <w:tcBorders>
              <w:top w:val="nil"/>
              <w:left w:val="nil"/>
              <w:right w:val="nil"/>
            </w:tcBorders>
            <w:vAlign w:val="bottom"/>
          </w:tcPr>
          <w:p w14:paraId="53FD97D0" w14:textId="5A8F20EF" w:rsidR="006952AC" w:rsidRPr="00701439" w:rsidRDefault="006952AC" w:rsidP="000328C7">
            <w:pPr>
              <w:jc w:val="right"/>
              <w:rPr>
                <w:rFonts w:asciiTheme="minorHAnsi" w:hAnsiTheme="minorHAnsi" w:cs="Arial"/>
                <w:sz w:val="20"/>
                <w:szCs w:val="20"/>
              </w:rPr>
            </w:pPr>
          </w:p>
        </w:tc>
        <w:tc>
          <w:tcPr>
            <w:tcW w:w="1984" w:type="dxa"/>
            <w:tcBorders>
              <w:top w:val="nil"/>
              <w:left w:val="nil"/>
              <w:right w:val="nil"/>
            </w:tcBorders>
            <w:vAlign w:val="bottom"/>
          </w:tcPr>
          <w:p w14:paraId="42B5FBAD" w14:textId="3FEF5527" w:rsidR="006952AC" w:rsidRPr="00701439" w:rsidRDefault="006952AC" w:rsidP="000328C7">
            <w:pPr>
              <w:pStyle w:val="NoSpacing"/>
              <w:jc w:val="right"/>
              <w:rPr>
                <w:rFonts w:cstheme="minorHAnsi"/>
                <w:sz w:val="20"/>
                <w:szCs w:val="20"/>
              </w:rPr>
            </w:pPr>
          </w:p>
        </w:tc>
      </w:tr>
      <w:tr w:rsidR="007B3771" w:rsidRPr="00701439" w14:paraId="5A1C089C" w14:textId="77777777" w:rsidTr="0002541E">
        <w:trPr>
          <w:gridAfter w:val="1"/>
          <w:wAfter w:w="236" w:type="dxa"/>
        </w:trPr>
        <w:tc>
          <w:tcPr>
            <w:tcW w:w="4961" w:type="dxa"/>
            <w:vAlign w:val="bottom"/>
          </w:tcPr>
          <w:p w14:paraId="6CBB7016" w14:textId="3E428978" w:rsidR="007B3771" w:rsidRPr="00701439" w:rsidRDefault="007B3771" w:rsidP="0002541E">
            <w:pPr>
              <w:pStyle w:val="NoSpacing"/>
              <w:numPr>
                <w:ilvl w:val="0"/>
                <w:numId w:val="47"/>
              </w:numPr>
              <w:jc w:val="both"/>
              <w:rPr>
                <w:sz w:val="20"/>
                <w:szCs w:val="20"/>
              </w:rPr>
            </w:pPr>
            <w:r w:rsidRPr="00701439">
              <w:rPr>
                <w:sz w:val="20"/>
                <w:szCs w:val="20"/>
              </w:rPr>
              <w:t xml:space="preserve">Central costs </w:t>
            </w:r>
          </w:p>
        </w:tc>
        <w:tc>
          <w:tcPr>
            <w:tcW w:w="1701" w:type="dxa"/>
            <w:tcBorders>
              <w:top w:val="nil"/>
              <w:left w:val="nil"/>
              <w:right w:val="nil"/>
            </w:tcBorders>
            <w:vAlign w:val="bottom"/>
          </w:tcPr>
          <w:p w14:paraId="6DC7FFF0" w14:textId="6F5DF5A5" w:rsidR="007B3771" w:rsidRPr="00701439" w:rsidRDefault="00A04AC9" w:rsidP="000328C7">
            <w:pPr>
              <w:jc w:val="right"/>
              <w:rPr>
                <w:rFonts w:asciiTheme="minorHAnsi" w:hAnsiTheme="minorHAnsi" w:cs="Arial"/>
                <w:sz w:val="20"/>
                <w:szCs w:val="20"/>
              </w:rPr>
            </w:pPr>
            <w:r w:rsidRPr="00701439">
              <w:rPr>
                <w:rFonts w:asciiTheme="minorHAnsi" w:hAnsiTheme="minorHAnsi" w:cs="Arial"/>
                <w:sz w:val="20"/>
                <w:szCs w:val="20"/>
              </w:rPr>
              <w:t>(29.9)</w:t>
            </w:r>
          </w:p>
        </w:tc>
        <w:tc>
          <w:tcPr>
            <w:tcW w:w="1984" w:type="dxa"/>
            <w:tcBorders>
              <w:top w:val="nil"/>
              <w:left w:val="nil"/>
              <w:right w:val="nil"/>
            </w:tcBorders>
            <w:vAlign w:val="bottom"/>
          </w:tcPr>
          <w:p w14:paraId="2CB29572" w14:textId="78803D62" w:rsidR="007B3771" w:rsidRPr="00701439" w:rsidRDefault="00A04AC9" w:rsidP="000328C7">
            <w:pPr>
              <w:pStyle w:val="NoSpacing"/>
              <w:jc w:val="right"/>
              <w:rPr>
                <w:rFonts w:cs="Arial"/>
                <w:sz w:val="20"/>
                <w:szCs w:val="20"/>
              </w:rPr>
            </w:pPr>
            <w:r w:rsidRPr="00701439">
              <w:rPr>
                <w:rFonts w:cs="Arial"/>
                <w:sz w:val="20"/>
                <w:szCs w:val="20"/>
              </w:rPr>
              <w:t>(18.2)</w:t>
            </w:r>
          </w:p>
        </w:tc>
      </w:tr>
      <w:tr w:rsidR="007B3771" w:rsidRPr="00701439" w14:paraId="771C4BFE" w14:textId="77777777" w:rsidTr="0002541E">
        <w:trPr>
          <w:gridAfter w:val="1"/>
          <w:wAfter w:w="236" w:type="dxa"/>
        </w:trPr>
        <w:tc>
          <w:tcPr>
            <w:tcW w:w="4961" w:type="dxa"/>
            <w:vAlign w:val="bottom"/>
          </w:tcPr>
          <w:p w14:paraId="00D19018" w14:textId="538EE69F" w:rsidR="007B3771" w:rsidRPr="00701439" w:rsidRDefault="003B37C6" w:rsidP="0002541E">
            <w:pPr>
              <w:pStyle w:val="NoSpacing"/>
              <w:numPr>
                <w:ilvl w:val="0"/>
                <w:numId w:val="47"/>
              </w:numPr>
              <w:jc w:val="both"/>
              <w:rPr>
                <w:sz w:val="20"/>
                <w:szCs w:val="20"/>
              </w:rPr>
            </w:pPr>
            <w:r w:rsidRPr="00701439">
              <w:rPr>
                <w:sz w:val="20"/>
                <w:szCs w:val="20"/>
              </w:rPr>
              <w:t>Transformation and Change</w:t>
            </w:r>
          </w:p>
        </w:tc>
        <w:tc>
          <w:tcPr>
            <w:tcW w:w="1701" w:type="dxa"/>
            <w:tcBorders>
              <w:top w:val="nil"/>
              <w:left w:val="nil"/>
              <w:right w:val="nil"/>
            </w:tcBorders>
            <w:vAlign w:val="bottom"/>
          </w:tcPr>
          <w:p w14:paraId="0291A6EA" w14:textId="195039E4" w:rsidR="007B3771" w:rsidRPr="00701439" w:rsidRDefault="00A04AC9" w:rsidP="000328C7">
            <w:pPr>
              <w:jc w:val="right"/>
              <w:rPr>
                <w:rFonts w:asciiTheme="minorHAnsi" w:hAnsiTheme="minorHAnsi" w:cs="Arial"/>
                <w:sz w:val="20"/>
                <w:szCs w:val="20"/>
              </w:rPr>
            </w:pPr>
            <w:r w:rsidRPr="00701439">
              <w:rPr>
                <w:rFonts w:asciiTheme="minorHAnsi" w:hAnsiTheme="minorHAnsi" w:cs="Arial"/>
                <w:sz w:val="20"/>
                <w:szCs w:val="20"/>
              </w:rPr>
              <w:t>(34.5)</w:t>
            </w:r>
          </w:p>
        </w:tc>
        <w:tc>
          <w:tcPr>
            <w:tcW w:w="1984" w:type="dxa"/>
            <w:tcBorders>
              <w:top w:val="nil"/>
              <w:left w:val="nil"/>
              <w:right w:val="nil"/>
            </w:tcBorders>
            <w:vAlign w:val="bottom"/>
          </w:tcPr>
          <w:p w14:paraId="28BD0958" w14:textId="4599EFDE" w:rsidR="007B3771" w:rsidRPr="00701439" w:rsidRDefault="00A04AC9" w:rsidP="000328C7">
            <w:pPr>
              <w:pStyle w:val="NoSpacing"/>
              <w:jc w:val="right"/>
              <w:rPr>
                <w:rFonts w:cs="Arial"/>
                <w:sz w:val="20"/>
                <w:szCs w:val="20"/>
              </w:rPr>
            </w:pPr>
            <w:r w:rsidRPr="00701439">
              <w:rPr>
                <w:rFonts w:cs="Arial"/>
                <w:sz w:val="20"/>
                <w:szCs w:val="20"/>
              </w:rPr>
              <w:t>(8.1)</w:t>
            </w:r>
          </w:p>
        </w:tc>
      </w:tr>
      <w:tr w:rsidR="004751A5" w:rsidRPr="00701439" w14:paraId="1D28B2DB" w14:textId="77777777" w:rsidTr="0002541E">
        <w:trPr>
          <w:gridAfter w:val="1"/>
          <w:wAfter w:w="236" w:type="dxa"/>
        </w:trPr>
        <w:tc>
          <w:tcPr>
            <w:tcW w:w="4961" w:type="dxa"/>
            <w:vAlign w:val="bottom"/>
          </w:tcPr>
          <w:p w14:paraId="218D5EF5" w14:textId="1D2FC6C9" w:rsidR="004751A5" w:rsidRPr="00701439" w:rsidRDefault="00A40300" w:rsidP="007B3771">
            <w:pPr>
              <w:pStyle w:val="NoSpacing"/>
              <w:numPr>
                <w:ilvl w:val="0"/>
                <w:numId w:val="47"/>
              </w:numPr>
              <w:jc w:val="both"/>
              <w:rPr>
                <w:sz w:val="20"/>
                <w:szCs w:val="20"/>
              </w:rPr>
            </w:pPr>
            <w:r w:rsidRPr="00701439">
              <w:rPr>
                <w:sz w:val="20"/>
                <w:szCs w:val="20"/>
              </w:rPr>
              <w:t>Bond interest including Tier 2</w:t>
            </w:r>
          </w:p>
        </w:tc>
        <w:tc>
          <w:tcPr>
            <w:tcW w:w="1701" w:type="dxa"/>
            <w:tcBorders>
              <w:top w:val="nil"/>
              <w:left w:val="nil"/>
              <w:bottom w:val="single" w:sz="4" w:space="0" w:color="auto"/>
              <w:right w:val="nil"/>
            </w:tcBorders>
            <w:vAlign w:val="bottom"/>
          </w:tcPr>
          <w:p w14:paraId="47808ED5" w14:textId="2F960F4E" w:rsidR="004751A5" w:rsidRPr="00701439" w:rsidRDefault="00A04AC9" w:rsidP="000328C7">
            <w:pPr>
              <w:jc w:val="right"/>
              <w:rPr>
                <w:rFonts w:asciiTheme="minorHAnsi" w:hAnsiTheme="minorHAnsi" w:cs="Arial"/>
                <w:sz w:val="20"/>
                <w:szCs w:val="20"/>
              </w:rPr>
            </w:pPr>
            <w:r w:rsidRPr="00701439">
              <w:rPr>
                <w:rFonts w:asciiTheme="minorHAnsi" w:hAnsiTheme="minorHAnsi" w:cs="Arial"/>
                <w:sz w:val="20"/>
                <w:szCs w:val="20"/>
              </w:rPr>
              <w:t>(9.8)</w:t>
            </w:r>
          </w:p>
        </w:tc>
        <w:tc>
          <w:tcPr>
            <w:tcW w:w="1984" w:type="dxa"/>
            <w:tcBorders>
              <w:top w:val="nil"/>
              <w:left w:val="nil"/>
              <w:bottom w:val="single" w:sz="4" w:space="0" w:color="auto"/>
              <w:right w:val="nil"/>
            </w:tcBorders>
            <w:vAlign w:val="bottom"/>
          </w:tcPr>
          <w:p w14:paraId="29F45334" w14:textId="0A843A0D" w:rsidR="004751A5" w:rsidRPr="00701439" w:rsidRDefault="00A04AC9" w:rsidP="000328C7">
            <w:pPr>
              <w:pStyle w:val="NoSpacing"/>
              <w:jc w:val="right"/>
              <w:rPr>
                <w:rFonts w:cs="Arial"/>
                <w:sz w:val="20"/>
                <w:szCs w:val="20"/>
              </w:rPr>
            </w:pPr>
            <w:r w:rsidRPr="00701439">
              <w:rPr>
                <w:rFonts w:cs="Arial"/>
                <w:sz w:val="20"/>
                <w:szCs w:val="20"/>
              </w:rPr>
              <w:t>-</w:t>
            </w:r>
          </w:p>
        </w:tc>
      </w:tr>
      <w:tr w:rsidR="006952AC" w:rsidRPr="00701439" w14:paraId="5FE53EDD" w14:textId="4000AD86" w:rsidTr="0002541E">
        <w:trPr>
          <w:gridAfter w:val="1"/>
          <w:wAfter w:w="236" w:type="dxa"/>
        </w:trPr>
        <w:tc>
          <w:tcPr>
            <w:tcW w:w="4961" w:type="dxa"/>
            <w:vAlign w:val="bottom"/>
            <w:hideMark/>
          </w:tcPr>
          <w:p w14:paraId="34721F6B" w14:textId="57C370BC" w:rsidR="006952AC" w:rsidRPr="00701439" w:rsidRDefault="006952AC" w:rsidP="000C0987">
            <w:pPr>
              <w:pStyle w:val="NoSpacing"/>
              <w:rPr>
                <w:b/>
                <w:bCs/>
                <w:sz w:val="20"/>
                <w:szCs w:val="20"/>
                <w:vertAlign w:val="superscript"/>
              </w:rPr>
            </w:pPr>
            <w:r w:rsidRPr="00701439">
              <w:rPr>
                <w:b/>
                <w:bCs/>
                <w:sz w:val="20"/>
                <w:szCs w:val="20"/>
              </w:rPr>
              <w:t xml:space="preserve">Adjusted profit before </w:t>
            </w:r>
            <w:r w:rsidR="00DE1C11" w:rsidRPr="00701439">
              <w:rPr>
                <w:b/>
                <w:bCs/>
                <w:sz w:val="20"/>
                <w:szCs w:val="20"/>
              </w:rPr>
              <w:t>tax from continuing operations</w:t>
            </w:r>
            <w:r w:rsidRPr="00701439">
              <w:rPr>
                <w:b/>
                <w:sz w:val="20"/>
                <w:szCs w:val="20"/>
                <w:vertAlign w:val="superscript"/>
              </w:rPr>
              <w:t>1</w:t>
            </w:r>
          </w:p>
        </w:tc>
        <w:tc>
          <w:tcPr>
            <w:tcW w:w="1701" w:type="dxa"/>
            <w:tcBorders>
              <w:top w:val="single" w:sz="4" w:space="0" w:color="auto"/>
              <w:left w:val="nil"/>
              <w:bottom w:val="single" w:sz="12" w:space="0" w:color="auto"/>
              <w:right w:val="nil"/>
            </w:tcBorders>
            <w:vAlign w:val="bottom"/>
          </w:tcPr>
          <w:p w14:paraId="192C2E1B" w14:textId="6ED8291E" w:rsidR="006952AC" w:rsidRPr="00701439" w:rsidRDefault="006952AC" w:rsidP="000328C7">
            <w:pPr>
              <w:jc w:val="right"/>
              <w:rPr>
                <w:rFonts w:asciiTheme="minorHAnsi" w:hAnsiTheme="minorHAnsi" w:cs="Arial"/>
                <w:b/>
                <w:sz w:val="20"/>
                <w:szCs w:val="20"/>
              </w:rPr>
            </w:pPr>
            <w:r w:rsidRPr="00701439">
              <w:rPr>
                <w:rFonts w:asciiTheme="minorHAnsi" w:hAnsiTheme="minorHAnsi" w:cs="Arial"/>
                <w:b/>
                <w:sz w:val="20"/>
                <w:szCs w:val="20"/>
              </w:rPr>
              <w:t>1</w:t>
            </w:r>
            <w:r w:rsidR="009D2B07" w:rsidRPr="00701439">
              <w:rPr>
                <w:rFonts w:asciiTheme="minorHAnsi" w:hAnsiTheme="minorHAnsi" w:cs="Arial"/>
                <w:b/>
                <w:sz w:val="20"/>
                <w:szCs w:val="20"/>
              </w:rPr>
              <w:t>2</w:t>
            </w:r>
            <w:r w:rsidR="00B04092" w:rsidRPr="00701439">
              <w:rPr>
                <w:rFonts w:asciiTheme="minorHAnsi" w:hAnsiTheme="minorHAnsi" w:cs="Arial"/>
                <w:b/>
                <w:sz w:val="20"/>
                <w:szCs w:val="20"/>
              </w:rPr>
              <w:t>6</w:t>
            </w:r>
            <w:r w:rsidRPr="00701439">
              <w:rPr>
                <w:rFonts w:asciiTheme="minorHAnsi" w:hAnsiTheme="minorHAnsi" w:cs="Arial"/>
                <w:b/>
                <w:sz w:val="20"/>
                <w:szCs w:val="20"/>
              </w:rPr>
              <w:t>.</w:t>
            </w:r>
            <w:r w:rsidR="00B04092" w:rsidRPr="00701439">
              <w:rPr>
                <w:rFonts w:asciiTheme="minorHAnsi" w:hAnsiTheme="minorHAnsi" w:cs="Arial"/>
                <w:b/>
                <w:sz w:val="20"/>
                <w:szCs w:val="20"/>
              </w:rPr>
              <w:t>6</w:t>
            </w:r>
          </w:p>
        </w:tc>
        <w:tc>
          <w:tcPr>
            <w:tcW w:w="1984" w:type="dxa"/>
            <w:tcBorders>
              <w:top w:val="single" w:sz="4" w:space="0" w:color="auto"/>
              <w:left w:val="nil"/>
              <w:bottom w:val="single" w:sz="12" w:space="0" w:color="auto"/>
              <w:right w:val="nil"/>
            </w:tcBorders>
            <w:vAlign w:val="bottom"/>
          </w:tcPr>
          <w:p w14:paraId="4EF17A4E" w14:textId="55589BF9" w:rsidR="006952AC" w:rsidRPr="00701439" w:rsidRDefault="006952AC" w:rsidP="000328C7">
            <w:pPr>
              <w:pStyle w:val="NoSpacing"/>
              <w:jc w:val="right"/>
              <w:rPr>
                <w:rFonts w:cstheme="minorHAnsi"/>
                <w:b/>
                <w:sz w:val="20"/>
                <w:szCs w:val="20"/>
              </w:rPr>
            </w:pPr>
            <w:r w:rsidRPr="00701439">
              <w:rPr>
                <w:rFonts w:cs="Arial"/>
                <w:b/>
                <w:sz w:val="20"/>
                <w:szCs w:val="20"/>
              </w:rPr>
              <w:t>167.8</w:t>
            </w:r>
          </w:p>
        </w:tc>
      </w:tr>
      <w:tr w:rsidR="006952AC" w:rsidRPr="00701439" w14:paraId="2E17692D" w14:textId="29A10E0A" w:rsidTr="0002541E">
        <w:trPr>
          <w:gridAfter w:val="1"/>
          <w:wAfter w:w="236" w:type="dxa"/>
        </w:trPr>
        <w:tc>
          <w:tcPr>
            <w:tcW w:w="4961" w:type="dxa"/>
            <w:hideMark/>
          </w:tcPr>
          <w:p w14:paraId="78A98B9C" w14:textId="3D1C606F" w:rsidR="006952AC" w:rsidRPr="00701439" w:rsidRDefault="006952AC" w:rsidP="006952AC">
            <w:pPr>
              <w:pStyle w:val="NoSpacing"/>
              <w:jc w:val="both"/>
              <w:rPr>
                <w:bCs/>
                <w:sz w:val="20"/>
                <w:szCs w:val="20"/>
              </w:rPr>
            </w:pPr>
            <w:r w:rsidRPr="00701439">
              <w:rPr>
                <w:sz w:val="20"/>
                <w:szCs w:val="20"/>
              </w:rPr>
              <w:t>Amortisation of acquisition intangibles</w:t>
            </w:r>
          </w:p>
        </w:tc>
        <w:tc>
          <w:tcPr>
            <w:tcW w:w="1701" w:type="dxa"/>
            <w:tcBorders>
              <w:top w:val="single" w:sz="12" w:space="0" w:color="auto"/>
              <w:left w:val="nil"/>
              <w:bottom w:val="nil"/>
              <w:right w:val="nil"/>
            </w:tcBorders>
            <w:vAlign w:val="bottom"/>
          </w:tcPr>
          <w:p w14:paraId="1B5DCC05" w14:textId="73C4E699" w:rsidR="006952AC" w:rsidRPr="00701439" w:rsidRDefault="006952AC" w:rsidP="000328C7">
            <w:pPr>
              <w:pStyle w:val="NoSpacing"/>
              <w:jc w:val="right"/>
              <w:rPr>
                <w:rFonts w:cstheme="minorHAnsi"/>
                <w:sz w:val="20"/>
                <w:szCs w:val="20"/>
              </w:rPr>
            </w:pPr>
            <w:r w:rsidRPr="00701439">
              <w:rPr>
                <w:rFonts w:cstheme="minorHAnsi"/>
                <w:sz w:val="20"/>
                <w:szCs w:val="20"/>
              </w:rPr>
              <w:t>(7.5)</w:t>
            </w:r>
          </w:p>
        </w:tc>
        <w:tc>
          <w:tcPr>
            <w:tcW w:w="1984" w:type="dxa"/>
            <w:tcBorders>
              <w:top w:val="single" w:sz="12" w:space="0" w:color="auto"/>
              <w:left w:val="nil"/>
              <w:bottom w:val="nil"/>
              <w:right w:val="nil"/>
            </w:tcBorders>
            <w:vAlign w:val="bottom"/>
          </w:tcPr>
          <w:p w14:paraId="7868A877" w14:textId="43647C71" w:rsidR="006952AC" w:rsidRPr="00701439" w:rsidRDefault="006952AC" w:rsidP="000328C7">
            <w:pPr>
              <w:pStyle w:val="NoSpacing"/>
              <w:jc w:val="right"/>
              <w:rPr>
                <w:rFonts w:cstheme="minorHAnsi"/>
                <w:sz w:val="20"/>
                <w:szCs w:val="20"/>
              </w:rPr>
            </w:pPr>
            <w:r w:rsidRPr="00701439">
              <w:rPr>
                <w:rFonts w:cstheme="minorHAnsi"/>
                <w:sz w:val="20"/>
                <w:szCs w:val="20"/>
              </w:rPr>
              <w:t>(7.5)</w:t>
            </w:r>
          </w:p>
        </w:tc>
      </w:tr>
      <w:tr w:rsidR="006952AC" w:rsidRPr="00701439" w14:paraId="3C9B8F89" w14:textId="142B021F" w:rsidTr="0002541E">
        <w:trPr>
          <w:gridAfter w:val="1"/>
          <w:wAfter w:w="236" w:type="dxa"/>
        </w:trPr>
        <w:tc>
          <w:tcPr>
            <w:tcW w:w="4961" w:type="dxa"/>
            <w:hideMark/>
          </w:tcPr>
          <w:p w14:paraId="532AA3EF" w14:textId="37B668E9" w:rsidR="006952AC" w:rsidRPr="00701439" w:rsidRDefault="003819A6" w:rsidP="006952AC">
            <w:pPr>
              <w:pStyle w:val="NoSpacing"/>
              <w:jc w:val="both"/>
              <w:rPr>
                <w:bCs/>
                <w:sz w:val="20"/>
                <w:szCs w:val="20"/>
              </w:rPr>
            </w:pPr>
            <w:r w:rsidRPr="00701439">
              <w:rPr>
                <w:sz w:val="20"/>
                <w:szCs w:val="20"/>
              </w:rPr>
              <w:t>Exceptional items</w:t>
            </w:r>
            <w:r w:rsidR="0044688E" w:rsidRPr="00701439">
              <w:rPr>
                <w:sz w:val="20"/>
                <w:szCs w:val="20"/>
              </w:rPr>
              <w:t xml:space="preserve"> – continuing operations</w:t>
            </w:r>
            <w:r w:rsidR="006952AC" w:rsidRPr="00701439">
              <w:rPr>
                <w:sz w:val="20"/>
                <w:szCs w:val="20"/>
              </w:rPr>
              <w:t xml:space="preserve"> </w:t>
            </w:r>
          </w:p>
        </w:tc>
        <w:tc>
          <w:tcPr>
            <w:tcW w:w="1701" w:type="dxa"/>
            <w:tcBorders>
              <w:top w:val="nil"/>
              <w:left w:val="nil"/>
              <w:bottom w:val="single" w:sz="4" w:space="0" w:color="auto"/>
              <w:right w:val="nil"/>
            </w:tcBorders>
            <w:vAlign w:val="bottom"/>
          </w:tcPr>
          <w:p w14:paraId="25DFF7B2" w14:textId="49763024" w:rsidR="006952AC" w:rsidRPr="00701439" w:rsidRDefault="006952AC" w:rsidP="00084386">
            <w:pPr>
              <w:pStyle w:val="NoSpacing"/>
              <w:jc w:val="right"/>
              <w:rPr>
                <w:rFonts w:cstheme="minorHAnsi"/>
                <w:sz w:val="20"/>
                <w:szCs w:val="20"/>
              </w:rPr>
            </w:pPr>
            <w:r w:rsidRPr="00701439">
              <w:rPr>
                <w:rFonts w:cstheme="minorHAnsi"/>
                <w:sz w:val="20"/>
                <w:szCs w:val="20"/>
              </w:rPr>
              <w:t>(</w:t>
            </w:r>
            <w:r w:rsidR="006A0BB8" w:rsidRPr="00701439">
              <w:rPr>
                <w:rFonts w:cstheme="minorHAnsi"/>
                <w:sz w:val="20"/>
                <w:szCs w:val="20"/>
              </w:rPr>
              <w:t>9.0</w:t>
            </w:r>
            <w:r w:rsidRPr="00701439">
              <w:rPr>
                <w:rFonts w:cstheme="minorHAnsi"/>
                <w:sz w:val="20"/>
                <w:szCs w:val="20"/>
              </w:rPr>
              <w:t>)</w:t>
            </w:r>
          </w:p>
        </w:tc>
        <w:tc>
          <w:tcPr>
            <w:tcW w:w="1984" w:type="dxa"/>
            <w:tcBorders>
              <w:top w:val="nil"/>
              <w:left w:val="nil"/>
              <w:bottom w:val="single" w:sz="4" w:space="0" w:color="auto"/>
              <w:right w:val="nil"/>
            </w:tcBorders>
            <w:vAlign w:val="bottom"/>
          </w:tcPr>
          <w:p w14:paraId="1C2E2269" w14:textId="3F2E294C" w:rsidR="006952AC" w:rsidRPr="00701439" w:rsidRDefault="005A71E3" w:rsidP="000328C7">
            <w:pPr>
              <w:pStyle w:val="NoSpacing"/>
              <w:jc w:val="right"/>
              <w:rPr>
                <w:rFonts w:cstheme="minorHAnsi"/>
                <w:sz w:val="20"/>
                <w:szCs w:val="20"/>
              </w:rPr>
            </w:pPr>
            <w:r w:rsidRPr="00701439">
              <w:rPr>
                <w:rFonts w:cstheme="minorHAnsi"/>
                <w:sz w:val="20"/>
                <w:szCs w:val="20"/>
              </w:rPr>
              <w:t>(18.1)</w:t>
            </w:r>
          </w:p>
        </w:tc>
      </w:tr>
      <w:tr w:rsidR="006952AC" w:rsidRPr="00701439" w14:paraId="2B0908E7" w14:textId="1A14D3B2" w:rsidTr="0002541E">
        <w:trPr>
          <w:gridAfter w:val="1"/>
          <w:wAfter w:w="236" w:type="dxa"/>
        </w:trPr>
        <w:tc>
          <w:tcPr>
            <w:tcW w:w="4961" w:type="dxa"/>
            <w:hideMark/>
          </w:tcPr>
          <w:p w14:paraId="36DE46F9" w14:textId="578B14E1" w:rsidR="006952AC" w:rsidRPr="00701439" w:rsidRDefault="006B2719" w:rsidP="006952AC">
            <w:pPr>
              <w:pStyle w:val="NoSpacing"/>
              <w:jc w:val="both"/>
              <w:rPr>
                <w:b/>
                <w:bCs/>
                <w:sz w:val="20"/>
                <w:szCs w:val="20"/>
              </w:rPr>
            </w:pPr>
            <w:r w:rsidRPr="00701439">
              <w:rPr>
                <w:b/>
                <w:sz w:val="20"/>
                <w:szCs w:val="20"/>
              </w:rPr>
              <w:t xml:space="preserve">Statutory </w:t>
            </w:r>
            <w:r w:rsidR="00B275C7" w:rsidRPr="00701439">
              <w:rPr>
                <w:b/>
                <w:sz w:val="20"/>
                <w:szCs w:val="20"/>
              </w:rPr>
              <w:t>profit before ta</w:t>
            </w:r>
            <w:r w:rsidR="002450D2" w:rsidRPr="00701439">
              <w:rPr>
                <w:b/>
                <w:sz w:val="20"/>
                <w:szCs w:val="20"/>
              </w:rPr>
              <w:t>x from continuing operations</w:t>
            </w:r>
          </w:p>
        </w:tc>
        <w:tc>
          <w:tcPr>
            <w:tcW w:w="1701" w:type="dxa"/>
            <w:tcBorders>
              <w:top w:val="single" w:sz="4" w:space="0" w:color="auto"/>
              <w:left w:val="nil"/>
              <w:bottom w:val="single" w:sz="4" w:space="0" w:color="auto"/>
              <w:right w:val="nil"/>
            </w:tcBorders>
            <w:vAlign w:val="bottom"/>
          </w:tcPr>
          <w:p w14:paraId="08558DE2" w14:textId="044D1195" w:rsidR="006952AC" w:rsidRPr="00701439" w:rsidRDefault="006E4ADD" w:rsidP="000328C7">
            <w:pPr>
              <w:pStyle w:val="NoSpacing"/>
              <w:jc w:val="right"/>
              <w:rPr>
                <w:rFonts w:cstheme="minorHAnsi"/>
                <w:b/>
                <w:sz w:val="20"/>
                <w:szCs w:val="20"/>
              </w:rPr>
            </w:pPr>
            <w:r w:rsidRPr="00701439">
              <w:rPr>
                <w:rFonts w:cstheme="minorHAnsi"/>
                <w:b/>
                <w:sz w:val="20"/>
                <w:szCs w:val="20"/>
              </w:rPr>
              <w:t>1</w:t>
            </w:r>
            <w:r w:rsidR="00B04092" w:rsidRPr="00701439">
              <w:rPr>
                <w:rFonts w:cstheme="minorHAnsi"/>
                <w:b/>
                <w:sz w:val="20"/>
                <w:szCs w:val="20"/>
              </w:rPr>
              <w:t>10.1</w:t>
            </w:r>
          </w:p>
        </w:tc>
        <w:tc>
          <w:tcPr>
            <w:tcW w:w="1984" w:type="dxa"/>
            <w:tcBorders>
              <w:top w:val="single" w:sz="4" w:space="0" w:color="auto"/>
              <w:left w:val="nil"/>
              <w:bottom w:val="single" w:sz="4" w:space="0" w:color="auto"/>
              <w:right w:val="nil"/>
            </w:tcBorders>
            <w:vAlign w:val="bottom"/>
          </w:tcPr>
          <w:p w14:paraId="5530DF42" w14:textId="3F19A20B" w:rsidR="006952AC" w:rsidRPr="00701439" w:rsidRDefault="00E11D94" w:rsidP="000328C7">
            <w:pPr>
              <w:pStyle w:val="NoSpacing"/>
              <w:jc w:val="right"/>
              <w:rPr>
                <w:rFonts w:cstheme="minorHAnsi"/>
                <w:b/>
                <w:sz w:val="20"/>
                <w:szCs w:val="20"/>
              </w:rPr>
            </w:pPr>
            <w:r w:rsidRPr="00701439">
              <w:rPr>
                <w:rFonts w:cstheme="minorHAnsi"/>
                <w:b/>
                <w:sz w:val="20"/>
                <w:szCs w:val="20"/>
              </w:rPr>
              <w:t>142.2</w:t>
            </w:r>
          </w:p>
        </w:tc>
      </w:tr>
      <w:tr w:rsidR="006952AC" w:rsidRPr="00701439" w14:paraId="6F45627B" w14:textId="77777777" w:rsidTr="0002541E">
        <w:trPr>
          <w:gridAfter w:val="1"/>
          <w:wAfter w:w="236" w:type="dxa"/>
        </w:trPr>
        <w:tc>
          <w:tcPr>
            <w:tcW w:w="4961" w:type="dxa"/>
          </w:tcPr>
          <w:p w14:paraId="31A1E935" w14:textId="15749B0E" w:rsidR="006952AC" w:rsidRPr="00701439" w:rsidRDefault="006A0BB8" w:rsidP="006952AC">
            <w:pPr>
              <w:pStyle w:val="NoSpacing"/>
              <w:jc w:val="both"/>
              <w:rPr>
                <w:sz w:val="20"/>
                <w:szCs w:val="20"/>
              </w:rPr>
            </w:pPr>
            <w:r w:rsidRPr="00701439">
              <w:rPr>
                <w:sz w:val="20"/>
                <w:szCs w:val="20"/>
              </w:rPr>
              <w:t>Loss for discontinued operations</w:t>
            </w:r>
          </w:p>
        </w:tc>
        <w:tc>
          <w:tcPr>
            <w:tcW w:w="1701" w:type="dxa"/>
            <w:tcBorders>
              <w:top w:val="single" w:sz="4" w:space="0" w:color="auto"/>
              <w:left w:val="nil"/>
              <w:bottom w:val="single" w:sz="4" w:space="0" w:color="auto"/>
              <w:right w:val="nil"/>
            </w:tcBorders>
            <w:vAlign w:val="bottom"/>
          </w:tcPr>
          <w:p w14:paraId="2B7C6F92" w14:textId="754DACC7" w:rsidR="006952AC" w:rsidRPr="00701439" w:rsidRDefault="006952AC" w:rsidP="000328C7">
            <w:pPr>
              <w:pStyle w:val="NoSpacing"/>
              <w:jc w:val="right"/>
              <w:rPr>
                <w:rFonts w:cstheme="minorHAnsi"/>
                <w:sz w:val="20"/>
                <w:szCs w:val="20"/>
              </w:rPr>
            </w:pPr>
            <w:r w:rsidRPr="00701439">
              <w:rPr>
                <w:rFonts w:cstheme="minorHAnsi"/>
                <w:sz w:val="20"/>
                <w:szCs w:val="20"/>
              </w:rPr>
              <w:t>(</w:t>
            </w:r>
            <w:r w:rsidR="00257196" w:rsidRPr="00701439">
              <w:rPr>
                <w:rFonts w:cstheme="minorHAnsi"/>
                <w:sz w:val="20"/>
                <w:szCs w:val="20"/>
              </w:rPr>
              <w:t>10.7</w:t>
            </w:r>
            <w:r w:rsidRPr="00701439">
              <w:rPr>
                <w:rFonts w:cstheme="minorHAnsi"/>
                <w:sz w:val="20"/>
                <w:szCs w:val="20"/>
              </w:rPr>
              <w:t>)</w:t>
            </w:r>
          </w:p>
        </w:tc>
        <w:tc>
          <w:tcPr>
            <w:tcW w:w="1984" w:type="dxa"/>
            <w:tcBorders>
              <w:top w:val="single" w:sz="4" w:space="0" w:color="auto"/>
              <w:left w:val="nil"/>
              <w:bottom w:val="single" w:sz="4" w:space="0" w:color="auto"/>
              <w:right w:val="nil"/>
            </w:tcBorders>
            <w:vAlign w:val="bottom"/>
          </w:tcPr>
          <w:p w14:paraId="5FD0FB4B" w14:textId="5A0A5C7F" w:rsidR="006952AC" w:rsidRPr="00701439" w:rsidRDefault="006952AC" w:rsidP="000328C7">
            <w:pPr>
              <w:pStyle w:val="NoSpacing"/>
              <w:jc w:val="right"/>
              <w:rPr>
                <w:rFonts w:cstheme="minorHAnsi"/>
                <w:sz w:val="20"/>
                <w:szCs w:val="20"/>
              </w:rPr>
            </w:pPr>
            <w:r w:rsidRPr="00701439">
              <w:rPr>
                <w:rFonts w:cstheme="minorHAnsi"/>
                <w:sz w:val="20"/>
                <w:szCs w:val="20"/>
              </w:rPr>
              <w:t>(</w:t>
            </w:r>
            <w:r w:rsidR="003D07D4" w:rsidRPr="00701439">
              <w:rPr>
                <w:rFonts w:cstheme="minorHAnsi"/>
                <w:sz w:val="20"/>
                <w:szCs w:val="20"/>
              </w:rPr>
              <w:t>138.1</w:t>
            </w:r>
            <w:r w:rsidRPr="00701439">
              <w:rPr>
                <w:rFonts w:cstheme="minorHAnsi"/>
                <w:sz w:val="20"/>
                <w:szCs w:val="20"/>
              </w:rPr>
              <w:t>)</w:t>
            </w:r>
          </w:p>
        </w:tc>
      </w:tr>
      <w:tr w:rsidR="006952AC" w:rsidRPr="00701439" w14:paraId="733AA365" w14:textId="77777777" w:rsidTr="0002541E">
        <w:trPr>
          <w:gridAfter w:val="1"/>
          <w:wAfter w:w="236" w:type="dxa"/>
        </w:trPr>
        <w:tc>
          <w:tcPr>
            <w:tcW w:w="4961" w:type="dxa"/>
          </w:tcPr>
          <w:p w14:paraId="53DFFAA6" w14:textId="19BC4152" w:rsidR="006952AC" w:rsidRPr="00701439" w:rsidRDefault="00C706C1" w:rsidP="006952AC">
            <w:pPr>
              <w:pStyle w:val="NoSpacing"/>
              <w:jc w:val="both"/>
              <w:rPr>
                <w:b/>
                <w:sz w:val="20"/>
                <w:szCs w:val="20"/>
              </w:rPr>
            </w:pPr>
            <w:r w:rsidRPr="00701439">
              <w:rPr>
                <w:b/>
                <w:sz w:val="20"/>
                <w:szCs w:val="20"/>
              </w:rPr>
              <w:t>Statutory p</w:t>
            </w:r>
            <w:r w:rsidR="006952AC" w:rsidRPr="00701439">
              <w:rPr>
                <w:b/>
                <w:sz w:val="20"/>
                <w:szCs w:val="20"/>
              </w:rPr>
              <w:t>rofit before tax</w:t>
            </w:r>
          </w:p>
        </w:tc>
        <w:tc>
          <w:tcPr>
            <w:tcW w:w="1701" w:type="dxa"/>
            <w:tcBorders>
              <w:top w:val="single" w:sz="4" w:space="0" w:color="auto"/>
              <w:left w:val="nil"/>
              <w:bottom w:val="single" w:sz="4" w:space="0" w:color="auto"/>
              <w:right w:val="nil"/>
            </w:tcBorders>
            <w:vAlign w:val="bottom"/>
          </w:tcPr>
          <w:p w14:paraId="529F96C8" w14:textId="76064E99" w:rsidR="006952AC" w:rsidRPr="00701439" w:rsidRDefault="007E4D45" w:rsidP="000328C7">
            <w:pPr>
              <w:pStyle w:val="NoSpacing"/>
              <w:jc w:val="right"/>
              <w:rPr>
                <w:rFonts w:cstheme="minorHAnsi"/>
                <w:b/>
                <w:sz w:val="20"/>
                <w:szCs w:val="20"/>
              </w:rPr>
            </w:pPr>
            <w:r w:rsidRPr="00701439">
              <w:rPr>
                <w:rFonts w:cstheme="minorHAnsi"/>
                <w:b/>
                <w:sz w:val="20"/>
                <w:szCs w:val="20"/>
              </w:rPr>
              <w:t>9</w:t>
            </w:r>
            <w:r w:rsidR="00EB3762" w:rsidRPr="00701439">
              <w:rPr>
                <w:rFonts w:cstheme="minorHAnsi"/>
                <w:b/>
                <w:sz w:val="20"/>
                <w:szCs w:val="20"/>
              </w:rPr>
              <w:t>9.4</w:t>
            </w:r>
          </w:p>
        </w:tc>
        <w:tc>
          <w:tcPr>
            <w:tcW w:w="1984" w:type="dxa"/>
            <w:tcBorders>
              <w:top w:val="single" w:sz="4" w:space="0" w:color="auto"/>
              <w:left w:val="nil"/>
              <w:bottom w:val="single" w:sz="4" w:space="0" w:color="auto"/>
              <w:right w:val="nil"/>
            </w:tcBorders>
            <w:vAlign w:val="bottom"/>
          </w:tcPr>
          <w:p w14:paraId="4F6866C0" w14:textId="180C4ABF" w:rsidR="006952AC" w:rsidRPr="00701439" w:rsidRDefault="006952AC" w:rsidP="000328C7">
            <w:pPr>
              <w:pStyle w:val="NoSpacing"/>
              <w:jc w:val="right"/>
              <w:rPr>
                <w:rFonts w:cstheme="minorHAnsi"/>
                <w:b/>
                <w:sz w:val="20"/>
                <w:szCs w:val="20"/>
              </w:rPr>
            </w:pPr>
            <w:r w:rsidRPr="00701439">
              <w:rPr>
                <w:rFonts w:cstheme="minorHAnsi"/>
                <w:b/>
                <w:sz w:val="20"/>
                <w:szCs w:val="20"/>
              </w:rPr>
              <w:t>4.1</w:t>
            </w:r>
          </w:p>
        </w:tc>
      </w:tr>
      <w:tr w:rsidR="006952AC" w:rsidRPr="00701439" w14:paraId="5060A610" w14:textId="16F1CB10" w:rsidTr="0002541E">
        <w:trPr>
          <w:gridAfter w:val="1"/>
          <w:wAfter w:w="236" w:type="dxa"/>
        </w:trPr>
        <w:tc>
          <w:tcPr>
            <w:tcW w:w="4961" w:type="dxa"/>
            <w:vAlign w:val="bottom"/>
          </w:tcPr>
          <w:p w14:paraId="14A74875" w14:textId="77777777" w:rsidR="006952AC" w:rsidRPr="00701439" w:rsidRDefault="006952AC" w:rsidP="006952AC">
            <w:pPr>
              <w:pStyle w:val="NoSpacing"/>
              <w:jc w:val="both"/>
              <w:rPr>
                <w:bCs/>
                <w:sz w:val="8"/>
                <w:szCs w:val="8"/>
              </w:rPr>
            </w:pPr>
          </w:p>
        </w:tc>
        <w:tc>
          <w:tcPr>
            <w:tcW w:w="1701" w:type="dxa"/>
            <w:tcBorders>
              <w:top w:val="single" w:sz="12" w:space="0" w:color="auto"/>
              <w:left w:val="nil"/>
              <w:right w:val="nil"/>
            </w:tcBorders>
            <w:vAlign w:val="bottom"/>
          </w:tcPr>
          <w:p w14:paraId="70936F5E" w14:textId="168A7BB7" w:rsidR="006952AC" w:rsidRPr="00701439" w:rsidRDefault="006952AC" w:rsidP="000328C7">
            <w:pPr>
              <w:pStyle w:val="NoSpacing"/>
              <w:jc w:val="right"/>
              <w:rPr>
                <w:rFonts w:cstheme="minorHAnsi"/>
                <w:sz w:val="8"/>
                <w:szCs w:val="8"/>
              </w:rPr>
            </w:pPr>
          </w:p>
        </w:tc>
        <w:tc>
          <w:tcPr>
            <w:tcW w:w="1984" w:type="dxa"/>
            <w:tcBorders>
              <w:top w:val="single" w:sz="12" w:space="0" w:color="auto"/>
              <w:left w:val="nil"/>
              <w:right w:val="nil"/>
            </w:tcBorders>
            <w:vAlign w:val="bottom"/>
          </w:tcPr>
          <w:p w14:paraId="63245232" w14:textId="77777777" w:rsidR="006952AC" w:rsidRPr="00701439" w:rsidRDefault="006952AC" w:rsidP="000328C7">
            <w:pPr>
              <w:pStyle w:val="NoSpacing"/>
              <w:jc w:val="right"/>
              <w:rPr>
                <w:rFonts w:cstheme="minorHAnsi"/>
                <w:sz w:val="8"/>
                <w:szCs w:val="8"/>
              </w:rPr>
            </w:pPr>
          </w:p>
        </w:tc>
      </w:tr>
      <w:tr w:rsidR="000C6EDE" w:rsidRPr="00701439" w14:paraId="304E2A4C" w14:textId="77777777" w:rsidTr="0002541E">
        <w:trPr>
          <w:gridAfter w:val="1"/>
          <w:wAfter w:w="236" w:type="dxa"/>
        </w:trPr>
        <w:tc>
          <w:tcPr>
            <w:tcW w:w="4961" w:type="dxa"/>
          </w:tcPr>
          <w:p w14:paraId="41427DF9" w14:textId="5BA29B53" w:rsidR="000C6EDE" w:rsidRPr="00701439" w:rsidRDefault="000C6EDE" w:rsidP="000C6EDE">
            <w:pPr>
              <w:pStyle w:val="NoSpacing"/>
              <w:jc w:val="both"/>
              <w:rPr>
                <w:bCs/>
                <w:sz w:val="20"/>
                <w:szCs w:val="20"/>
              </w:rPr>
            </w:pPr>
            <w:r w:rsidRPr="00701439">
              <w:rPr>
                <w:bCs/>
                <w:sz w:val="20"/>
                <w:szCs w:val="20"/>
              </w:rPr>
              <w:t>Credit card receivables</w:t>
            </w:r>
          </w:p>
        </w:tc>
        <w:tc>
          <w:tcPr>
            <w:tcW w:w="1701" w:type="dxa"/>
            <w:tcBorders>
              <w:top w:val="nil"/>
              <w:left w:val="nil"/>
              <w:right w:val="nil"/>
            </w:tcBorders>
          </w:tcPr>
          <w:p w14:paraId="2EE796E5" w14:textId="4C8A19AA" w:rsidR="000C6EDE" w:rsidRPr="00701439" w:rsidRDefault="000C6EDE" w:rsidP="000C6EDE">
            <w:pPr>
              <w:pStyle w:val="NoSpacing"/>
              <w:jc w:val="right"/>
              <w:rPr>
                <w:sz w:val="20"/>
                <w:szCs w:val="20"/>
              </w:rPr>
            </w:pPr>
            <w:r w:rsidRPr="00701439">
              <w:rPr>
                <w:bCs/>
                <w:sz w:val="20"/>
                <w:szCs w:val="20"/>
              </w:rPr>
              <w:t>1,182</w:t>
            </w:r>
          </w:p>
        </w:tc>
        <w:tc>
          <w:tcPr>
            <w:tcW w:w="1984" w:type="dxa"/>
            <w:tcBorders>
              <w:top w:val="nil"/>
              <w:left w:val="nil"/>
              <w:right w:val="nil"/>
            </w:tcBorders>
          </w:tcPr>
          <w:p w14:paraId="05949614" w14:textId="69075E1B" w:rsidR="000C6EDE" w:rsidRPr="00701439" w:rsidRDefault="000C6EDE" w:rsidP="000C6EDE">
            <w:pPr>
              <w:pStyle w:val="NoSpacing"/>
              <w:jc w:val="right"/>
              <w:rPr>
                <w:sz w:val="20"/>
                <w:szCs w:val="20"/>
              </w:rPr>
            </w:pPr>
            <w:r w:rsidRPr="00701439">
              <w:rPr>
                <w:bCs/>
                <w:sz w:val="20"/>
                <w:szCs w:val="20"/>
              </w:rPr>
              <w:t>1,063</w:t>
            </w:r>
          </w:p>
        </w:tc>
      </w:tr>
      <w:tr w:rsidR="000C6EDE" w:rsidRPr="00701439" w14:paraId="2BAD5EDD" w14:textId="2D28F0B5" w:rsidTr="0002541E">
        <w:trPr>
          <w:gridAfter w:val="1"/>
          <w:wAfter w:w="236" w:type="dxa"/>
        </w:trPr>
        <w:tc>
          <w:tcPr>
            <w:tcW w:w="4961" w:type="dxa"/>
          </w:tcPr>
          <w:p w14:paraId="26CF9F7C" w14:textId="68868878" w:rsidR="000C6EDE" w:rsidRPr="00701439" w:rsidRDefault="000C6EDE" w:rsidP="000C6EDE">
            <w:pPr>
              <w:pStyle w:val="NoSpacing"/>
              <w:jc w:val="both"/>
              <w:rPr>
                <w:bCs/>
                <w:sz w:val="20"/>
                <w:szCs w:val="20"/>
              </w:rPr>
            </w:pPr>
            <w:r w:rsidRPr="00701439">
              <w:rPr>
                <w:bCs/>
                <w:sz w:val="20"/>
                <w:szCs w:val="20"/>
              </w:rPr>
              <w:t>Vehicle finance receivables</w:t>
            </w:r>
          </w:p>
        </w:tc>
        <w:tc>
          <w:tcPr>
            <w:tcW w:w="1701" w:type="dxa"/>
            <w:tcBorders>
              <w:top w:val="nil"/>
              <w:left w:val="nil"/>
              <w:right w:val="nil"/>
            </w:tcBorders>
          </w:tcPr>
          <w:p w14:paraId="06263290" w14:textId="0C2E5497" w:rsidR="000C6EDE" w:rsidRPr="00701439" w:rsidRDefault="000C6EDE" w:rsidP="000C6EDE">
            <w:pPr>
              <w:pStyle w:val="NoSpacing"/>
              <w:jc w:val="right"/>
              <w:rPr>
                <w:sz w:val="20"/>
                <w:szCs w:val="20"/>
              </w:rPr>
            </w:pPr>
            <w:r w:rsidRPr="00701439">
              <w:rPr>
                <w:bCs/>
                <w:sz w:val="20"/>
                <w:szCs w:val="20"/>
              </w:rPr>
              <w:t>646</w:t>
            </w:r>
          </w:p>
        </w:tc>
        <w:tc>
          <w:tcPr>
            <w:tcW w:w="1984" w:type="dxa"/>
            <w:tcBorders>
              <w:top w:val="nil"/>
              <w:left w:val="nil"/>
              <w:right w:val="nil"/>
            </w:tcBorders>
          </w:tcPr>
          <w:p w14:paraId="026E81FA" w14:textId="686FD508" w:rsidR="000C6EDE" w:rsidRPr="00701439" w:rsidRDefault="000C6EDE" w:rsidP="000C6EDE">
            <w:pPr>
              <w:pStyle w:val="NoSpacing"/>
              <w:jc w:val="right"/>
              <w:rPr>
                <w:sz w:val="20"/>
                <w:szCs w:val="20"/>
              </w:rPr>
            </w:pPr>
            <w:r w:rsidRPr="00701439">
              <w:rPr>
                <w:bCs/>
                <w:sz w:val="20"/>
                <w:szCs w:val="20"/>
              </w:rPr>
              <w:t>586</w:t>
            </w:r>
          </w:p>
        </w:tc>
      </w:tr>
      <w:tr w:rsidR="000C6EDE" w:rsidRPr="00701439" w14:paraId="293906A6" w14:textId="21983012" w:rsidTr="0002541E">
        <w:trPr>
          <w:gridAfter w:val="1"/>
          <w:wAfter w:w="236" w:type="dxa"/>
        </w:trPr>
        <w:tc>
          <w:tcPr>
            <w:tcW w:w="4961" w:type="dxa"/>
          </w:tcPr>
          <w:p w14:paraId="351D0759" w14:textId="5CF827E3" w:rsidR="000C6EDE" w:rsidRPr="00701439" w:rsidRDefault="000C6EDE" w:rsidP="000C6EDE">
            <w:pPr>
              <w:pStyle w:val="NoSpacing"/>
              <w:jc w:val="both"/>
              <w:rPr>
                <w:bCs/>
                <w:sz w:val="20"/>
                <w:szCs w:val="20"/>
              </w:rPr>
            </w:pPr>
            <w:r w:rsidRPr="00701439">
              <w:rPr>
                <w:bCs/>
                <w:sz w:val="20"/>
                <w:szCs w:val="20"/>
              </w:rPr>
              <w:t xml:space="preserve">Personal loan receivables </w:t>
            </w:r>
          </w:p>
        </w:tc>
        <w:tc>
          <w:tcPr>
            <w:tcW w:w="1701" w:type="dxa"/>
            <w:tcBorders>
              <w:top w:val="nil"/>
              <w:left w:val="nil"/>
              <w:right w:val="nil"/>
            </w:tcBorders>
          </w:tcPr>
          <w:p w14:paraId="35AFAA9D" w14:textId="371F11B2" w:rsidR="000C6EDE" w:rsidRPr="00701439" w:rsidRDefault="000C6EDE" w:rsidP="000C6EDE">
            <w:pPr>
              <w:pStyle w:val="NoSpacing"/>
              <w:jc w:val="right"/>
              <w:rPr>
                <w:rFonts w:cstheme="minorHAnsi"/>
                <w:sz w:val="20"/>
                <w:szCs w:val="20"/>
              </w:rPr>
            </w:pPr>
            <w:r w:rsidRPr="00701439">
              <w:rPr>
                <w:bCs/>
                <w:sz w:val="20"/>
                <w:szCs w:val="20"/>
              </w:rPr>
              <w:t>76</w:t>
            </w:r>
          </w:p>
        </w:tc>
        <w:tc>
          <w:tcPr>
            <w:tcW w:w="1984" w:type="dxa"/>
            <w:tcBorders>
              <w:top w:val="nil"/>
              <w:left w:val="nil"/>
              <w:right w:val="nil"/>
            </w:tcBorders>
          </w:tcPr>
          <w:p w14:paraId="2F31153D" w14:textId="3DF6B886" w:rsidR="000C6EDE" w:rsidRPr="00701439" w:rsidRDefault="000C6EDE" w:rsidP="000C6EDE">
            <w:pPr>
              <w:pStyle w:val="NoSpacing"/>
              <w:jc w:val="right"/>
              <w:rPr>
                <w:rFonts w:cstheme="minorHAnsi"/>
                <w:sz w:val="20"/>
                <w:szCs w:val="20"/>
              </w:rPr>
            </w:pPr>
            <w:r w:rsidRPr="00701439">
              <w:rPr>
                <w:bCs/>
                <w:sz w:val="20"/>
                <w:szCs w:val="20"/>
              </w:rPr>
              <w:t>28</w:t>
            </w:r>
          </w:p>
        </w:tc>
      </w:tr>
      <w:tr w:rsidR="000C6EDE" w:rsidRPr="00701439" w14:paraId="323D938A" w14:textId="77777777" w:rsidTr="0002541E">
        <w:trPr>
          <w:gridAfter w:val="1"/>
          <w:wAfter w:w="236" w:type="dxa"/>
        </w:trPr>
        <w:tc>
          <w:tcPr>
            <w:tcW w:w="4961" w:type="dxa"/>
          </w:tcPr>
          <w:p w14:paraId="770B8813" w14:textId="70DC0DBA" w:rsidR="000C6EDE" w:rsidRPr="00701439" w:rsidRDefault="000C6EDE" w:rsidP="000C6EDE">
            <w:pPr>
              <w:pStyle w:val="NoSpacing"/>
              <w:jc w:val="both"/>
              <w:rPr>
                <w:b/>
                <w:sz w:val="20"/>
                <w:szCs w:val="20"/>
              </w:rPr>
            </w:pPr>
            <w:r w:rsidRPr="00701439">
              <w:rPr>
                <w:b/>
                <w:sz w:val="20"/>
                <w:szCs w:val="20"/>
              </w:rPr>
              <w:t xml:space="preserve">Total Group receivables </w:t>
            </w:r>
          </w:p>
        </w:tc>
        <w:tc>
          <w:tcPr>
            <w:tcW w:w="1701" w:type="dxa"/>
            <w:tcBorders>
              <w:left w:val="nil"/>
              <w:bottom w:val="single" w:sz="12" w:space="0" w:color="auto"/>
              <w:right w:val="nil"/>
            </w:tcBorders>
            <w:shd w:val="clear" w:color="auto" w:fill="auto"/>
          </w:tcPr>
          <w:p w14:paraId="107042C2" w14:textId="29E4CCBC" w:rsidR="000C6EDE" w:rsidRPr="00701439" w:rsidRDefault="000C6EDE" w:rsidP="000C6EDE">
            <w:pPr>
              <w:pStyle w:val="NoSpacing"/>
              <w:jc w:val="right"/>
              <w:rPr>
                <w:b/>
                <w:sz w:val="20"/>
                <w:szCs w:val="20"/>
              </w:rPr>
            </w:pPr>
            <w:r w:rsidRPr="00701439">
              <w:rPr>
                <w:b/>
                <w:sz w:val="20"/>
                <w:szCs w:val="20"/>
              </w:rPr>
              <w:t>1,904</w:t>
            </w:r>
          </w:p>
        </w:tc>
        <w:tc>
          <w:tcPr>
            <w:tcW w:w="1984" w:type="dxa"/>
            <w:tcBorders>
              <w:left w:val="nil"/>
              <w:bottom w:val="single" w:sz="12" w:space="0" w:color="auto"/>
              <w:right w:val="nil"/>
            </w:tcBorders>
            <w:shd w:val="clear" w:color="auto" w:fill="auto"/>
          </w:tcPr>
          <w:p w14:paraId="3DBDB7B6" w14:textId="498F0D3C" w:rsidR="000C6EDE" w:rsidRPr="00701439" w:rsidRDefault="000C6EDE" w:rsidP="000C6EDE">
            <w:pPr>
              <w:pStyle w:val="NoSpacing"/>
              <w:jc w:val="right"/>
              <w:rPr>
                <w:b/>
                <w:sz w:val="20"/>
                <w:szCs w:val="20"/>
              </w:rPr>
            </w:pPr>
            <w:r w:rsidRPr="00701439">
              <w:rPr>
                <w:b/>
                <w:sz w:val="20"/>
                <w:szCs w:val="20"/>
              </w:rPr>
              <w:t>1,678</w:t>
            </w:r>
          </w:p>
        </w:tc>
      </w:tr>
      <w:tr w:rsidR="000B35EB" w:rsidRPr="00701439" w14:paraId="46DD2593" w14:textId="77777777" w:rsidTr="0002541E">
        <w:trPr>
          <w:gridAfter w:val="1"/>
          <w:wAfter w:w="236" w:type="dxa"/>
        </w:trPr>
        <w:tc>
          <w:tcPr>
            <w:tcW w:w="4961" w:type="dxa"/>
          </w:tcPr>
          <w:p w14:paraId="0EBFD723" w14:textId="77777777" w:rsidR="000B35EB" w:rsidRPr="00701439" w:rsidRDefault="000B35EB" w:rsidP="00804EE5">
            <w:pPr>
              <w:pStyle w:val="NoSpacing"/>
              <w:jc w:val="both"/>
              <w:rPr>
                <w:bCs/>
                <w:sz w:val="4"/>
                <w:szCs w:val="4"/>
              </w:rPr>
            </w:pPr>
          </w:p>
        </w:tc>
        <w:tc>
          <w:tcPr>
            <w:tcW w:w="1701" w:type="dxa"/>
            <w:tcBorders>
              <w:top w:val="single" w:sz="12" w:space="0" w:color="auto"/>
              <w:left w:val="nil"/>
              <w:right w:val="nil"/>
            </w:tcBorders>
            <w:shd w:val="clear" w:color="auto" w:fill="auto"/>
          </w:tcPr>
          <w:p w14:paraId="70AD2038" w14:textId="77777777" w:rsidR="000B35EB" w:rsidRPr="00701439" w:rsidRDefault="000B35EB" w:rsidP="00804EE5">
            <w:pPr>
              <w:pStyle w:val="NoSpacing"/>
              <w:jc w:val="right"/>
              <w:rPr>
                <w:bCs/>
                <w:sz w:val="4"/>
                <w:szCs w:val="4"/>
              </w:rPr>
            </w:pPr>
          </w:p>
        </w:tc>
        <w:tc>
          <w:tcPr>
            <w:tcW w:w="1984" w:type="dxa"/>
            <w:tcBorders>
              <w:top w:val="single" w:sz="12" w:space="0" w:color="auto"/>
              <w:left w:val="nil"/>
              <w:right w:val="nil"/>
            </w:tcBorders>
            <w:shd w:val="clear" w:color="auto" w:fill="auto"/>
          </w:tcPr>
          <w:p w14:paraId="3CBA01A0" w14:textId="77777777" w:rsidR="000B35EB" w:rsidRPr="00701439" w:rsidRDefault="000B35EB" w:rsidP="00804EE5">
            <w:pPr>
              <w:pStyle w:val="NoSpacing"/>
              <w:jc w:val="right"/>
              <w:rPr>
                <w:bCs/>
                <w:sz w:val="4"/>
                <w:szCs w:val="4"/>
              </w:rPr>
            </w:pPr>
          </w:p>
        </w:tc>
      </w:tr>
      <w:tr w:rsidR="000C6EDE" w:rsidRPr="00701439" w14:paraId="1AD8202A" w14:textId="77777777" w:rsidTr="0002541E">
        <w:trPr>
          <w:gridAfter w:val="1"/>
          <w:wAfter w:w="236" w:type="dxa"/>
        </w:trPr>
        <w:tc>
          <w:tcPr>
            <w:tcW w:w="4961" w:type="dxa"/>
            <w:vAlign w:val="bottom"/>
          </w:tcPr>
          <w:p w14:paraId="69A498ED" w14:textId="1C074209" w:rsidR="000C6EDE" w:rsidRPr="00701439" w:rsidRDefault="000C6EDE" w:rsidP="000C6EDE">
            <w:pPr>
              <w:pStyle w:val="NoSpacing"/>
              <w:jc w:val="both"/>
              <w:rPr>
                <w:bCs/>
                <w:sz w:val="20"/>
                <w:szCs w:val="20"/>
              </w:rPr>
            </w:pPr>
            <w:r w:rsidRPr="00701439">
              <w:rPr>
                <w:bCs/>
                <w:sz w:val="20"/>
                <w:szCs w:val="20"/>
              </w:rPr>
              <w:t>Adjusted RORE</w:t>
            </w:r>
            <w:r w:rsidRPr="00701439">
              <w:rPr>
                <w:bCs/>
                <w:sz w:val="20"/>
                <w:szCs w:val="20"/>
                <w:vertAlign w:val="superscript"/>
              </w:rPr>
              <w:t>2</w:t>
            </w:r>
          </w:p>
        </w:tc>
        <w:tc>
          <w:tcPr>
            <w:tcW w:w="1701" w:type="dxa"/>
            <w:tcBorders>
              <w:left w:val="nil"/>
              <w:right w:val="nil"/>
            </w:tcBorders>
            <w:shd w:val="clear" w:color="auto" w:fill="auto"/>
            <w:vAlign w:val="bottom"/>
          </w:tcPr>
          <w:p w14:paraId="6A8BA25F" w14:textId="227E07C8" w:rsidR="000C6EDE" w:rsidRPr="00701439" w:rsidRDefault="000C6EDE" w:rsidP="000C6EDE">
            <w:pPr>
              <w:pStyle w:val="NoSpacing"/>
              <w:jc w:val="right"/>
              <w:rPr>
                <w:sz w:val="20"/>
                <w:szCs w:val="20"/>
              </w:rPr>
            </w:pPr>
            <w:r w:rsidRPr="00701439">
              <w:rPr>
                <w:rFonts w:cstheme="minorHAnsi"/>
                <w:sz w:val="20"/>
                <w:szCs w:val="20"/>
              </w:rPr>
              <w:t>22.2%</w:t>
            </w:r>
          </w:p>
        </w:tc>
        <w:tc>
          <w:tcPr>
            <w:tcW w:w="1984" w:type="dxa"/>
            <w:tcBorders>
              <w:left w:val="nil"/>
              <w:right w:val="nil"/>
            </w:tcBorders>
            <w:shd w:val="clear" w:color="auto" w:fill="auto"/>
            <w:vAlign w:val="bottom"/>
          </w:tcPr>
          <w:p w14:paraId="09E11465" w14:textId="0995180E" w:rsidR="000C6EDE" w:rsidRPr="00701439" w:rsidRDefault="000C6EDE" w:rsidP="000C6EDE">
            <w:pPr>
              <w:pStyle w:val="NoSpacing"/>
              <w:jc w:val="right"/>
              <w:rPr>
                <w:bCs/>
                <w:sz w:val="20"/>
                <w:szCs w:val="20"/>
              </w:rPr>
            </w:pPr>
            <w:r w:rsidRPr="00701439">
              <w:rPr>
                <w:rFonts w:cstheme="minorHAnsi"/>
                <w:sz w:val="20"/>
                <w:szCs w:val="20"/>
              </w:rPr>
              <w:t>32.3%</w:t>
            </w:r>
          </w:p>
        </w:tc>
      </w:tr>
      <w:tr w:rsidR="000C6EDE" w:rsidRPr="00701439" w14:paraId="1D6CC9EF" w14:textId="77777777" w:rsidTr="0002541E">
        <w:trPr>
          <w:gridAfter w:val="1"/>
          <w:wAfter w:w="236" w:type="dxa"/>
        </w:trPr>
        <w:tc>
          <w:tcPr>
            <w:tcW w:w="4961" w:type="dxa"/>
            <w:vAlign w:val="bottom"/>
          </w:tcPr>
          <w:p w14:paraId="69EEB9F5" w14:textId="57CC423B" w:rsidR="000C6EDE" w:rsidRPr="00701439" w:rsidRDefault="000C6EDE" w:rsidP="000C6EDE">
            <w:pPr>
              <w:pStyle w:val="NoSpacing"/>
              <w:jc w:val="both"/>
              <w:rPr>
                <w:bCs/>
                <w:sz w:val="20"/>
                <w:szCs w:val="20"/>
              </w:rPr>
            </w:pPr>
            <w:r w:rsidRPr="00701439">
              <w:rPr>
                <w:bCs/>
                <w:sz w:val="20"/>
                <w:szCs w:val="20"/>
              </w:rPr>
              <w:t>Adjusted basic EPS from continuing operations</w:t>
            </w:r>
            <w:r w:rsidRPr="00701439">
              <w:rPr>
                <w:sz w:val="20"/>
                <w:szCs w:val="20"/>
                <w:vertAlign w:val="superscript"/>
              </w:rPr>
              <w:t xml:space="preserve">3 </w:t>
            </w:r>
            <w:r w:rsidRPr="00701439">
              <w:rPr>
                <w:sz w:val="20"/>
                <w:szCs w:val="20"/>
              </w:rPr>
              <w:t>(p)</w:t>
            </w:r>
          </w:p>
        </w:tc>
        <w:tc>
          <w:tcPr>
            <w:tcW w:w="1701" w:type="dxa"/>
            <w:tcBorders>
              <w:left w:val="nil"/>
              <w:right w:val="nil"/>
            </w:tcBorders>
            <w:shd w:val="clear" w:color="auto" w:fill="auto"/>
            <w:vAlign w:val="bottom"/>
          </w:tcPr>
          <w:p w14:paraId="0660DE33" w14:textId="272CCD83" w:rsidR="000C6EDE" w:rsidRPr="00701439" w:rsidRDefault="000C6EDE" w:rsidP="000C6EDE">
            <w:pPr>
              <w:pStyle w:val="NoSpacing"/>
              <w:jc w:val="right"/>
              <w:rPr>
                <w:sz w:val="20"/>
                <w:szCs w:val="20"/>
              </w:rPr>
            </w:pPr>
            <w:r w:rsidRPr="00701439">
              <w:rPr>
                <w:sz w:val="20"/>
                <w:szCs w:val="20"/>
              </w:rPr>
              <w:t>38.7</w:t>
            </w:r>
          </w:p>
        </w:tc>
        <w:tc>
          <w:tcPr>
            <w:tcW w:w="1984" w:type="dxa"/>
            <w:tcBorders>
              <w:left w:val="nil"/>
              <w:right w:val="nil"/>
            </w:tcBorders>
            <w:shd w:val="clear" w:color="auto" w:fill="auto"/>
            <w:vAlign w:val="bottom"/>
          </w:tcPr>
          <w:p w14:paraId="4D38F71C" w14:textId="10393711" w:rsidR="000C6EDE" w:rsidRPr="00701439" w:rsidRDefault="000C6EDE" w:rsidP="000C6EDE">
            <w:pPr>
              <w:pStyle w:val="NoSpacing"/>
              <w:jc w:val="right"/>
              <w:rPr>
                <w:bCs/>
                <w:sz w:val="20"/>
                <w:szCs w:val="20"/>
              </w:rPr>
            </w:pPr>
            <w:r w:rsidRPr="00701439">
              <w:rPr>
                <w:sz w:val="20"/>
                <w:szCs w:val="20"/>
              </w:rPr>
              <w:t>57.5</w:t>
            </w:r>
          </w:p>
        </w:tc>
      </w:tr>
      <w:tr w:rsidR="000C6EDE" w:rsidRPr="00701439" w14:paraId="559BCE85" w14:textId="77777777" w:rsidTr="0002541E">
        <w:trPr>
          <w:gridAfter w:val="1"/>
          <w:wAfter w:w="236" w:type="dxa"/>
        </w:trPr>
        <w:tc>
          <w:tcPr>
            <w:tcW w:w="4961" w:type="dxa"/>
            <w:vAlign w:val="bottom"/>
          </w:tcPr>
          <w:p w14:paraId="3D27F7B9" w14:textId="78775FD5" w:rsidR="000C6EDE" w:rsidRPr="00701439" w:rsidRDefault="000C6EDE" w:rsidP="000C6EDE">
            <w:pPr>
              <w:pStyle w:val="NoSpacing"/>
              <w:jc w:val="both"/>
              <w:rPr>
                <w:bCs/>
                <w:sz w:val="20"/>
                <w:szCs w:val="20"/>
              </w:rPr>
            </w:pPr>
            <w:r w:rsidRPr="00701439">
              <w:rPr>
                <w:bCs/>
                <w:sz w:val="20"/>
                <w:szCs w:val="20"/>
              </w:rPr>
              <w:t>Basic EPS from continuing operations</w:t>
            </w:r>
            <w:r w:rsidRPr="00701439">
              <w:rPr>
                <w:bCs/>
                <w:sz w:val="20"/>
                <w:szCs w:val="20"/>
                <w:vertAlign w:val="superscript"/>
              </w:rPr>
              <w:t xml:space="preserve">3 </w:t>
            </w:r>
            <w:r w:rsidRPr="00701439">
              <w:rPr>
                <w:bCs/>
                <w:sz w:val="20"/>
                <w:szCs w:val="20"/>
              </w:rPr>
              <w:t>(p)</w:t>
            </w:r>
          </w:p>
        </w:tc>
        <w:tc>
          <w:tcPr>
            <w:tcW w:w="1701" w:type="dxa"/>
            <w:tcBorders>
              <w:left w:val="nil"/>
              <w:right w:val="nil"/>
            </w:tcBorders>
            <w:shd w:val="clear" w:color="auto" w:fill="auto"/>
          </w:tcPr>
          <w:p w14:paraId="4157577D" w14:textId="3D7DD884" w:rsidR="000C6EDE" w:rsidRPr="00701439" w:rsidRDefault="000C6EDE" w:rsidP="000C6EDE">
            <w:pPr>
              <w:pStyle w:val="NoSpacing"/>
              <w:jc w:val="right"/>
              <w:rPr>
                <w:sz w:val="20"/>
                <w:szCs w:val="20"/>
              </w:rPr>
            </w:pPr>
            <w:r w:rsidRPr="00701439">
              <w:rPr>
                <w:rFonts w:cstheme="minorHAnsi"/>
                <w:sz w:val="20"/>
                <w:szCs w:val="20"/>
              </w:rPr>
              <w:t>32.8</w:t>
            </w:r>
          </w:p>
        </w:tc>
        <w:tc>
          <w:tcPr>
            <w:tcW w:w="1984" w:type="dxa"/>
            <w:tcBorders>
              <w:left w:val="nil"/>
              <w:right w:val="nil"/>
            </w:tcBorders>
            <w:shd w:val="clear" w:color="auto" w:fill="auto"/>
          </w:tcPr>
          <w:p w14:paraId="4EC423BC" w14:textId="229D5BAD" w:rsidR="000C6EDE" w:rsidRPr="00701439" w:rsidRDefault="000C6EDE" w:rsidP="000C6EDE">
            <w:pPr>
              <w:pStyle w:val="NoSpacing"/>
              <w:jc w:val="right"/>
              <w:rPr>
                <w:bCs/>
                <w:sz w:val="20"/>
                <w:szCs w:val="20"/>
              </w:rPr>
            </w:pPr>
            <w:r w:rsidRPr="00701439">
              <w:rPr>
                <w:rFonts w:cstheme="minorHAnsi"/>
                <w:sz w:val="20"/>
                <w:szCs w:val="20"/>
              </w:rPr>
              <w:t>53.7</w:t>
            </w:r>
          </w:p>
        </w:tc>
      </w:tr>
      <w:tr w:rsidR="000C6EDE" w:rsidRPr="00701439" w14:paraId="21EF55A0" w14:textId="77777777" w:rsidTr="0002541E">
        <w:trPr>
          <w:gridAfter w:val="1"/>
          <w:wAfter w:w="236" w:type="dxa"/>
        </w:trPr>
        <w:tc>
          <w:tcPr>
            <w:tcW w:w="4961" w:type="dxa"/>
          </w:tcPr>
          <w:p w14:paraId="5EF88B9C" w14:textId="77EA5575" w:rsidR="000C6EDE" w:rsidRPr="00701439" w:rsidRDefault="000C6EDE" w:rsidP="000C6EDE">
            <w:pPr>
              <w:pStyle w:val="NoSpacing"/>
              <w:jc w:val="both"/>
              <w:rPr>
                <w:bCs/>
                <w:sz w:val="20"/>
                <w:szCs w:val="20"/>
              </w:rPr>
            </w:pPr>
            <w:r w:rsidRPr="00701439">
              <w:rPr>
                <w:bCs/>
                <w:sz w:val="20"/>
                <w:szCs w:val="20"/>
              </w:rPr>
              <w:t>Total dividend per share (p)</w:t>
            </w:r>
          </w:p>
        </w:tc>
        <w:tc>
          <w:tcPr>
            <w:tcW w:w="1701" w:type="dxa"/>
            <w:tcBorders>
              <w:left w:val="nil"/>
              <w:bottom w:val="single" w:sz="12" w:space="0" w:color="auto"/>
              <w:right w:val="nil"/>
            </w:tcBorders>
            <w:shd w:val="clear" w:color="auto" w:fill="auto"/>
          </w:tcPr>
          <w:p w14:paraId="0010B997" w14:textId="2AA60FB3" w:rsidR="000C6EDE" w:rsidRPr="00701439" w:rsidRDefault="000C6EDE" w:rsidP="000C6EDE">
            <w:pPr>
              <w:pStyle w:val="NoSpacing"/>
              <w:jc w:val="right"/>
              <w:rPr>
                <w:sz w:val="20"/>
                <w:szCs w:val="20"/>
              </w:rPr>
            </w:pPr>
            <w:r w:rsidRPr="00701439">
              <w:rPr>
                <w:bCs/>
                <w:sz w:val="20"/>
                <w:szCs w:val="20"/>
              </w:rPr>
              <w:t>15.3</w:t>
            </w:r>
          </w:p>
        </w:tc>
        <w:tc>
          <w:tcPr>
            <w:tcW w:w="1984" w:type="dxa"/>
            <w:tcBorders>
              <w:left w:val="nil"/>
              <w:bottom w:val="single" w:sz="12" w:space="0" w:color="auto"/>
              <w:right w:val="nil"/>
            </w:tcBorders>
            <w:shd w:val="clear" w:color="auto" w:fill="auto"/>
          </w:tcPr>
          <w:p w14:paraId="1CAC8823" w14:textId="37105468" w:rsidR="000C6EDE" w:rsidRPr="00701439" w:rsidRDefault="000C6EDE" w:rsidP="000C6EDE">
            <w:pPr>
              <w:pStyle w:val="NoSpacing"/>
              <w:jc w:val="right"/>
              <w:rPr>
                <w:bCs/>
                <w:sz w:val="20"/>
                <w:szCs w:val="20"/>
              </w:rPr>
            </w:pPr>
            <w:r w:rsidRPr="00701439">
              <w:rPr>
                <w:bCs/>
                <w:sz w:val="20"/>
                <w:szCs w:val="20"/>
              </w:rPr>
              <w:t>12.0</w:t>
            </w:r>
          </w:p>
        </w:tc>
      </w:tr>
    </w:tbl>
    <w:p w14:paraId="2D9EF9F6" w14:textId="3A877181" w:rsidR="00F01EC8" w:rsidRPr="00701439" w:rsidRDefault="000556C6" w:rsidP="00E534C5">
      <w:pPr>
        <w:jc w:val="both"/>
        <w:rPr>
          <w:rStyle w:val="Strong"/>
          <w:rFonts w:asciiTheme="minorHAnsi" w:hAnsiTheme="minorHAnsi"/>
          <w:sz w:val="22"/>
          <w:szCs w:val="22"/>
        </w:rPr>
      </w:pPr>
      <w:r w:rsidRPr="00701439">
        <w:rPr>
          <w:rStyle w:val="Strong"/>
          <w:rFonts w:asciiTheme="minorHAnsi" w:hAnsiTheme="minorHAnsi"/>
          <w:color w:val="4747FF"/>
          <w:sz w:val="22"/>
          <w:szCs w:val="22"/>
        </w:rPr>
        <w:lastRenderedPageBreak/>
        <w:t xml:space="preserve">2022 </w:t>
      </w:r>
      <w:r w:rsidR="00F01EC8" w:rsidRPr="00701439">
        <w:rPr>
          <w:rStyle w:val="Strong"/>
          <w:rFonts w:asciiTheme="minorHAnsi" w:hAnsiTheme="minorHAnsi"/>
          <w:color w:val="4747FF"/>
          <w:sz w:val="22"/>
          <w:szCs w:val="22"/>
        </w:rPr>
        <w:t>Highlights</w:t>
      </w:r>
    </w:p>
    <w:p w14:paraId="48ECE1F4" w14:textId="77777777" w:rsidR="00E534C5" w:rsidRPr="00701439" w:rsidRDefault="00E534C5" w:rsidP="00E534C5">
      <w:pPr>
        <w:jc w:val="both"/>
        <w:rPr>
          <w:rStyle w:val="Strong"/>
          <w:rFonts w:asciiTheme="minorHAnsi" w:hAnsiTheme="minorHAnsi"/>
          <w:sz w:val="20"/>
          <w:szCs w:val="20"/>
        </w:rPr>
      </w:pPr>
    </w:p>
    <w:p w14:paraId="46E81FD8" w14:textId="1E5EA6E7" w:rsidR="00F01EC8" w:rsidRPr="00701439" w:rsidRDefault="003A02E8" w:rsidP="00E534C5">
      <w:pPr>
        <w:pStyle w:val="NoSpacing"/>
        <w:jc w:val="both"/>
        <w:rPr>
          <w:rStyle w:val="Strong"/>
          <w:bCs w:val="0"/>
          <w:color w:val="4747FF"/>
        </w:rPr>
      </w:pPr>
      <w:r w:rsidRPr="00701439">
        <w:rPr>
          <w:rStyle w:val="Strong"/>
          <w:bCs w:val="0"/>
          <w:color w:val="4747FF"/>
        </w:rPr>
        <w:t xml:space="preserve">The Group’s strong performance in 2022 built on the </w:t>
      </w:r>
      <w:r w:rsidR="00A76C3A" w:rsidRPr="00701439">
        <w:rPr>
          <w:rStyle w:val="Strong"/>
          <w:bCs w:val="0"/>
          <w:color w:val="4747FF"/>
        </w:rPr>
        <w:t xml:space="preserve">strategic </w:t>
      </w:r>
      <w:r w:rsidRPr="00701439">
        <w:rPr>
          <w:rStyle w:val="Strong"/>
          <w:bCs w:val="0"/>
          <w:color w:val="4747FF"/>
        </w:rPr>
        <w:t xml:space="preserve">foundations put in place in </w:t>
      </w:r>
      <w:proofErr w:type="gramStart"/>
      <w:r w:rsidRPr="00701439">
        <w:rPr>
          <w:rStyle w:val="Strong"/>
          <w:bCs w:val="0"/>
          <w:color w:val="4747FF"/>
        </w:rPr>
        <w:t>2021</w:t>
      </w:r>
      <w:proofErr w:type="gramEnd"/>
      <w:r w:rsidRPr="00701439">
        <w:rPr>
          <w:rStyle w:val="Strong"/>
          <w:bCs w:val="0"/>
          <w:color w:val="4747FF"/>
        </w:rPr>
        <w:t xml:space="preserve"> </w:t>
      </w:r>
      <w:r w:rsidR="00F67092" w:rsidRPr="00701439">
        <w:rPr>
          <w:rStyle w:val="Strong"/>
          <w:bCs w:val="0"/>
          <w:color w:val="4747FF"/>
        </w:rPr>
        <w:t xml:space="preserve"> </w:t>
      </w:r>
    </w:p>
    <w:p w14:paraId="521A8B44" w14:textId="77777777" w:rsidR="00F01EC8" w:rsidRPr="00701439" w:rsidRDefault="00F01EC8" w:rsidP="00E534C5">
      <w:pPr>
        <w:pStyle w:val="NoSpacing"/>
        <w:jc w:val="both"/>
        <w:rPr>
          <w:rStyle w:val="Strong"/>
          <w:bCs w:val="0"/>
          <w:sz w:val="20"/>
          <w:szCs w:val="20"/>
        </w:rPr>
      </w:pPr>
    </w:p>
    <w:p w14:paraId="4D5AD61A" w14:textId="6EE0795A" w:rsidR="00F62A7C" w:rsidRPr="00701439" w:rsidRDefault="00A41E0D" w:rsidP="00E534C5">
      <w:pPr>
        <w:pStyle w:val="NoSpacing"/>
        <w:numPr>
          <w:ilvl w:val="0"/>
          <w:numId w:val="2"/>
        </w:numPr>
        <w:jc w:val="both"/>
        <w:rPr>
          <w:sz w:val="20"/>
          <w:szCs w:val="20"/>
        </w:rPr>
      </w:pPr>
      <w:r w:rsidRPr="00701439">
        <w:rPr>
          <w:sz w:val="20"/>
          <w:szCs w:val="20"/>
        </w:rPr>
        <w:t xml:space="preserve">The Group </w:t>
      </w:r>
      <w:r w:rsidR="000D751A" w:rsidRPr="00701439">
        <w:rPr>
          <w:sz w:val="20"/>
          <w:szCs w:val="20"/>
        </w:rPr>
        <w:t xml:space="preserve">delivered </w:t>
      </w:r>
      <w:r w:rsidR="00BA1A06" w:rsidRPr="00701439">
        <w:rPr>
          <w:sz w:val="20"/>
          <w:szCs w:val="20"/>
        </w:rPr>
        <w:t xml:space="preserve">strong loan book growth in each of </w:t>
      </w:r>
      <w:r w:rsidR="00086ECC" w:rsidRPr="00701439">
        <w:rPr>
          <w:sz w:val="20"/>
          <w:szCs w:val="20"/>
        </w:rPr>
        <w:t xml:space="preserve">its </w:t>
      </w:r>
      <w:r w:rsidR="00BA1A06" w:rsidRPr="00701439">
        <w:rPr>
          <w:sz w:val="20"/>
          <w:szCs w:val="20"/>
        </w:rPr>
        <w:t>businesses</w:t>
      </w:r>
      <w:r w:rsidRPr="00701439">
        <w:rPr>
          <w:sz w:val="20"/>
          <w:szCs w:val="20"/>
        </w:rPr>
        <w:t xml:space="preserve">, notwithstanding the challenging macroeconomic backdrop, underpinned by its </w:t>
      </w:r>
      <w:r w:rsidR="00BA1A06" w:rsidRPr="00701439">
        <w:rPr>
          <w:sz w:val="20"/>
          <w:szCs w:val="20"/>
        </w:rPr>
        <w:t>rigorous ri</w:t>
      </w:r>
      <w:r w:rsidR="00CE1399" w:rsidRPr="00701439">
        <w:rPr>
          <w:sz w:val="20"/>
          <w:szCs w:val="20"/>
        </w:rPr>
        <w:t>s</w:t>
      </w:r>
      <w:r w:rsidR="00BA1A06" w:rsidRPr="00701439">
        <w:rPr>
          <w:sz w:val="20"/>
          <w:szCs w:val="20"/>
        </w:rPr>
        <w:t xml:space="preserve">k management framework and </w:t>
      </w:r>
      <w:r w:rsidRPr="00701439">
        <w:rPr>
          <w:sz w:val="20"/>
          <w:szCs w:val="20"/>
        </w:rPr>
        <w:t>strong capital position</w:t>
      </w:r>
      <w:r w:rsidR="00F144CE" w:rsidRPr="00701439">
        <w:rPr>
          <w:sz w:val="20"/>
          <w:szCs w:val="20"/>
        </w:rPr>
        <w:t>.</w:t>
      </w:r>
      <w:r w:rsidRPr="00701439">
        <w:rPr>
          <w:sz w:val="20"/>
          <w:szCs w:val="20"/>
        </w:rPr>
        <w:t xml:space="preserve"> </w:t>
      </w:r>
    </w:p>
    <w:p w14:paraId="68C993C9" w14:textId="4C8EE15B" w:rsidR="00917F64" w:rsidRPr="00701439" w:rsidRDefault="004C443D">
      <w:pPr>
        <w:pStyle w:val="NoSpacing"/>
        <w:numPr>
          <w:ilvl w:val="0"/>
          <w:numId w:val="2"/>
        </w:numPr>
        <w:jc w:val="both"/>
        <w:rPr>
          <w:sz w:val="20"/>
          <w:szCs w:val="20"/>
        </w:rPr>
      </w:pPr>
      <w:r w:rsidRPr="00701439">
        <w:rPr>
          <w:sz w:val="20"/>
          <w:szCs w:val="20"/>
        </w:rPr>
        <w:t>The Group’s Net Interest Margin increased by 0.</w:t>
      </w:r>
      <w:r w:rsidR="006B6B61" w:rsidRPr="00701439">
        <w:rPr>
          <w:sz w:val="20"/>
          <w:szCs w:val="20"/>
        </w:rPr>
        <w:t>5</w:t>
      </w:r>
      <w:r w:rsidRPr="00701439">
        <w:rPr>
          <w:sz w:val="20"/>
          <w:szCs w:val="20"/>
        </w:rPr>
        <w:t>% from 20.5% in FY’21 to 21.</w:t>
      </w:r>
      <w:r w:rsidR="006B6B61" w:rsidRPr="00701439">
        <w:rPr>
          <w:sz w:val="20"/>
          <w:szCs w:val="20"/>
        </w:rPr>
        <w:t>0</w:t>
      </w:r>
      <w:r w:rsidRPr="00701439">
        <w:rPr>
          <w:sz w:val="20"/>
          <w:szCs w:val="20"/>
        </w:rPr>
        <w:t>% in FY’22, reflecting a higher asset yield</w:t>
      </w:r>
      <w:r w:rsidR="00F144CE" w:rsidRPr="00701439">
        <w:rPr>
          <w:sz w:val="20"/>
          <w:szCs w:val="20"/>
        </w:rPr>
        <w:t>.</w:t>
      </w:r>
    </w:p>
    <w:p w14:paraId="1AA0947E" w14:textId="541EDA59" w:rsidR="004C443D" w:rsidRPr="00701439" w:rsidRDefault="00884704" w:rsidP="00F62A7C">
      <w:pPr>
        <w:pStyle w:val="NoSpacing"/>
        <w:numPr>
          <w:ilvl w:val="0"/>
          <w:numId w:val="2"/>
        </w:numPr>
        <w:jc w:val="both"/>
        <w:rPr>
          <w:sz w:val="20"/>
          <w:szCs w:val="20"/>
        </w:rPr>
      </w:pPr>
      <w:r w:rsidRPr="00701439">
        <w:rPr>
          <w:sz w:val="20"/>
          <w:szCs w:val="20"/>
        </w:rPr>
        <w:t>Reflecting the Group’s focus on lower risk customers, asset quality across the Group’s loan books remained high and delinquency trends were stable</w:t>
      </w:r>
      <w:r w:rsidR="00F144CE" w:rsidRPr="00701439">
        <w:rPr>
          <w:sz w:val="20"/>
          <w:szCs w:val="20"/>
        </w:rPr>
        <w:t>.</w:t>
      </w:r>
      <w:r w:rsidRPr="00701439">
        <w:rPr>
          <w:sz w:val="20"/>
          <w:szCs w:val="20"/>
        </w:rPr>
        <w:t xml:space="preserve"> </w:t>
      </w:r>
    </w:p>
    <w:p w14:paraId="7F451444" w14:textId="2890E9A0" w:rsidR="00515B32" w:rsidRPr="00701439" w:rsidRDefault="00515B32" w:rsidP="00F62A7C">
      <w:pPr>
        <w:pStyle w:val="NoSpacing"/>
        <w:numPr>
          <w:ilvl w:val="0"/>
          <w:numId w:val="2"/>
        </w:numPr>
        <w:jc w:val="both"/>
        <w:rPr>
          <w:sz w:val="20"/>
          <w:szCs w:val="20"/>
        </w:rPr>
      </w:pPr>
      <w:r w:rsidRPr="00701439">
        <w:rPr>
          <w:sz w:val="20"/>
          <w:szCs w:val="20"/>
        </w:rPr>
        <w:t xml:space="preserve">Group central costs increased during the period reflecting </w:t>
      </w:r>
      <w:r w:rsidR="000124D8" w:rsidRPr="00701439">
        <w:rPr>
          <w:sz w:val="20"/>
          <w:szCs w:val="20"/>
        </w:rPr>
        <w:t xml:space="preserve">the roll out of the shared services model and investment in the growth </w:t>
      </w:r>
      <w:r w:rsidR="00B41C82" w:rsidRPr="00701439">
        <w:rPr>
          <w:sz w:val="20"/>
          <w:szCs w:val="20"/>
        </w:rPr>
        <w:t xml:space="preserve">and scalability </w:t>
      </w:r>
      <w:r w:rsidR="000124D8" w:rsidRPr="00701439">
        <w:rPr>
          <w:sz w:val="20"/>
          <w:szCs w:val="20"/>
        </w:rPr>
        <w:t>of the business</w:t>
      </w:r>
      <w:r w:rsidR="001F7489" w:rsidRPr="00701439">
        <w:rPr>
          <w:sz w:val="20"/>
          <w:szCs w:val="20"/>
        </w:rPr>
        <w:t>es</w:t>
      </w:r>
      <w:r w:rsidRPr="00701439">
        <w:rPr>
          <w:sz w:val="20"/>
          <w:szCs w:val="20"/>
        </w:rPr>
        <w:t xml:space="preserve">. </w:t>
      </w:r>
      <w:r w:rsidR="00D675C5" w:rsidRPr="00701439">
        <w:rPr>
          <w:sz w:val="20"/>
          <w:szCs w:val="20"/>
        </w:rPr>
        <w:t xml:space="preserve">Total Group operating costs increased </w:t>
      </w:r>
      <w:r w:rsidR="00706120" w:rsidRPr="00701439">
        <w:rPr>
          <w:sz w:val="20"/>
          <w:szCs w:val="20"/>
        </w:rPr>
        <w:t xml:space="preserve">reflecting underlying cost increases and ongoing business </w:t>
      </w:r>
      <w:r w:rsidR="002933FC" w:rsidRPr="00701439">
        <w:rPr>
          <w:sz w:val="20"/>
          <w:szCs w:val="20"/>
        </w:rPr>
        <w:t>investment to improve s</w:t>
      </w:r>
      <w:r w:rsidR="00637428" w:rsidRPr="00701439">
        <w:rPr>
          <w:sz w:val="20"/>
          <w:szCs w:val="20"/>
        </w:rPr>
        <w:t>calability and operation leverage</w:t>
      </w:r>
      <w:r w:rsidR="00F144CE" w:rsidRPr="00701439">
        <w:rPr>
          <w:sz w:val="20"/>
          <w:szCs w:val="20"/>
        </w:rPr>
        <w:t>.</w:t>
      </w:r>
    </w:p>
    <w:p w14:paraId="5F5D9BD3" w14:textId="6E78576D" w:rsidR="00F01EC8" w:rsidRPr="00701439" w:rsidRDefault="00F01EC8" w:rsidP="00E534C5">
      <w:pPr>
        <w:pStyle w:val="NoSpacing"/>
        <w:numPr>
          <w:ilvl w:val="0"/>
          <w:numId w:val="2"/>
        </w:numPr>
        <w:jc w:val="both"/>
        <w:rPr>
          <w:rStyle w:val="Strong"/>
          <w:b w:val="0"/>
          <w:bCs w:val="0"/>
          <w:sz w:val="20"/>
          <w:szCs w:val="20"/>
        </w:rPr>
      </w:pPr>
      <w:r w:rsidRPr="00701439">
        <w:rPr>
          <w:rStyle w:val="Strong"/>
          <w:b w:val="0"/>
          <w:bCs w:val="0"/>
          <w:sz w:val="20"/>
          <w:szCs w:val="20"/>
        </w:rPr>
        <w:t>Group</w:t>
      </w:r>
      <w:r w:rsidR="001A1C13" w:rsidRPr="00701439">
        <w:rPr>
          <w:rStyle w:val="Strong"/>
          <w:b w:val="0"/>
          <w:bCs w:val="0"/>
          <w:sz w:val="20"/>
          <w:szCs w:val="20"/>
        </w:rPr>
        <w:t xml:space="preserve"> statutory</w:t>
      </w:r>
      <w:r w:rsidRPr="00701439">
        <w:rPr>
          <w:rStyle w:val="Strong"/>
          <w:b w:val="0"/>
          <w:bCs w:val="0"/>
          <w:sz w:val="20"/>
          <w:szCs w:val="20"/>
        </w:rPr>
        <w:t xml:space="preserve"> </w:t>
      </w:r>
      <w:r w:rsidR="00772DB5" w:rsidRPr="00701439">
        <w:rPr>
          <w:rStyle w:val="Strong"/>
          <w:b w:val="0"/>
          <w:bCs w:val="0"/>
          <w:sz w:val="20"/>
          <w:szCs w:val="20"/>
        </w:rPr>
        <w:t>profit</w:t>
      </w:r>
      <w:r w:rsidRPr="00701439">
        <w:rPr>
          <w:rStyle w:val="Strong"/>
          <w:b w:val="0"/>
          <w:bCs w:val="0"/>
          <w:sz w:val="20"/>
          <w:szCs w:val="20"/>
        </w:rPr>
        <w:t xml:space="preserve"> before tax </w:t>
      </w:r>
      <w:r w:rsidR="008E133F" w:rsidRPr="00701439">
        <w:rPr>
          <w:rStyle w:val="Strong"/>
          <w:b w:val="0"/>
          <w:bCs w:val="0"/>
          <w:sz w:val="20"/>
          <w:szCs w:val="20"/>
        </w:rPr>
        <w:t xml:space="preserve">from continuing operations </w:t>
      </w:r>
      <w:r w:rsidRPr="00701439">
        <w:rPr>
          <w:rStyle w:val="Strong"/>
          <w:b w:val="0"/>
          <w:bCs w:val="0"/>
          <w:sz w:val="20"/>
          <w:szCs w:val="20"/>
        </w:rPr>
        <w:t>of</w:t>
      </w:r>
      <w:r w:rsidR="00772DB5" w:rsidRPr="00701439">
        <w:rPr>
          <w:rStyle w:val="Strong"/>
          <w:b w:val="0"/>
          <w:bCs w:val="0"/>
          <w:sz w:val="20"/>
          <w:szCs w:val="20"/>
        </w:rPr>
        <w:t xml:space="preserve"> £</w:t>
      </w:r>
      <w:r w:rsidR="002442A8" w:rsidRPr="00701439">
        <w:rPr>
          <w:rStyle w:val="Strong"/>
          <w:b w:val="0"/>
          <w:bCs w:val="0"/>
          <w:sz w:val="20"/>
          <w:szCs w:val="20"/>
        </w:rPr>
        <w:t>110.1</w:t>
      </w:r>
      <w:r w:rsidR="00772DB5" w:rsidRPr="00701439">
        <w:rPr>
          <w:rStyle w:val="Strong"/>
          <w:b w:val="0"/>
          <w:bCs w:val="0"/>
          <w:sz w:val="20"/>
          <w:szCs w:val="20"/>
        </w:rPr>
        <w:t>m</w:t>
      </w:r>
      <w:r w:rsidRPr="00701439">
        <w:rPr>
          <w:rStyle w:val="Strong"/>
          <w:b w:val="0"/>
          <w:bCs w:val="0"/>
          <w:sz w:val="20"/>
          <w:szCs w:val="20"/>
        </w:rPr>
        <w:t xml:space="preserve"> </w:t>
      </w:r>
      <w:r w:rsidR="00B172AB" w:rsidRPr="00701439">
        <w:rPr>
          <w:rStyle w:val="Strong"/>
          <w:b w:val="0"/>
          <w:bCs w:val="0"/>
          <w:sz w:val="20"/>
          <w:szCs w:val="20"/>
        </w:rPr>
        <w:t>(FY’2</w:t>
      </w:r>
      <w:r w:rsidR="00750F08" w:rsidRPr="00701439">
        <w:rPr>
          <w:rStyle w:val="Strong"/>
          <w:b w:val="0"/>
          <w:bCs w:val="0"/>
          <w:sz w:val="20"/>
          <w:szCs w:val="20"/>
        </w:rPr>
        <w:t>1</w:t>
      </w:r>
      <w:r w:rsidR="00B172AB" w:rsidRPr="00701439">
        <w:rPr>
          <w:rStyle w:val="Strong"/>
          <w:b w:val="0"/>
          <w:bCs w:val="0"/>
          <w:sz w:val="20"/>
          <w:szCs w:val="20"/>
        </w:rPr>
        <w:t xml:space="preserve">: </w:t>
      </w:r>
      <w:r w:rsidRPr="00701439">
        <w:rPr>
          <w:rStyle w:val="Strong"/>
          <w:b w:val="0"/>
          <w:sz w:val="20"/>
          <w:szCs w:val="20"/>
        </w:rPr>
        <w:t>£</w:t>
      </w:r>
      <w:r w:rsidR="00342511" w:rsidRPr="00701439">
        <w:rPr>
          <w:rStyle w:val="Strong"/>
          <w:b w:val="0"/>
          <w:sz w:val="20"/>
          <w:szCs w:val="20"/>
        </w:rPr>
        <w:t>142.2</w:t>
      </w:r>
      <w:r w:rsidRPr="00701439">
        <w:rPr>
          <w:rStyle w:val="Strong"/>
          <w:b w:val="0"/>
          <w:sz w:val="20"/>
          <w:szCs w:val="20"/>
        </w:rPr>
        <w:t>m</w:t>
      </w:r>
      <w:r w:rsidR="00B172AB" w:rsidRPr="00701439">
        <w:rPr>
          <w:rStyle w:val="Strong"/>
          <w:b w:val="0"/>
          <w:bCs w:val="0"/>
          <w:sz w:val="20"/>
          <w:szCs w:val="20"/>
        </w:rPr>
        <w:t>)</w:t>
      </w:r>
      <w:r w:rsidRPr="00701439">
        <w:rPr>
          <w:rStyle w:val="Strong"/>
          <w:b w:val="0"/>
          <w:bCs w:val="0"/>
          <w:sz w:val="20"/>
          <w:szCs w:val="20"/>
        </w:rPr>
        <w:t xml:space="preserve"> </w:t>
      </w:r>
      <w:r w:rsidR="00DA575A" w:rsidRPr="00701439">
        <w:rPr>
          <w:rStyle w:val="Strong"/>
          <w:b w:val="0"/>
          <w:bCs w:val="0"/>
          <w:sz w:val="20"/>
          <w:szCs w:val="20"/>
        </w:rPr>
        <w:t>reflect</w:t>
      </w:r>
      <w:r w:rsidR="00A17905" w:rsidRPr="00701439">
        <w:rPr>
          <w:rStyle w:val="Strong"/>
          <w:b w:val="0"/>
          <w:bCs w:val="0"/>
          <w:sz w:val="20"/>
          <w:szCs w:val="20"/>
        </w:rPr>
        <w:t>ing the increase in central costs referred to above</w:t>
      </w:r>
      <w:r w:rsidR="001A3091" w:rsidRPr="00701439">
        <w:rPr>
          <w:rStyle w:val="Strong"/>
          <w:b w:val="0"/>
          <w:bCs w:val="0"/>
          <w:sz w:val="20"/>
          <w:szCs w:val="20"/>
        </w:rPr>
        <w:t>.</w:t>
      </w:r>
    </w:p>
    <w:p w14:paraId="252FCB9D" w14:textId="5A6806DF" w:rsidR="00F01EC8" w:rsidRPr="00701439" w:rsidRDefault="00F01EC8" w:rsidP="00E534C5">
      <w:pPr>
        <w:pStyle w:val="NoSpacing"/>
        <w:numPr>
          <w:ilvl w:val="0"/>
          <w:numId w:val="2"/>
        </w:numPr>
        <w:jc w:val="both"/>
        <w:rPr>
          <w:rStyle w:val="Strong"/>
          <w:b w:val="0"/>
          <w:bCs w:val="0"/>
          <w:sz w:val="20"/>
          <w:szCs w:val="20"/>
        </w:rPr>
      </w:pPr>
      <w:r w:rsidRPr="00701439">
        <w:rPr>
          <w:rStyle w:val="Strong"/>
          <w:b w:val="0"/>
          <w:bCs w:val="0"/>
          <w:sz w:val="20"/>
          <w:szCs w:val="20"/>
        </w:rPr>
        <w:t xml:space="preserve">Group adjusted </w:t>
      </w:r>
      <w:r w:rsidR="000142CC" w:rsidRPr="00701439">
        <w:rPr>
          <w:rStyle w:val="Strong"/>
          <w:b w:val="0"/>
          <w:bCs w:val="0"/>
          <w:sz w:val="20"/>
          <w:szCs w:val="20"/>
        </w:rPr>
        <w:t>profit</w:t>
      </w:r>
      <w:r w:rsidRPr="00701439">
        <w:rPr>
          <w:rStyle w:val="Strong"/>
          <w:b w:val="0"/>
          <w:bCs w:val="0"/>
          <w:sz w:val="20"/>
          <w:szCs w:val="20"/>
        </w:rPr>
        <w:t xml:space="preserve"> before tax </w:t>
      </w:r>
      <w:r w:rsidR="00EE6969" w:rsidRPr="00701439">
        <w:rPr>
          <w:rStyle w:val="Strong"/>
          <w:b w:val="0"/>
          <w:bCs w:val="0"/>
          <w:sz w:val="20"/>
          <w:szCs w:val="20"/>
        </w:rPr>
        <w:t xml:space="preserve">from continuing operations </w:t>
      </w:r>
      <w:r w:rsidRPr="00701439">
        <w:rPr>
          <w:rStyle w:val="Strong"/>
          <w:b w:val="0"/>
          <w:bCs w:val="0"/>
          <w:sz w:val="20"/>
          <w:szCs w:val="20"/>
        </w:rPr>
        <w:t xml:space="preserve">of </w:t>
      </w:r>
      <w:r w:rsidR="00772DB5" w:rsidRPr="00701439">
        <w:rPr>
          <w:rStyle w:val="Strong"/>
          <w:b w:val="0"/>
          <w:bCs w:val="0"/>
          <w:sz w:val="20"/>
          <w:szCs w:val="20"/>
        </w:rPr>
        <w:t>£1</w:t>
      </w:r>
      <w:r w:rsidR="000917AB" w:rsidRPr="00701439">
        <w:rPr>
          <w:rStyle w:val="Strong"/>
          <w:b w:val="0"/>
          <w:bCs w:val="0"/>
          <w:sz w:val="20"/>
          <w:szCs w:val="20"/>
        </w:rPr>
        <w:t>2</w:t>
      </w:r>
      <w:r w:rsidR="00213E6D" w:rsidRPr="00701439">
        <w:rPr>
          <w:rStyle w:val="Strong"/>
          <w:b w:val="0"/>
          <w:bCs w:val="0"/>
          <w:sz w:val="20"/>
          <w:szCs w:val="20"/>
        </w:rPr>
        <w:t>6</w:t>
      </w:r>
      <w:r w:rsidR="00127EB5" w:rsidRPr="00701439">
        <w:rPr>
          <w:rStyle w:val="Strong"/>
          <w:b w:val="0"/>
          <w:bCs w:val="0"/>
          <w:sz w:val="20"/>
          <w:szCs w:val="20"/>
        </w:rPr>
        <w:t>.</w:t>
      </w:r>
      <w:r w:rsidR="00213E6D" w:rsidRPr="00701439">
        <w:rPr>
          <w:rStyle w:val="Strong"/>
          <w:b w:val="0"/>
          <w:bCs w:val="0"/>
          <w:sz w:val="20"/>
          <w:szCs w:val="20"/>
        </w:rPr>
        <w:t>6</w:t>
      </w:r>
      <w:r w:rsidR="00772DB5" w:rsidRPr="00701439">
        <w:rPr>
          <w:rStyle w:val="Strong"/>
          <w:b w:val="0"/>
          <w:bCs w:val="0"/>
          <w:sz w:val="20"/>
          <w:szCs w:val="20"/>
        </w:rPr>
        <w:t>m</w:t>
      </w:r>
      <w:r w:rsidR="00175D8F" w:rsidRPr="00701439">
        <w:rPr>
          <w:rStyle w:val="Strong"/>
          <w:b w:val="0"/>
          <w:bCs w:val="0"/>
          <w:sz w:val="20"/>
          <w:szCs w:val="20"/>
        </w:rPr>
        <w:t xml:space="preserve"> (FY’2</w:t>
      </w:r>
      <w:r w:rsidR="00EF0F0F" w:rsidRPr="00701439">
        <w:rPr>
          <w:rStyle w:val="Strong"/>
          <w:b w:val="0"/>
          <w:bCs w:val="0"/>
          <w:sz w:val="20"/>
          <w:szCs w:val="20"/>
        </w:rPr>
        <w:t>1</w:t>
      </w:r>
      <w:r w:rsidR="00175D8F" w:rsidRPr="00701439">
        <w:rPr>
          <w:rStyle w:val="Strong"/>
          <w:b w:val="0"/>
          <w:bCs w:val="0"/>
          <w:sz w:val="20"/>
          <w:szCs w:val="20"/>
        </w:rPr>
        <w:t xml:space="preserve">: </w:t>
      </w:r>
      <w:r w:rsidRPr="00701439">
        <w:rPr>
          <w:rStyle w:val="Strong"/>
          <w:b w:val="0"/>
          <w:sz w:val="20"/>
          <w:szCs w:val="20"/>
        </w:rPr>
        <w:t>£</w:t>
      </w:r>
      <w:r w:rsidR="00EF0F0F" w:rsidRPr="00701439">
        <w:rPr>
          <w:rStyle w:val="Strong"/>
          <w:b w:val="0"/>
          <w:sz w:val="20"/>
          <w:szCs w:val="20"/>
        </w:rPr>
        <w:t>167.8</w:t>
      </w:r>
      <w:r w:rsidRPr="00701439">
        <w:rPr>
          <w:rStyle w:val="Strong"/>
          <w:b w:val="0"/>
          <w:sz w:val="20"/>
          <w:szCs w:val="20"/>
        </w:rPr>
        <w:t>m</w:t>
      </w:r>
      <w:r w:rsidR="00175D8F" w:rsidRPr="00701439">
        <w:rPr>
          <w:rStyle w:val="Strong"/>
          <w:b w:val="0"/>
          <w:bCs w:val="0"/>
          <w:sz w:val="20"/>
          <w:szCs w:val="20"/>
        </w:rPr>
        <w:t>)</w:t>
      </w:r>
      <w:r w:rsidRPr="00701439">
        <w:rPr>
          <w:rStyle w:val="Strong"/>
          <w:b w:val="0"/>
          <w:bCs w:val="0"/>
          <w:sz w:val="20"/>
          <w:szCs w:val="20"/>
        </w:rPr>
        <w:t xml:space="preserve"> </w:t>
      </w:r>
      <w:r w:rsidR="00DD3887" w:rsidRPr="00701439">
        <w:rPr>
          <w:rStyle w:val="Strong"/>
          <w:b w:val="0"/>
          <w:bCs w:val="0"/>
          <w:sz w:val="20"/>
          <w:szCs w:val="20"/>
        </w:rPr>
        <w:t xml:space="preserve">is a combination of </w:t>
      </w:r>
      <w:r w:rsidR="00076C87" w:rsidRPr="00701439">
        <w:rPr>
          <w:rStyle w:val="Strong"/>
          <w:b w:val="0"/>
          <w:bCs w:val="0"/>
          <w:sz w:val="20"/>
          <w:szCs w:val="20"/>
        </w:rPr>
        <w:t xml:space="preserve">better </w:t>
      </w:r>
      <w:r w:rsidR="0098442A" w:rsidRPr="00701439">
        <w:rPr>
          <w:rStyle w:val="Strong"/>
          <w:b w:val="0"/>
          <w:bCs w:val="0"/>
          <w:sz w:val="20"/>
          <w:szCs w:val="20"/>
        </w:rPr>
        <w:t xml:space="preserve">divisional </w:t>
      </w:r>
      <w:r w:rsidR="00076C87" w:rsidRPr="00701439">
        <w:rPr>
          <w:rStyle w:val="Strong"/>
          <w:b w:val="0"/>
          <w:bCs w:val="0"/>
          <w:sz w:val="20"/>
          <w:szCs w:val="20"/>
        </w:rPr>
        <w:t>profits</w:t>
      </w:r>
      <w:r w:rsidR="0008748F" w:rsidRPr="00701439">
        <w:rPr>
          <w:rStyle w:val="Strong"/>
          <w:b w:val="0"/>
          <w:bCs w:val="0"/>
          <w:sz w:val="20"/>
          <w:szCs w:val="20"/>
        </w:rPr>
        <w:t xml:space="preserve"> </w:t>
      </w:r>
      <w:r w:rsidR="00D200AE" w:rsidRPr="00701439">
        <w:rPr>
          <w:rStyle w:val="Strong"/>
          <w:b w:val="0"/>
          <w:bCs w:val="0"/>
          <w:sz w:val="20"/>
          <w:szCs w:val="20"/>
        </w:rPr>
        <w:t xml:space="preserve">year-on-year </w:t>
      </w:r>
      <w:r w:rsidR="0008748F" w:rsidRPr="00701439">
        <w:rPr>
          <w:rStyle w:val="Strong"/>
          <w:b w:val="0"/>
          <w:bCs w:val="0"/>
          <w:sz w:val="20"/>
          <w:szCs w:val="20"/>
        </w:rPr>
        <w:t xml:space="preserve">offset by </w:t>
      </w:r>
      <w:r w:rsidR="00076C87" w:rsidRPr="00701439">
        <w:rPr>
          <w:rStyle w:val="Strong"/>
          <w:b w:val="0"/>
          <w:bCs w:val="0"/>
          <w:sz w:val="20"/>
          <w:szCs w:val="20"/>
        </w:rPr>
        <w:t xml:space="preserve">increased losses from the nascent personal loans business and </w:t>
      </w:r>
      <w:r w:rsidR="0008748F" w:rsidRPr="00701439">
        <w:rPr>
          <w:rStyle w:val="Strong"/>
          <w:b w:val="0"/>
          <w:bCs w:val="0"/>
          <w:sz w:val="20"/>
          <w:szCs w:val="20"/>
        </w:rPr>
        <w:t xml:space="preserve">higher central costs </w:t>
      </w:r>
      <w:proofErr w:type="gramStart"/>
      <w:r w:rsidR="0008748F" w:rsidRPr="00701439">
        <w:rPr>
          <w:rStyle w:val="Strong"/>
          <w:b w:val="0"/>
          <w:bCs w:val="0"/>
          <w:sz w:val="20"/>
          <w:szCs w:val="20"/>
        </w:rPr>
        <w:t>as a result of</w:t>
      </w:r>
      <w:proofErr w:type="gramEnd"/>
      <w:r w:rsidR="00D200AE" w:rsidRPr="00701439">
        <w:rPr>
          <w:rStyle w:val="Strong"/>
          <w:b w:val="0"/>
          <w:bCs w:val="0"/>
          <w:sz w:val="20"/>
          <w:szCs w:val="20"/>
        </w:rPr>
        <w:t xml:space="preserve"> the centralisation of Group functions</w:t>
      </w:r>
      <w:r w:rsidR="001A3091" w:rsidRPr="00701439">
        <w:rPr>
          <w:rStyle w:val="Strong"/>
          <w:b w:val="0"/>
          <w:bCs w:val="0"/>
          <w:sz w:val="20"/>
          <w:szCs w:val="20"/>
        </w:rPr>
        <w:t>.</w:t>
      </w:r>
      <w:r w:rsidR="00D200AE" w:rsidRPr="00701439">
        <w:rPr>
          <w:rStyle w:val="Strong"/>
          <w:b w:val="0"/>
          <w:bCs w:val="0"/>
          <w:sz w:val="20"/>
          <w:szCs w:val="20"/>
        </w:rPr>
        <w:t xml:space="preserve"> </w:t>
      </w:r>
    </w:p>
    <w:p w14:paraId="03193B2A" w14:textId="2700BFCA" w:rsidR="00E534C5" w:rsidRPr="00701439" w:rsidRDefault="002A5524" w:rsidP="00D75322">
      <w:pPr>
        <w:pStyle w:val="NoSpacing"/>
        <w:numPr>
          <w:ilvl w:val="0"/>
          <w:numId w:val="2"/>
        </w:numPr>
        <w:jc w:val="both"/>
        <w:rPr>
          <w:rStyle w:val="Strong"/>
          <w:b w:val="0"/>
          <w:bCs w:val="0"/>
          <w:sz w:val="20"/>
          <w:szCs w:val="20"/>
        </w:rPr>
      </w:pPr>
      <w:r w:rsidRPr="00701439">
        <w:rPr>
          <w:rStyle w:val="Strong"/>
          <w:b w:val="0"/>
          <w:bCs w:val="0"/>
          <w:sz w:val="20"/>
          <w:szCs w:val="20"/>
        </w:rPr>
        <w:t>At the end of December</w:t>
      </w:r>
      <w:r w:rsidR="0072144B" w:rsidRPr="00701439">
        <w:rPr>
          <w:rStyle w:val="Strong"/>
          <w:b w:val="0"/>
          <w:bCs w:val="0"/>
          <w:sz w:val="20"/>
          <w:szCs w:val="20"/>
        </w:rPr>
        <w:t xml:space="preserve"> 202</w:t>
      </w:r>
      <w:r w:rsidR="001B3E17" w:rsidRPr="00701439">
        <w:rPr>
          <w:rStyle w:val="Strong"/>
          <w:b w:val="0"/>
          <w:bCs w:val="0"/>
          <w:sz w:val="20"/>
          <w:szCs w:val="20"/>
        </w:rPr>
        <w:t>2</w:t>
      </w:r>
      <w:r w:rsidRPr="00701439">
        <w:rPr>
          <w:rStyle w:val="Strong"/>
          <w:b w:val="0"/>
          <w:bCs w:val="0"/>
          <w:sz w:val="20"/>
          <w:szCs w:val="20"/>
        </w:rPr>
        <w:t xml:space="preserve">, the Group’s </w:t>
      </w:r>
      <w:r w:rsidR="00F01EC8" w:rsidRPr="00701439">
        <w:rPr>
          <w:rStyle w:val="Strong"/>
          <w:b w:val="0"/>
          <w:bCs w:val="0"/>
          <w:sz w:val="20"/>
          <w:szCs w:val="20"/>
        </w:rPr>
        <w:t xml:space="preserve">capital and liquidity positions </w:t>
      </w:r>
      <w:r w:rsidRPr="00701439">
        <w:rPr>
          <w:rStyle w:val="Strong"/>
          <w:b w:val="0"/>
          <w:bCs w:val="0"/>
          <w:sz w:val="20"/>
          <w:szCs w:val="20"/>
        </w:rPr>
        <w:t>remained robust with r</w:t>
      </w:r>
      <w:r w:rsidR="00F01EC8" w:rsidRPr="00701439">
        <w:rPr>
          <w:rStyle w:val="Strong"/>
          <w:b w:val="0"/>
          <w:bCs w:val="0"/>
          <w:sz w:val="20"/>
          <w:szCs w:val="20"/>
        </w:rPr>
        <w:t xml:space="preserve">egulatory capital of </w:t>
      </w:r>
      <w:r w:rsidR="00175D8F" w:rsidRPr="00701439">
        <w:rPr>
          <w:rStyle w:val="Strong"/>
          <w:b w:val="0"/>
          <w:sz w:val="20"/>
          <w:szCs w:val="20"/>
        </w:rPr>
        <w:t>£</w:t>
      </w:r>
      <w:r w:rsidR="000D3DAE" w:rsidRPr="00701439">
        <w:rPr>
          <w:rStyle w:val="Strong"/>
          <w:b w:val="0"/>
          <w:bCs w:val="0"/>
          <w:sz w:val="20"/>
          <w:szCs w:val="20"/>
        </w:rPr>
        <w:t>6</w:t>
      </w:r>
      <w:r w:rsidR="0009342B" w:rsidRPr="00701439">
        <w:rPr>
          <w:rStyle w:val="Strong"/>
          <w:b w:val="0"/>
          <w:bCs w:val="0"/>
          <w:sz w:val="20"/>
          <w:szCs w:val="20"/>
        </w:rPr>
        <w:t>7</w:t>
      </w:r>
      <w:r w:rsidR="008B0AAC" w:rsidRPr="00701439">
        <w:rPr>
          <w:rStyle w:val="Strong"/>
          <w:b w:val="0"/>
          <w:bCs w:val="0"/>
          <w:sz w:val="20"/>
          <w:szCs w:val="20"/>
        </w:rPr>
        <w:t>9</w:t>
      </w:r>
      <w:r w:rsidR="009B65D3" w:rsidRPr="00701439">
        <w:rPr>
          <w:rStyle w:val="Strong"/>
          <w:b w:val="0"/>
          <w:bCs w:val="0"/>
          <w:sz w:val="20"/>
          <w:szCs w:val="20"/>
        </w:rPr>
        <w:t>m</w:t>
      </w:r>
      <w:r w:rsidR="00175D8F" w:rsidRPr="00701439">
        <w:rPr>
          <w:rStyle w:val="Strong"/>
          <w:b w:val="0"/>
          <w:bCs w:val="0"/>
          <w:sz w:val="20"/>
          <w:szCs w:val="20"/>
        </w:rPr>
        <w:t xml:space="preserve"> (FY’2</w:t>
      </w:r>
      <w:r w:rsidR="001B3E17" w:rsidRPr="00701439">
        <w:rPr>
          <w:rStyle w:val="Strong"/>
          <w:b w:val="0"/>
          <w:bCs w:val="0"/>
          <w:sz w:val="20"/>
          <w:szCs w:val="20"/>
        </w:rPr>
        <w:t>1</w:t>
      </w:r>
      <w:r w:rsidR="00175D8F" w:rsidRPr="00701439">
        <w:rPr>
          <w:rStyle w:val="Strong"/>
          <w:b w:val="0"/>
          <w:bCs w:val="0"/>
          <w:sz w:val="20"/>
          <w:szCs w:val="20"/>
        </w:rPr>
        <w:t xml:space="preserve">: </w:t>
      </w:r>
      <w:r w:rsidR="00F01EC8" w:rsidRPr="00701439">
        <w:rPr>
          <w:rStyle w:val="Strong"/>
          <w:b w:val="0"/>
          <w:bCs w:val="0"/>
          <w:sz w:val="20"/>
          <w:szCs w:val="20"/>
        </w:rPr>
        <w:t>£</w:t>
      </w:r>
      <w:r w:rsidR="001B3E17" w:rsidRPr="00701439">
        <w:rPr>
          <w:rStyle w:val="Strong"/>
          <w:b w:val="0"/>
          <w:bCs w:val="0"/>
          <w:sz w:val="20"/>
          <w:szCs w:val="20"/>
        </w:rPr>
        <w:t>707</w:t>
      </w:r>
      <w:r w:rsidR="00F01EC8" w:rsidRPr="00701439">
        <w:rPr>
          <w:rStyle w:val="Strong"/>
          <w:b w:val="0"/>
          <w:bCs w:val="0"/>
          <w:sz w:val="20"/>
          <w:szCs w:val="20"/>
        </w:rPr>
        <w:t>m</w:t>
      </w:r>
      <w:r w:rsidR="00175D8F" w:rsidRPr="00701439">
        <w:rPr>
          <w:rStyle w:val="Strong"/>
          <w:b w:val="0"/>
          <w:bCs w:val="0"/>
          <w:sz w:val="20"/>
          <w:szCs w:val="20"/>
        </w:rPr>
        <w:t>)</w:t>
      </w:r>
      <w:r w:rsidR="00F01EC8" w:rsidRPr="00701439">
        <w:rPr>
          <w:rStyle w:val="Strong"/>
          <w:b w:val="0"/>
          <w:bCs w:val="0"/>
          <w:sz w:val="20"/>
          <w:szCs w:val="20"/>
        </w:rPr>
        <w:t xml:space="preserve">, </w:t>
      </w:r>
      <w:r w:rsidRPr="00701439">
        <w:rPr>
          <w:rStyle w:val="Strong"/>
          <w:b w:val="0"/>
          <w:bCs w:val="0"/>
          <w:sz w:val="20"/>
          <w:szCs w:val="20"/>
        </w:rPr>
        <w:t>e</w:t>
      </w:r>
      <w:r w:rsidR="00F01EC8" w:rsidRPr="00701439">
        <w:rPr>
          <w:rStyle w:val="Strong"/>
          <w:b w:val="0"/>
          <w:bCs w:val="0"/>
          <w:sz w:val="20"/>
          <w:szCs w:val="20"/>
        </w:rPr>
        <w:t>quat</w:t>
      </w:r>
      <w:r w:rsidRPr="00701439">
        <w:rPr>
          <w:rStyle w:val="Strong"/>
          <w:b w:val="0"/>
          <w:bCs w:val="0"/>
          <w:sz w:val="20"/>
          <w:szCs w:val="20"/>
        </w:rPr>
        <w:t>ing</w:t>
      </w:r>
      <w:r w:rsidR="00F01EC8" w:rsidRPr="00701439">
        <w:rPr>
          <w:rStyle w:val="Strong"/>
          <w:b w:val="0"/>
          <w:bCs w:val="0"/>
          <w:sz w:val="20"/>
          <w:szCs w:val="20"/>
        </w:rPr>
        <w:t xml:space="preserve"> to a CET1 ratio of </w:t>
      </w:r>
      <w:r w:rsidR="00AB33D1" w:rsidRPr="00701439">
        <w:rPr>
          <w:rStyle w:val="Strong"/>
          <w:b w:val="0"/>
          <w:sz w:val="20"/>
          <w:szCs w:val="20"/>
        </w:rPr>
        <w:t>2</w:t>
      </w:r>
      <w:r w:rsidR="009B65D3" w:rsidRPr="00701439">
        <w:rPr>
          <w:rStyle w:val="Strong"/>
          <w:b w:val="0"/>
          <w:sz w:val="20"/>
          <w:szCs w:val="20"/>
        </w:rPr>
        <w:t>6.</w:t>
      </w:r>
      <w:r w:rsidR="0009342B" w:rsidRPr="00701439">
        <w:rPr>
          <w:rStyle w:val="Strong"/>
          <w:b w:val="0"/>
          <w:bCs w:val="0"/>
          <w:sz w:val="20"/>
          <w:szCs w:val="20"/>
        </w:rPr>
        <w:t>4</w:t>
      </w:r>
      <w:r w:rsidR="00175D8F" w:rsidRPr="00701439">
        <w:rPr>
          <w:rStyle w:val="Strong"/>
          <w:b w:val="0"/>
          <w:sz w:val="20"/>
          <w:szCs w:val="20"/>
        </w:rPr>
        <w:t xml:space="preserve">% </w:t>
      </w:r>
      <w:r w:rsidR="00175D8F" w:rsidRPr="00701439">
        <w:rPr>
          <w:rStyle w:val="Strong"/>
          <w:b w:val="0"/>
          <w:bCs w:val="0"/>
          <w:sz w:val="20"/>
          <w:szCs w:val="20"/>
        </w:rPr>
        <w:t>(FY’2</w:t>
      </w:r>
      <w:r w:rsidR="001B3E17" w:rsidRPr="00701439">
        <w:rPr>
          <w:rStyle w:val="Strong"/>
          <w:b w:val="0"/>
          <w:bCs w:val="0"/>
          <w:sz w:val="20"/>
          <w:szCs w:val="20"/>
        </w:rPr>
        <w:t>1</w:t>
      </w:r>
      <w:r w:rsidR="00175D8F" w:rsidRPr="00701439">
        <w:rPr>
          <w:rStyle w:val="Strong"/>
          <w:b w:val="0"/>
          <w:bCs w:val="0"/>
          <w:sz w:val="20"/>
          <w:szCs w:val="20"/>
        </w:rPr>
        <w:t xml:space="preserve">: </w:t>
      </w:r>
      <w:r w:rsidR="001B3E17" w:rsidRPr="00701439">
        <w:rPr>
          <w:rStyle w:val="Strong"/>
          <w:b w:val="0"/>
          <w:bCs w:val="0"/>
          <w:sz w:val="20"/>
          <w:szCs w:val="20"/>
        </w:rPr>
        <w:t>29.1</w:t>
      </w:r>
      <w:r w:rsidRPr="00701439">
        <w:rPr>
          <w:rStyle w:val="Strong"/>
          <w:b w:val="0"/>
          <w:bCs w:val="0"/>
          <w:sz w:val="20"/>
          <w:szCs w:val="20"/>
        </w:rPr>
        <w:t>%</w:t>
      </w:r>
      <w:r w:rsidR="00175D8F" w:rsidRPr="00701439">
        <w:rPr>
          <w:rStyle w:val="Strong"/>
          <w:b w:val="0"/>
          <w:bCs w:val="0"/>
          <w:sz w:val="20"/>
          <w:szCs w:val="20"/>
        </w:rPr>
        <w:t>)</w:t>
      </w:r>
      <w:r w:rsidRPr="00701439">
        <w:rPr>
          <w:rStyle w:val="Strong"/>
          <w:b w:val="0"/>
          <w:bCs w:val="0"/>
          <w:sz w:val="20"/>
          <w:szCs w:val="20"/>
        </w:rPr>
        <w:t xml:space="preserve"> </w:t>
      </w:r>
      <w:r w:rsidR="00175D8F" w:rsidRPr="00701439">
        <w:rPr>
          <w:rStyle w:val="Strong"/>
          <w:b w:val="0"/>
          <w:bCs w:val="0"/>
          <w:sz w:val="20"/>
          <w:szCs w:val="20"/>
        </w:rPr>
        <w:t xml:space="preserve">and a total capital ratio of </w:t>
      </w:r>
      <w:r w:rsidR="00726857" w:rsidRPr="00701439">
        <w:rPr>
          <w:rStyle w:val="Strong"/>
          <w:b w:val="0"/>
          <w:sz w:val="20"/>
          <w:szCs w:val="20"/>
        </w:rPr>
        <w:t>3</w:t>
      </w:r>
      <w:r w:rsidR="007A1DAA" w:rsidRPr="00701439">
        <w:rPr>
          <w:rStyle w:val="Strong"/>
          <w:b w:val="0"/>
          <w:sz w:val="20"/>
          <w:szCs w:val="20"/>
        </w:rPr>
        <w:t>7.</w:t>
      </w:r>
      <w:r w:rsidR="009447DF" w:rsidRPr="00701439">
        <w:rPr>
          <w:rStyle w:val="Strong"/>
          <w:b w:val="0"/>
          <w:sz w:val="20"/>
          <w:szCs w:val="20"/>
        </w:rPr>
        <w:t>5</w:t>
      </w:r>
      <w:r w:rsidR="00726857" w:rsidRPr="00701439">
        <w:rPr>
          <w:rStyle w:val="Strong"/>
          <w:b w:val="0"/>
          <w:sz w:val="20"/>
          <w:szCs w:val="20"/>
        </w:rPr>
        <w:t>%</w:t>
      </w:r>
      <w:r w:rsidR="00726857" w:rsidRPr="00701439">
        <w:rPr>
          <w:rStyle w:val="Strong"/>
          <w:b w:val="0"/>
          <w:bCs w:val="0"/>
          <w:sz w:val="20"/>
          <w:szCs w:val="20"/>
        </w:rPr>
        <w:t xml:space="preserve"> (FY’21: </w:t>
      </w:r>
      <w:r w:rsidR="00AB33D1" w:rsidRPr="00701439">
        <w:rPr>
          <w:rStyle w:val="Strong"/>
          <w:b w:val="0"/>
          <w:bCs w:val="0"/>
          <w:sz w:val="20"/>
          <w:szCs w:val="20"/>
        </w:rPr>
        <w:t>4</w:t>
      </w:r>
      <w:r w:rsidR="001601FA" w:rsidRPr="00701439">
        <w:rPr>
          <w:rStyle w:val="Strong"/>
          <w:b w:val="0"/>
          <w:bCs w:val="0"/>
          <w:sz w:val="20"/>
          <w:szCs w:val="20"/>
        </w:rPr>
        <w:t>0.</w:t>
      </w:r>
      <w:r w:rsidR="00EF138C" w:rsidRPr="00701439">
        <w:rPr>
          <w:rStyle w:val="Strong"/>
          <w:b w:val="0"/>
          <w:bCs w:val="0"/>
          <w:sz w:val="20"/>
          <w:szCs w:val="20"/>
        </w:rPr>
        <w:t>6</w:t>
      </w:r>
      <w:r w:rsidR="00175D8F" w:rsidRPr="00701439">
        <w:rPr>
          <w:rStyle w:val="Strong"/>
          <w:b w:val="0"/>
          <w:bCs w:val="0"/>
          <w:sz w:val="20"/>
          <w:szCs w:val="20"/>
        </w:rPr>
        <w:t>%</w:t>
      </w:r>
      <w:r w:rsidR="00726857" w:rsidRPr="00701439">
        <w:rPr>
          <w:rStyle w:val="Strong"/>
          <w:b w:val="0"/>
          <w:bCs w:val="0"/>
          <w:sz w:val="20"/>
          <w:szCs w:val="20"/>
        </w:rPr>
        <w:t>)</w:t>
      </w:r>
      <w:r w:rsidR="00175D8F" w:rsidRPr="00701439">
        <w:rPr>
          <w:rStyle w:val="Strong"/>
          <w:b w:val="0"/>
          <w:bCs w:val="0"/>
          <w:sz w:val="20"/>
          <w:szCs w:val="20"/>
        </w:rPr>
        <w:t xml:space="preserve">. This equates to </w:t>
      </w:r>
      <w:r w:rsidR="00F01EC8" w:rsidRPr="00701439">
        <w:rPr>
          <w:rStyle w:val="Strong"/>
          <w:b w:val="0"/>
          <w:bCs w:val="0"/>
          <w:sz w:val="20"/>
          <w:szCs w:val="20"/>
        </w:rPr>
        <w:t xml:space="preserve">a surplus of </w:t>
      </w:r>
      <w:r w:rsidR="00175D8F" w:rsidRPr="00701439">
        <w:rPr>
          <w:rStyle w:val="Strong"/>
          <w:b w:val="0"/>
          <w:sz w:val="20"/>
          <w:szCs w:val="20"/>
        </w:rPr>
        <w:t>£</w:t>
      </w:r>
      <w:r w:rsidR="00A33172" w:rsidRPr="00701439">
        <w:rPr>
          <w:rStyle w:val="Strong"/>
          <w:b w:val="0"/>
          <w:bCs w:val="0"/>
          <w:sz w:val="20"/>
          <w:szCs w:val="20"/>
        </w:rPr>
        <w:t>2</w:t>
      </w:r>
      <w:r w:rsidR="00F62781" w:rsidRPr="00701439">
        <w:rPr>
          <w:rStyle w:val="Strong"/>
          <w:b w:val="0"/>
          <w:bCs w:val="0"/>
          <w:sz w:val="20"/>
          <w:szCs w:val="20"/>
        </w:rPr>
        <w:t>8</w:t>
      </w:r>
      <w:r w:rsidR="009E55A9" w:rsidRPr="00701439">
        <w:rPr>
          <w:rStyle w:val="Strong"/>
          <w:b w:val="0"/>
          <w:bCs w:val="0"/>
          <w:sz w:val="20"/>
          <w:szCs w:val="20"/>
        </w:rPr>
        <w:t>4</w:t>
      </w:r>
      <w:r w:rsidR="00175D8F" w:rsidRPr="00701439">
        <w:rPr>
          <w:rStyle w:val="Strong"/>
          <w:b w:val="0"/>
          <w:bCs w:val="0"/>
          <w:sz w:val="20"/>
          <w:szCs w:val="20"/>
        </w:rPr>
        <w:t>m (FY’2</w:t>
      </w:r>
      <w:r w:rsidR="00481C0D" w:rsidRPr="00701439">
        <w:rPr>
          <w:rStyle w:val="Strong"/>
          <w:b w:val="0"/>
          <w:bCs w:val="0"/>
          <w:sz w:val="20"/>
          <w:szCs w:val="20"/>
        </w:rPr>
        <w:t>1</w:t>
      </w:r>
      <w:r w:rsidR="00175D8F" w:rsidRPr="00701439">
        <w:rPr>
          <w:rStyle w:val="Strong"/>
          <w:b w:val="0"/>
          <w:bCs w:val="0"/>
          <w:sz w:val="20"/>
          <w:szCs w:val="20"/>
        </w:rPr>
        <w:t xml:space="preserve">: </w:t>
      </w:r>
      <w:r w:rsidR="00F01EC8" w:rsidRPr="00701439">
        <w:rPr>
          <w:rStyle w:val="Strong"/>
          <w:b w:val="0"/>
          <w:bCs w:val="0"/>
          <w:sz w:val="20"/>
          <w:szCs w:val="20"/>
        </w:rPr>
        <w:t>£</w:t>
      </w:r>
      <w:r w:rsidR="00481C0D" w:rsidRPr="00701439">
        <w:rPr>
          <w:rStyle w:val="Strong"/>
          <w:b w:val="0"/>
          <w:bCs w:val="0"/>
          <w:sz w:val="20"/>
          <w:szCs w:val="20"/>
        </w:rPr>
        <w:t>344</w:t>
      </w:r>
      <w:r w:rsidR="00F01EC8" w:rsidRPr="00701439">
        <w:rPr>
          <w:rStyle w:val="Strong"/>
          <w:b w:val="0"/>
          <w:bCs w:val="0"/>
          <w:sz w:val="20"/>
          <w:szCs w:val="20"/>
        </w:rPr>
        <w:t>m</w:t>
      </w:r>
      <w:r w:rsidR="00175D8F" w:rsidRPr="00701439">
        <w:rPr>
          <w:rStyle w:val="Strong"/>
          <w:b w:val="0"/>
          <w:bCs w:val="0"/>
          <w:sz w:val="20"/>
          <w:szCs w:val="20"/>
        </w:rPr>
        <w:t>)</w:t>
      </w:r>
      <w:r w:rsidR="00F01EC8" w:rsidRPr="00701439">
        <w:rPr>
          <w:rStyle w:val="Strong"/>
          <w:b w:val="0"/>
          <w:bCs w:val="0"/>
          <w:sz w:val="20"/>
          <w:szCs w:val="20"/>
        </w:rPr>
        <w:t xml:space="preserve"> </w:t>
      </w:r>
      <w:r w:rsidR="00DA5770" w:rsidRPr="00701439">
        <w:rPr>
          <w:rStyle w:val="Strong"/>
          <w:b w:val="0"/>
          <w:bCs w:val="0"/>
          <w:sz w:val="20"/>
          <w:szCs w:val="20"/>
        </w:rPr>
        <w:t>pre-C</w:t>
      </w:r>
      <w:r w:rsidR="00AD732F" w:rsidRPr="00701439">
        <w:rPr>
          <w:rStyle w:val="Strong"/>
          <w:b w:val="0"/>
          <w:bCs w:val="0"/>
          <w:sz w:val="20"/>
          <w:szCs w:val="20"/>
        </w:rPr>
        <w:t xml:space="preserve">-SREP release of capital </w:t>
      </w:r>
      <w:r w:rsidR="00F01EC8" w:rsidRPr="00701439">
        <w:rPr>
          <w:rStyle w:val="Strong"/>
          <w:b w:val="0"/>
          <w:bCs w:val="0"/>
          <w:sz w:val="20"/>
          <w:szCs w:val="20"/>
        </w:rPr>
        <w:t xml:space="preserve">above the </w:t>
      </w:r>
      <w:r w:rsidR="00AD732F" w:rsidRPr="00701439">
        <w:rPr>
          <w:rStyle w:val="Strong"/>
          <w:b w:val="0"/>
          <w:bCs w:val="0"/>
          <w:sz w:val="20"/>
          <w:szCs w:val="20"/>
        </w:rPr>
        <w:t>Group’s T</w:t>
      </w:r>
      <w:r w:rsidR="003E0B6C" w:rsidRPr="00701439">
        <w:rPr>
          <w:rStyle w:val="Strong"/>
          <w:b w:val="0"/>
          <w:bCs w:val="0"/>
          <w:sz w:val="20"/>
          <w:szCs w:val="20"/>
        </w:rPr>
        <w:t xml:space="preserve">otal Capital Requirement (TCR) and </w:t>
      </w:r>
      <w:r w:rsidR="00F01EC8" w:rsidRPr="00701439">
        <w:rPr>
          <w:rStyle w:val="Strong"/>
          <w:b w:val="0"/>
          <w:bCs w:val="0"/>
          <w:sz w:val="20"/>
          <w:szCs w:val="20"/>
        </w:rPr>
        <w:t xml:space="preserve">regulatory </w:t>
      </w:r>
      <w:r w:rsidR="003E0B6C" w:rsidRPr="00701439">
        <w:rPr>
          <w:rStyle w:val="Strong"/>
          <w:b w:val="0"/>
          <w:bCs w:val="0"/>
          <w:sz w:val="20"/>
          <w:szCs w:val="20"/>
        </w:rPr>
        <w:t xml:space="preserve">combined buffer (capital </w:t>
      </w:r>
      <w:r w:rsidR="0072705D" w:rsidRPr="00701439">
        <w:rPr>
          <w:rStyle w:val="Strong"/>
          <w:b w:val="0"/>
          <w:bCs w:val="0"/>
          <w:sz w:val="20"/>
          <w:szCs w:val="20"/>
        </w:rPr>
        <w:t>conservation buffer and countercyclical capital buffer)</w:t>
      </w:r>
      <w:r w:rsidR="00175D8F" w:rsidRPr="00701439">
        <w:rPr>
          <w:rStyle w:val="Strong"/>
          <w:b w:val="0"/>
          <w:bCs w:val="0"/>
          <w:sz w:val="20"/>
          <w:szCs w:val="20"/>
        </w:rPr>
        <w:t>.</w:t>
      </w:r>
      <w:r w:rsidR="00D75322" w:rsidRPr="00701439">
        <w:rPr>
          <w:rStyle w:val="Strong"/>
          <w:b w:val="0"/>
          <w:bCs w:val="0"/>
          <w:sz w:val="20"/>
          <w:szCs w:val="20"/>
        </w:rPr>
        <w:t xml:space="preserve"> The Group held High-Quality Liquid Assets in the Bank of England reserve account of £421m at the end of December 2022 (FY’21: £415m) equating to significant levels of excess above its Liquidity Coverage Ratio </w:t>
      </w:r>
      <w:r w:rsidR="004A010C" w:rsidRPr="00701439">
        <w:rPr>
          <w:rStyle w:val="Strong"/>
          <w:b w:val="0"/>
          <w:bCs w:val="0"/>
          <w:sz w:val="20"/>
          <w:szCs w:val="20"/>
        </w:rPr>
        <w:t xml:space="preserve">(LCR) </w:t>
      </w:r>
      <w:r w:rsidR="00D75322" w:rsidRPr="00701439">
        <w:rPr>
          <w:rStyle w:val="Strong"/>
          <w:b w:val="0"/>
          <w:bCs w:val="0"/>
          <w:sz w:val="20"/>
          <w:szCs w:val="20"/>
        </w:rPr>
        <w:t>requirement</w:t>
      </w:r>
      <w:r w:rsidR="00691C00" w:rsidRPr="00701439">
        <w:rPr>
          <w:rStyle w:val="Strong"/>
          <w:b w:val="0"/>
          <w:bCs w:val="0"/>
          <w:sz w:val="20"/>
          <w:szCs w:val="20"/>
        </w:rPr>
        <w:t>.</w:t>
      </w:r>
    </w:p>
    <w:p w14:paraId="479F19C0" w14:textId="7FEBA8BE" w:rsidR="009534A1" w:rsidRPr="00701439" w:rsidRDefault="009534A1" w:rsidP="00E534C5">
      <w:pPr>
        <w:pStyle w:val="NoSpacing"/>
        <w:numPr>
          <w:ilvl w:val="0"/>
          <w:numId w:val="2"/>
        </w:numPr>
        <w:jc w:val="both"/>
        <w:rPr>
          <w:rStyle w:val="Strong"/>
          <w:b w:val="0"/>
          <w:bCs w:val="0"/>
          <w:sz w:val="20"/>
          <w:szCs w:val="20"/>
        </w:rPr>
      </w:pPr>
      <w:bookmarkStart w:id="1" w:name="_Hlk127872760"/>
      <w:r w:rsidRPr="00701439">
        <w:rPr>
          <w:rStyle w:val="Strong"/>
          <w:b w:val="0"/>
          <w:bCs w:val="0"/>
          <w:sz w:val="20"/>
          <w:szCs w:val="20"/>
        </w:rPr>
        <w:t xml:space="preserve">The Board is proposing a final dividend </w:t>
      </w:r>
      <w:r w:rsidR="0071632F" w:rsidRPr="00701439">
        <w:rPr>
          <w:rStyle w:val="Strong"/>
          <w:b w:val="0"/>
          <w:bCs w:val="0"/>
          <w:sz w:val="20"/>
          <w:szCs w:val="20"/>
        </w:rPr>
        <w:t xml:space="preserve">with respect </w:t>
      </w:r>
      <w:r w:rsidR="00C13824" w:rsidRPr="00701439">
        <w:rPr>
          <w:rStyle w:val="Strong"/>
          <w:b w:val="0"/>
          <w:bCs w:val="0"/>
          <w:sz w:val="20"/>
          <w:szCs w:val="20"/>
        </w:rPr>
        <w:t>of</w:t>
      </w:r>
      <w:r w:rsidR="0071632F" w:rsidRPr="00701439">
        <w:rPr>
          <w:rStyle w:val="Strong"/>
          <w:b w:val="0"/>
          <w:bCs w:val="0"/>
          <w:sz w:val="20"/>
          <w:szCs w:val="20"/>
        </w:rPr>
        <w:t xml:space="preserve"> FY’22 of </w:t>
      </w:r>
      <w:r w:rsidR="008344E9" w:rsidRPr="00701439">
        <w:rPr>
          <w:rStyle w:val="Strong"/>
          <w:b w:val="0"/>
          <w:bCs w:val="0"/>
          <w:sz w:val="20"/>
          <w:szCs w:val="20"/>
        </w:rPr>
        <w:t>1</w:t>
      </w:r>
      <w:r w:rsidR="00C8780E" w:rsidRPr="00701439">
        <w:rPr>
          <w:rStyle w:val="Strong"/>
          <w:b w:val="0"/>
          <w:bCs w:val="0"/>
          <w:sz w:val="20"/>
          <w:szCs w:val="20"/>
        </w:rPr>
        <w:t>0.3</w:t>
      </w:r>
      <w:r w:rsidR="0071632F" w:rsidRPr="00701439">
        <w:rPr>
          <w:rStyle w:val="Strong"/>
          <w:b w:val="0"/>
          <w:bCs w:val="0"/>
          <w:sz w:val="20"/>
          <w:szCs w:val="20"/>
        </w:rPr>
        <w:t>p per share, reflecting the Group’s strong capital position</w:t>
      </w:r>
      <w:r w:rsidR="00F10F52" w:rsidRPr="00701439">
        <w:rPr>
          <w:rStyle w:val="Strong"/>
          <w:b w:val="0"/>
          <w:bCs w:val="0"/>
          <w:sz w:val="20"/>
          <w:szCs w:val="20"/>
        </w:rPr>
        <w:t xml:space="preserve"> and the Board’s confidence in the </w:t>
      </w:r>
      <w:r w:rsidR="00296AC7" w:rsidRPr="00701439">
        <w:rPr>
          <w:rStyle w:val="Strong"/>
          <w:b w:val="0"/>
          <w:bCs w:val="0"/>
          <w:sz w:val="20"/>
          <w:szCs w:val="20"/>
        </w:rPr>
        <w:t xml:space="preserve">Group’s </w:t>
      </w:r>
      <w:r w:rsidR="00F10F52" w:rsidRPr="00701439">
        <w:rPr>
          <w:rStyle w:val="Strong"/>
          <w:b w:val="0"/>
          <w:bCs w:val="0"/>
          <w:sz w:val="20"/>
          <w:szCs w:val="20"/>
        </w:rPr>
        <w:t>outlook</w:t>
      </w:r>
      <w:r w:rsidR="00875EA5" w:rsidRPr="00701439">
        <w:rPr>
          <w:rStyle w:val="Strong"/>
          <w:b w:val="0"/>
          <w:bCs w:val="0"/>
          <w:sz w:val="20"/>
          <w:szCs w:val="20"/>
        </w:rPr>
        <w:t xml:space="preserve">, equating to a total dividend payable of </w:t>
      </w:r>
      <w:r w:rsidR="00C8780E" w:rsidRPr="00701439">
        <w:rPr>
          <w:rStyle w:val="Strong"/>
          <w:b w:val="0"/>
          <w:bCs w:val="0"/>
          <w:sz w:val="20"/>
          <w:szCs w:val="20"/>
        </w:rPr>
        <w:t>15.3</w:t>
      </w:r>
      <w:r w:rsidR="00875EA5" w:rsidRPr="00701439">
        <w:rPr>
          <w:rStyle w:val="Strong"/>
          <w:b w:val="0"/>
          <w:bCs w:val="0"/>
          <w:sz w:val="20"/>
          <w:szCs w:val="20"/>
        </w:rPr>
        <w:t xml:space="preserve">p per share and a </w:t>
      </w:r>
      <w:r w:rsidR="005F134B" w:rsidRPr="00701439">
        <w:rPr>
          <w:rStyle w:val="Strong"/>
          <w:b w:val="0"/>
          <w:bCs w:val="0"/>
          <w:sz w:val="20"/>
          <w:szCs w:val="20"/>
        </w:rPr>
        <w:t>pay-out</w:t>
      </w:r>
      <w:r w:rsidR="00875EA5" w:rsidRPr="00701439">
        <w:rPr>
          <w:rStyle w:val="Strong"/>
          <w:b w:val="0"/>
          <w:bCs w:val="0"/>
          <w:sz w:val="20"/>
          <w:szCs w:val="20"/>
        </w:rPr>
        <w:t xml:space="preserve"> ratio of adjusted continuing </w:t>
      </w:r>
      <w:r w:rsidR="005228E2" w:rsidRPr="00701439">
        <w:rPr>
          <w:rStyle w:val="Strong"/>
          <w:b w:val="0"/>
          <w:bCs w:val="0"/>
          <w:sz w:val="20"/>
          <w:szCs w:val="20"/>
        </w:rPr>
        <w:t>earnings</w:t>
      </w:r>
      <w:r w:rsidR="00771DE3" w:rsidRPr="00701439">
        <w:rPr>
          <w:rStyle w:val="Strong"/>
          <w:b w:val="0"/>
          <w:bCs w:val="0"/>
          <w:sz w:val="20"/>
          <w:szCs w:val="20"/>
          <w:vertAlign w:val="superscript"/>
        </w:rPr>
        <w:t>4</w:t>
      </w:r>
      <w:r w:rsidR="005228E2" w:rsidRPr="00701439">
        <w:rPr>
          <w:rStyle w:val="Strong"/>
          <w:b w:val="0"/>
          <w:bCs w:val="0"/>
          <w:sz w:val="20"/>
          <w:szCs w:val="20"/>
        </w:rPr>
        <w:t xml:space="preserve"> </w:t>
      </w:r>
      <w:r w:rsidR="00875EA5" w:rsidRPr="00701439">
        <w:rPr>
          <w:rStyle w:val="Strong"/>
          <w:b w:val="0"/>
          <w:bCs w:val="0"/>
          <w:sz w:val="20"/>
          <w:szCs w:val="20"/>
        </w:rPr>
        <w:t xml:space="preserve">of </w:t>
      </w:r>
      <w:r w:rsidR="00C8780E" w:rsidRPr="00701439">
        <w:rPr>
          <w:rStyle w:val="Strong"/>
          <w:b w:val="0"/>
          <w:bCs w:val="0"/>
          <w:sz w:val="20"/>
          <w:szCs w:val="20"/>
        </w:rPr>
        <w:t>40</w:t>
      </w:r>
      <w:r w:rsidR="00875EA5" w:rsidRPr="00701439">
        <w:rPr>
          <w:rStyle w:val="Strong"/>
          <w:b w:val="0"/>
          <w:bCs w:val="0"/>
          <w:sz w:val="20"/>
          <w:szCs w:val="20"/>
        </w:rPr>
        <w:t>%</w:t>
      </w:r>
      <w:r w:rsidR="00233828" w:rsidRPr="00701439">
        <w:rPr>
          <w:rStyle w:val="Strong"/>
          <w:b w:val="0"/>
          <w:bCs w:val="0"/>
          <w:sz w:val="20"/>
          <w:szCs w:val="20"/>
        </w:rPr>
        <w:t>.</w:t>
      </w:r>
    </w:p>
    <w:p w14:paraId="75F9BA15" w14:textId="13C8C281" w:rsidR="003E6015" w:rsidRPr="00701439" w:rsidRDefault="003E6015" w:rsidP="003E6015">
      <w:pPr>
        <w:pStyle w:val="NoSpacing"/>
        <w:jc w:val="both"/>
        <w:rPr>
          <w:rStyle w:val="Strong"/>
          <w:b w:val="0"/>
          <w:bCs w:val="0"/>
          <w:sz w:val="20"/>
          <w:szCs w:val="20"/>
        </w:rPr>
      </w:pPr>
    </w:p>
    <w:p w14:paraId="17DA90BA" w14:textId="43B8DF25" w:rsidR="003E6015" w:rsidRPr="00701439" w:rsidRDefault="000556C6" w:rsidP="0002541E">
      <w:pPr>
        <w:jc w:val="both"/>
        <w:rPr>
          <w:rStyle w:val="Strong"/>
          <w:color w:val="4747FF"/>
          <w:sz w:val="22"/>
          <w:szCs w:val="22"/>
        </w:rPr>
      </w:pPr>
      <w:r w:rsidRPr="00701439">
        <w:rPr>
          <w:rStyle w:val="Strong"/>
          <w:rFonts w:asciiTheme="minorHAnsi" w:hAnsiTheme="minorHAnsi"/>
          <w:color w:val="4747FF"/>
          <w:sz w:val="22"/>
          <w:szCs w:val="22"/>
        </w:rPr>
        <w:t>2022 Achievements</w:t>
      </w:r>
    </w:p>
    <w:p w14:paraId="16305C8D" w14:textId="3EA49D5E" w:rsidR="003E6015" w:rsidRPr="00701439" w:rsidRDefault="003E6015" w:rsidP="003E6015">
      <w:pPr>
        <w:pStyle w:val="NoSpacing"/>
        <w:jc w:val="both"/>
        <w:rPr>
          <w:rStyle w:val="Strong"/>
          <w:b w:val="0"/>
          <w:bCs w:val="0"/>
          <w:sz w:val="20"/>
          <w:szCs w:val="20"/>
        </w:rPr>
      </w:pPr>
    </w:p>
    <w:p w14:paraId="6BA4C258" w14:textId="37CB9413" w:rsidR="00CA72B1" w:rsidRPr="00701439" w:rsidRDefault="00D01E4D" w:rsidP="003E6015">
      <w:pPr>
        <w:pStyle w:val="NoSpacing"/>
        <w:numPr>
          <w:ilvl w:val="0"/>
          <w:numId w:val="38"/>
        </w:numPr>
        <w:jc w:val="both"/>
        <w:rPr>
          <w:rStyle w:val="Strong"/>
          <w:b w:val="0"/>
          <w:bCs w:val="0"/>
          <w:sz w:val="20"/>
          <w:szCs w:val="20"/>
        </w:rPr>
      </w:pPr>
      <w:r w:rsidRPr="00701439">
        <w:rPr>
          <w:rStyle w:val="Strong"/>
          <w:b w:val="0"/>
          <w:bCs w:val="0"/>
          <w:sz w:val="20"/>
          <w:szCs w:val="20"/>
        </w:rPr>
        <w:t>The Group successfully repositioned in the mid-cost and near-prime segments of the market</w:t>
      </w:r>
      <w:r w:rsidR="00FB0C34" w:rsidRPr="00701439">
        <w:rPr>
          <w:rStyle w:val="Strong"/>
          <w:b w:val="0"/>
          <w:bCs w:val="0"/>
          <w:sz w:val="20"/>
          <w:szCs w:val="20"/>
        </w:rPr>
        <w:t>,</w:t>
      </w:r>
      <w:r w:rsidRPr="00701439">
        <w:rPr>
          <w:rStyle w:val="Strong"/>
          <w:b w:val="0"/>
          <w:bCs w:val="0"/>
          <w:sz w:val="20"/>
          <w:szCs w:val="20"/>
        </w:rPr>
        <w:t xml:space="preserve"> with a focus on lower risk customers</w:t>
      </w:r>
      <w:r w:rsidR="00FB0C34" w:rsidRPr="00701439">
        <w:rPr>
          <w:rStyle w:val="Strong"/>
          <w:b w:val="0"/>
          <w:bCs w:val="0"/>
          <w:sz w:val="20"/>
          <w:szCs w:val="20"/>
        </w:rPr>
        <w:t>,</w:t>
      </w:r>
      <w:r w:rsidR="004C67F9" w:rsidRPr="00701439">
        <w:rPr>
          <w:rStyle w:val="Strong"/>
          <w:b w:val="0"/>
          <w:bCs w:val="0"/>
          <w:sz w:val="20"/>
          <w:szCs w:val="20"/>
        </w:rPr>
        <w:t xml:space="preserve"> resulting in a materially lower credit risk profile</w:t>
      </w:r>
      <w:r w:rsidR="00233828" w:rsidRPr="00701439">
        <w:rPr>
          <w:rStyle w:val="Strong"/>
          <w:b w:val="0"/>
          <w:bCs w:val="0"/>
          <w:sz w:val="20"/>
          <w:szCs w:val="20"/>
        </w:rPr>
        <w:t>.</w:t>
      </w:r>
      <w:r w:rsidR="004C67F9" w:rsidRPr="00701439">
        <w:rPr>
          <w:rStyle w:val="Strong"/>
          <w:b w:val="0"/>
          <w:bCs w:val="0"/>
          <w:sz w:val="20"/>
          <w:szCs w:val="20"/>
        </w:rPr>
        <w:t xml:space="preserve"> </w:t>
      </w:r>
    </w:p>
    <w:p w14:paraId="70086D03" w14:textId="23F10E55" w:rsidR="00363448" w:rsidRPr="00701439" w:rsidRDefault="00363448" w:rsidP="00363448">
      <w:pPr>
        <w:pStyle w:val="NoSpacing"/>
        <w:numPr>
          <w:ilvl w:val="0"/>
          <w:numId w:val="38"/>
        </w:numPr>
        <w:jc w:val="both"/>
        <w:rPr>
          <w:rStyle w:val="Strong"/>
          <w:b w:val="0"/>
          <w:bCs w:val="0"/>
          <w:sz w:val="20"/>
          <w:szCs w:val="20"/>
        </w:rPr>
      </w:pPr>
      <w:r w:rsidRPr="00701439">
        <w:rPr>
          <w:rStyle w:val="Strong"/>
          <w:b w:val="0"/>
          <w:bCs w:val="0"/>
          <w:sz w:val="20"/>
          <w:szCs w:val="20"/>
        </w:rPr>
        <w:t>Announced the rebranding of the Group as Vanquis Banking Group plc shortly after the period end to better reflect the mix of lending and its strategic ambitions</w:t>
      </w:r>
      <w:r w:rsidR="00233828" w:rsidRPr="00701439">
        <w:rPr>
          <w:rStyle w:val="Strong"/>
          <w:b w:val="0"/>
          <w:bCs w:val="0"/>
          <w:sz w:val="20"/>
          <w:szCs w:val="20"/>
        </w:rPr>
        <w:t>.</w:t>
      </w:r>
      <w:r w:rsidRPr="00701439">
        <w:rPr>
          <w:rStyle w:val="Strong"/>
          <w:b w:val="0"/>
          <w:bCs w:val="0"/>
          <w:sz w:val="20"/>
          <w:szCs w:val="20"/>
        </w:rPr>
        <w:t xml:space="preserve"> </w:t>
      </w:r>
    </w:p>
    <w:p w14:paraId="031A8C41" w14:textId="75D5D53B" w:rsidR="00D01E4D" w:rsidRPr="00701439" w:rsidRDefault="00426E45" w:rsidP="003E6015">
      <w:pPr>
        <w:pStyle w:val="NoSpacing"/>
        <w:numPr>
          <w:ilvl w:val="0"/>
          <w:numId w:val="38"/>
        </w:numPr>
        <w:jc w:val="both"/>
        <w:rPr>
          <w:rStyle w:val="Strong"/>
          <w:b w:val="0"/>
          <w:bCs w:val="0"/>
          <w:sz w:val="20"/>
          <w:szCs w:val="20"/>
        </w:rPr>
      </w:pPr>
      <w:r w:rsidRPr="00701439">
        <w:rPr>
          <w:rStyle w:val="Strong"/>
          <w:b w:val="0"/>
          <w:bCs w:val="0"/>
          <w:sz w:val="20"/>
          <w:szCs w:val="20"/>
        </w:rPr>
        <w:t>Growth initiatives launche</w:t>
      </w:r>
      <w:r w:rsidR="008923D6" w:rsidRPr="00701439">
        <w:rPr>
          <w:rStyle w:val="Strong"/>
          <w:b w:val="0"/>
          <w:bCs w:val="0"/>
          <w:sz w:val="20"/>
          <w:szCs w:val="20"/>
        </w:rPr>
        <w:t xml:space="preserve">d </w:t>
      </w:r>
      <w:r w:rsidR="000C09F5" w:rsidRPr="00701439">
        <w:rPr>
          <w:rStyle w:val="Strong"/>
          <w:b w:val="0"/>
          <w:bCs w:val="0"/>
          <w:sz w:val="20"/>
          <w:szCs w:val="20"/>
        </w:rPr>
        <w:t>for each product including several new credit card price points</w:t>
      </w:r>
      <w:r w:rsidR="007B3160" w:rsidRPr="00701439">
        <w:rPr>
          <w:rStyle w:val="Strong"/>
          <w:b w:val="0"/>
          <w:bCs w:val="0"/>
          <w:sz w:val="20"/>
          <w:szCs w:val="20"/>
        </w:rPr>
        <w:t>, a broader product</w:t>
      </w:r>
      <w:r w:rsidR="00160846" w:rsidRPr="00701439">
        <w:rPr>
          <w:rStyle w:val="Strong"/>
          <w:b w:val="0"/>
          <w:bCs w:val="0"/>
          <w:sz w:val="20"/>
          <w:szCs w:val="20"/>
        </w:rPr>
        <w:t xml:space="preserve"> offering for the vehicle finance business and the open market launch and development in the personal loans business</w:t>
      </w:r>
      <w:r w:rsidR="00233828" w:rsidRPr="00701439">
        <w:rPr>
          <w:rStyle w:val="Strong"/>
          <w:b w:val="0"/>
          <w:bCs w:val="0"/>
          <w:sz w:val="20"/>
          <w:szCs w:val="20"/>
        </w:rPr>
        <w:t>.</w:t>
      </w:r>
      <w:r w:rsidR="00160846" w:rsidRPr="00701439">
        <w:rPr>
          <w:rStyle w:val="Strong"/>
          <w:b w:val="0"/>
          <w:bCs w:val="0"/>
          <w:sz w:val="20"/>
          <w:szCs w:val="20"/>
        </w:rPr>
        <w:t xml:space="preserve"> </w:t>
      </w:r>
    </w:p>
    <w:p w14:paraId="58083BD8" w14:textId="1702EB71" w:rsidR="003E6015" w:rsidRPr="00701439" w:rsidRDefault="00D90EF3" w:rsidP="003E6015">
      <w:pPr>
        <w:pStyle w:val="NoSpacing"/>
        <w:numPr>
          <w:ilvl w:val="0"/>
          <w:numId w:val="38"/>
        </w:numPr>
        <w:jc w:val="both"/>
        <w:rPr>
          <w:rStyle w:val="Strong"/>
          <w:b w:val="0"/>
          <w:bCs w:val="0"/>
          <w:sz w:val="20"/>
          <w:szCs w:val="20"/>
        </w:rPr>
      </w:pPr>
      <w:r w:rsidRPr="00701439">
        <w:rPr>
          <w:rStyle w:val="Strong"/>
          <w:b w:val="0"/>
          <w:bCs w:val="0"/>
          <w:sz w:val="20"/>
          <w:szCs w:val="20"/>
        </w:rPr>
        <w:t xml:space="preserve">Large exposure waiver obtained following Prudential Risk </w:t>
      </w:r>
      <w:r w:rsidR="0061044E" w:rsidRPr="00701439">
        <w:rPr>
          <w:rStyle w:val="Strong"/>
          <w:b w:val="0"/>
          <w:bCs w:val="0"/>
          <w:sz w:val="20"/>
          <w:szCs w:val="20"/>
        </w:rPr>
        <w:t>Authority</w:t>
      </w:r>
      <w:r w:rsidRPr="00701439">
        <w:rPr>
          <w:rStyle w:val="Strong"/>
          <w:b w:val="0"/>
          <w:bCs w:val="0"/>
          <w:sz w:val="20"/>
          <w:szCs w:val="20"/>
        </w:rPr>
        <w:t xml:space="preserve"> (</w:t>
      </w:r>
      <w:r w:rsidR="0061044E" w:rsidRPr="00701439">
        <w:rPr>
          <w:rStyle w:val="Strong"/>
          <w:b w:val="0"/>
          <w:bCs w:val="0"/>
          <w:sz w:val="20"/>
          <w:szCs w:val="20"/>
        </w:rPr>
        <w:t xml:space="preserve">PRA) approval enabling </w:t>
      </w:r>
      <w:r w:rsidR="00C14D87" w:rsidRPr="00701439">
        <w:rPr>
          <w:rStyle w:val="Strong"/>
          <w:b w:val="0"/>
          <w:bCs w:val="0"/>
          <w:sz w:val="20"/>
          <w:szCs w:val="20"/>
        </w:rPr>
        <w:t>Moneybarn</w:t>
      </w:r>
      <w:r w:rsidR="0061044E" w:rsidRPr="00701439">
        <w:rPr>
          <w:rStyle w:val="Strong"/>
          <w:b w:val="0"/>
          <w:bCs w:val="0"/>
          <w:sz w:val="20"/>
          <w:szCs w:val="20"/>
        </w:rPr>
        <w:t xml:space="preserve"> to benefit from access to retail deposit funding</w:t>
      </w:r>
      <w:r w:rsidR="00BC3737" w:rsidRPr="00701439">
        <w:rPr>
          <w:rStyle w:val="Strong"/>
          <w:b w:val="0"/>
          <w:bCs w:val="0"/>
          <w:sz w:val="20"/>
          <w:szCs w:val="20"/>
        </w:rPr>
        <w:t xml:space="preserve"> via Vanquis Bank</w:t>
      </w:r>
      <w:r w:rsidR="00233828" w:rsidRPr="00701439">
        <w:rPr>
          <w:rStyle w:val="Strong"/>
          <w:b w:val="0"/>
          <w:bCs w:val="0"/>
          <w:sz w:val="20"/>
          <w:szCs w:val="20"/>
        </w:rPr>
        <w:t>.</w:t>
      </w:r>
      <w:r w:rsidR="0061044E" w:rsidRPr="00701439">
        <w:rPr>
          <w:rStyle w:val="Strong"/>
          <w:b w:val="0"/>
          <w:bCs w:val="0"/>
          <w:sz w:val="20"/>
          <w:szCs w:val="20"/>
        </w:rPr>
        <w:t xml:space="preserve"> </w:t>
      </w:r>
    </w:p>
    <w:p w14:paraId="157B6406" w14:textId="7DC1AB0D" w:rsidR="002F2281" w:rsidRPr="00701439" w:rsidRDefault="002F2281" w:rsidP="002F2281">
      <w:pPr>
        <w:pStyle w:val="NoSpacing"/>
        <w:numPr>
          <w:ilvl w:val="0"/>
          <w:numId w:val="38"/>
        </w:numPr>
        <w:jc w:val="both"/>
        <w:rPr>
          <w:rStyle w:val="Strong"/>
          <w:b w:val="0"/>
          <w:sz w:val="20"/>
          <w:szCs w:val="20"/>
        </w:rPr>
      </w:pPr>
      <w:r w:rsidRPr="00701439">
        <w:rPr>
          <w:rStyle w:val="Strong"/>
          <w:b w:val="0"/>
          <w:sz w:val="20"/>
          <w:szCs w:val="20"/>
        </w:rPr>
        <w:t xml:space="preserve">In March 2023, the Group’s </w:t>
      </w:r>
      <w:r w:rsidR="00BC3737" w:rsidRPr="00701439">
        <w:rPr>
          <w:rStyle w:val="Strong"/>
          <w:b w:val="0"/>
          <w:sz w:val="20"/>
          <w:szCs w:val="20"/>
        </w:rPr>
        <w:t>TCR</w:t>
      </w:r>
      <w:r w:rsidRPr="00701439">
        <w:rPr>
          <w:rStyle w:val="Strong"/>
          <w:b w:val="0"/>
          <w:sz w:val="20"/>
          <w:szCs w:val="20"/>
        </w:rPr>
        <w:t xml:space="preserve"> reduced by 6.4% to 11.9% (previously 18.3%) following the </w:t>
      </w:r>
      <w:r w:rsidR="00BC3737" w:rsidRPr="00701439">
        <w:rPr>
          <w:rStyle w:val="Strong"/>
          <w:b w:val="0"/>
          <w:sz w:val="20"/>
          <w:szCs w:val="20"/>
        </w:rPr>
        <w:t>conclusion</w:t>
      </w:r>
      <w:r w:rsidRPr="00701439">
        <w:rPr>
          <w:rStyle w:val="Strong"/>
          <w:b w:val="0"/>
          <w:sz w:val="20"/>
          <w:szCs w:val="20"/>
        </w:rPr>
        <w:t xml:space="preserve"> of the Group’s C-SREP. The overall capital requirement reduced from 21.8% to 15.4%, which includes </w:t>
      </w:r>
      <w:r w:rsidR="004D2E00" w:rsidRPr="00701439">
        <w:rPr>
          <w:rStyle w:val="Strong"/>
          <w:b w:val="0"/>
          <w:sz w:val="20"/>
          <w:szCs w:val="20"/>
        </w:rPr>
        <w:t xml:space="preserve">the </w:t>
      </w:r>
      <w:r w:rsidRPr="00701439">
        <w:rPr>
          <w:rStyle w:val="Strong"/>
          <w:b w:val="0"/>
          <w:sz w:val="20"/>
          <w:szCs w:val="20"/>
        </w:rPr>
        <w:t xml:space="preserve">current regulatory combined buffer of 3.5% but excludes confidential </w:t>
      </w:r>
      <w:r w:rsidR="00B7599F" w:rsidRPr="00701439">
        <w:rPr>
          <w:rStyle w:val="Strong"/>
          <w:b w:val="0"/>
          <w:sz w:val="20"/>
          <w:szCs w:val="20"/>
        </w:rPr>
        <w:t xml:space="preserve">buffers set by the PRA </w:t>
      </w:r>
      <w:r w:rsidRPr="00701439">
        <w:rPr>
          <w:rStyle w:val="Strong"/>
          <w:b w:val="0"/>
          <w:sz w:val="20"/>
          <w:szCs w:val="20"/>
        </w:rPr>
        <w:t xml:space="preserve">and </w:t>
      </w:r>
      <w:r w:rsidR="00B7599F" w:rsidRPr="00701439">
        <w:rPr>
          <w:rStyle w:val="Strong"/>
          <w:b w:val="0"/>
          <w:sz w:val="20"/>
          <w:szCs w:val="20"/>
        </w:rPr>
        <w:t>internal</w:t>
      </w:r>
      <w:r w:rsidRPr="00701439">
        <w:rPr>
          <w:rStyle w:val="Strong"/>
          <w:b w:val="0"/>
          <w:sz w:val="20"/>
          <w:szCs w:val="20"/>
        </w:rPr>
        <w:t xml:space="preserve"> management buffers. </w:t>
      </w:r>
    </w:p>
    <w:bookmarkEnd w:id="1"/>
    <w:p w14:paraId="7C60BD11" w14:textId="77777777" w:rsidR="00363CFD" w:rsidRPr="00701439" w:rsidRDefault="00363CFD" w:rsidP="00E534C5">
      <w:pPr>
        <w:pStyle w:val="NoSpacing"/>
        <w:ind w:left="720"/>
        <w:jc w:val="both"/>
        <w:rPr>
          <w:rStyle w:val="Strong"/>
          <w:b w:val="0"/>
          <w:bCs w:val="0"/>
          <w:sz w:val="20"/>
          <w:szCs w:val="20"/>
        </w:rPr>
      </w:pPr>
    </w:p>
    <w:p w14:paraId="00C589F5" w14:textId="1A7EFA02" w:rsidR="00F01EC8" w:rsidRPr="00701439" w:rsidRDefault="00AA69FA" w:rsidP="00E534C5">
      <w:pPr>
        <w:jc w:val="both"/>
        <w:rPr>
          <w:rStyle w:val="Strong"/>
          <w:rFonts w:asciiTheme="minorHAnsi" w:hAnsiTheme="minorHAnsi"/>
          <w:color w:val="4747FF"/>
          <w:sz w:val="22"/>
          <w:szCs w:val="22"/>
        </w:rPr>
      </w:pPr>
      <w:bookmarkStart w:id="2" w:name="_Hlk64536464"/>
      <w:r w:rsidRPr="00701439">
        <w:rPr>
          <w:rStyle w:val="Strong"/>
          <w:rFonts w:asciiTheme="minorHAnsi" w:hAnsiTheme="minorHAnsi"/>
          <w:color w:val="4747FF"/>
          <w:sz w:val="22"/>
          <w:szCs w:val="22"/>
        </w:rPr>
        <w:t xml:space="preserve">Credit card </w:t>
      </w:r>
      <w:r w:rsidR="00071587" w:rsidRPr="00701439">
        <w:rPr>
          <w:rStyle w:val="Strong"/>
          <w:rFonts w:asciiTheme="minorHAnsi" w:hAnsiTheme="minorHAnsi"/>
          <w:color w:val="4747FF"/>
          <w:sz w:val="22"/>
          <w:szCs w:val="22"/>
        </w:rPr>
        <w:t xml:space="preserve">receivables grew by 11% year-on-year driven by new customer acquisition and </w:t>
      </w:r>
      <w:proofErr w:type="gramStart"/>
      <w:r w:rsidR="00887FDF" w:rsidRPr="00701439">
        <w:rPr>
          <w:rStyle w:val="Strong"/>
          <w:rFonts w:asciiTheme="minorHAnsi" w:hAnsiTheme="minorHAnsi"/>
          <w:color w:val="4747FF"/>
          <w:sz w:val="22"/>
          <w:szCs w:val="22"/>
        </w:rPr>
        <w:t>spend</w:t>
      </w:r>
      <w:proofErr w:type="gramEnd"/>
      <w:r w:rsidR="00887FDF" w:rsidRPr="00701439">
        <w:rPr>
          <w:rStyle w:val="Strong"/>
          <w:rFonts w:asciiTheme="minorHAnsi" w:hAnsiTheme="minorHAnsi"/>
          <w:color w:val="4747FF"/>
          <w:sz w:val="22"/>
          <w:szCs w:val="22"/>
        </w:rPr>
        <w:t xml:space="preserve"> </w:t>
      </w:r>
      <w:r w:rsidRPr="00701439">
        <w:rPr>
          <w:rStyle w:val="Strong"/>
          <w:rFonts w:asciiTheme="minorHAnsi" w:hAnsiTheme="minorHAnsi"/>
          <w:color w:val="4747FF"/>
          <w:sz w:val="22"/>
          <w:szCs w:val="22"/>
        </w:rPr>
        <w:t xml:space="preserve"> </w:t>
      </w:r>
    </w:p>
    <w:p w14:paraId="02C37D44" w14:textId="77777777" w:rsidR="0001424D" w:rsidRPr="00701439" w:rsidRDefault="0001424D" w:rsidP="00E534C5">
      <w:pPr>
        <w:jc w:val="both"/>
        <w:rPr>
          <w:rStyle w:val="Strong"/>
          <w:rFonts w:asciiTheme="minorHAnsi" w:hAnsiTheme="minorHAnsi"/>
          <w:sz w:val="20"/>
          <w:szCs w:val="20"/>
        </w:rPr>
      </w:pPr>
    </w:p>
    <w:bookmarkEnd w:id="2"/>
    <w:p w14:paraId="040F7E21" w14:textId="56A11322" w:rsidR="00261D92" w:rsidRPr="00701439" w:rsidRDefault="00261D92" w:rsidP="00E534C5">
      <w:pPr>
        <w:pStyle w:val="NoSpacing"/>
        <w:numPr>
          <w:ilvl w:val="0"/>
          <w:numId w:val="2"/>
        </w:numPr>
        <w:jc w:val="both"/>
        <w:rPr>
          <w:rStyle w:val="Strong"/>
          <w:b w:val="0"/>
          <w:bCs w:val="0"/>
          <w:sz w:val="20"/>
          <w:szCs w:val="20"/>
        </w:rPr>
      </w:pPr>
      <w:r w:rsidRPr="00701439">
        <w:rPr>
          <w:rStyle w:val="Strong"/>
          <w:b w:val="0"/>
          <w:bCs w:val="0"/>
          <w:sz w:val="20"/>
          <w:szCs w:val="20"/>
        </w:rPr>
        <w:t xml:space="preserve">The Group’s credit card business reported </w:t>
      </w:r>
      <w:r w:rsidRPr="00701439">
        <w:rPr>
          <w:rStyle w:val="Strong"/>
          <w:b w:val="0"/>
          <w:sz w:val="20"/>
          <w:szCs w:val="20"/>
        </w:rPr>
        <w:t>adjusted</w:t>
      </w:r>
      <w:r w:rsidRPr="00701439">
        <w:rPr>
          <w:rStyle w:val="Strong"/>
          <w:b w:val="0"/>
          <w:bCs w:val="0"/>
          <w:sz w:val="20"/>
          <w:szCs w:val="20"/>
        </w:rPr>
        <w:t xml:space="preserve"> PBT for the year of £1</w:t>
      </w:r>
      <w:r w:rsidR="00621AB3" w:rsidRPr="00701439">
        <w:rPr>
          <w:rStyle w:val="Strong"/>
          <w:b w:val="0"/>
          <w:bCs w:val="0"/>
          <w:sz w:val="20"/>
          <w:szCs w:val="20"/>
        </w:rPr>
        <w:t>78</w:t>
      </w:r>
      <w:r w:rsidRPr="00701439">
        <w:rPr>
          <w:rStyle w:val="Strong"/>
          <w:b w:val="0"/>
          <w:bCs w:val="0"/>
          <w:sz w:val="20"/>
          <w:szCs w:val="20"/>
        </w:rPr>
        <w:t>.</w:t>
      </w:r>
      <w:r w:rsidR="00621AB3" w:rsidRPr="00701439">
        <w:rPr>
          <w:rStyle w:val="Strong"/>
          <w:b w:val="0"/>
          <w:bCs w:val="0"/>
          <w:sz w:val="20"/>
          <w:szCs w:val="20"/>
        </w:rPr>
        <w:t>5</w:t>
      </w:r>
      <w:r w:rsidRPr="00701439">
        <w:rPr>
          <w:rStyle w:val="Strong"/>
          <w:b w:val="0"/>
          <w:bCs w:val="0"/>
          <w:sz w:val="20"/>
          <w:szCs w:val="20"/>
        </w:rPr>
        <w:t>m (FY’2</w:t>
      </w:r>
      <w:r w:rsidR="00E10D86" w:rsidRPr="00701439">
        <w:rPr>
          <w:rStyle w:val="Strong"/>
          <w:b w:val="0"/>
          <w:bCs w:val="0"/>
          <w:sz w:val="20"/>
          <w:szCs w:val="20"/>
        </w:rPr>
        <w:t>1</w:t>
      </w:r>
      <w:r w:rsidRPr="00701439">
        <w:rPr>
          <w:rStyle w:val="Strong"/>
          <w:b w:val="0"/>
          <w:bCs w:val="0"/>
          <w:sz w:val="20"/>
          <w:szCs w:val="20"/>
        </w:rPr>
        <w:t xml:space="preserve">: </w:t>
      </w:r>
      <w:r w:rsidRPr="00701439">
        <w:rPr>
          <w:rStyle w:val="Strong"/>
          <w:b w:val="0"/>
          <w:sz w:val="20"/>
          <w:szCs w:val="20"/>
        </w:rPr>
        <w:t>£</w:t>
      </w:r>
      <w:r w:rsidR="00E10D86" w:rsidRPr="00701439">
        <w:rPr>
          <w:rStyle w:val="Strong"/>
          <w:b w:val="0"/>
          <w:sz w:val="20"/>
          <w:szCs w:val="20"/>
        </w:rPr>
        <w:t>173.9</w:t>
      </w:r>
      <w:r w:rsidRPr="00701439">
        <w:rPr>
          <w:rStyle w:val="Strong"/>
          <w:b w:val="0"/>
          <w:sz w:val="20"/>
          <w:szCs w:val="20"/>
        </w:rPr>
        <w:t>m</w:t>
      </w:r>
      <w:r w:rsidRPr="00701439">
        <w:rPr>
          <w:rStyle w:val="Strong"/>
          <w:b w:val="0"/>
          <w:bCs w:val="0"/>
          <w:sz w:val="20"/>
          <w:szCs w:val="20"/>
        </w:rPr>
        <w:t xml:space="preserve">) which was </w:t>
      </w:r>
      <w:r w:rsidR="005A26AF" w:rsidRPr="00701439">
        <w:rPr>
          <w:rStyle w:val="Strong"/>
          <w:b w:val="0"/>
          <w:bCs w:val="0"/>
          <w:sz w:val="20"/>
          <w:szCs w:val="20"/>
        </w:rPr>
        <w:t>a result of</w:t>
      </w:r>
      <w:r w:rsidR="004523E7" w:rsidRPr="00701439">
        <w:rPr>
          <w:rStyle w:val="Strong"/>
          <w:b w:val="0"/>
          <w:bCs w:val="0"/>
          <w:sz w:val="20"/>
          <w:szCs w:val="20"/>
        </w:rPr>
        <w:t xml:space="preserve"> good</w:t>
      </w:r>
      <w:r w:rsidR="005A26AF" w:rsidRPr="00701439">
        <w:rPr>
          <w:rStyle w:val="Strong"/>
          <w:b w:val="0"/>
          <w:bCs w:val="0"/>
          <w:sz w:val="20"/>
          <w:szCs w:val="20"/>
        </w:rPr>
        <w:t xml:space="preserve"> loan book growth</w:t>
      </w:r>
      <w:r w:rsidR="00A35BAD" w:rsidRPr="00701439">
        <w:rPr>
          <w:rStyle w:val="Strong"/>
          <w:b w:val="0"/>
          <w:bCs w:val="0"/>
          <w:sz w:val="20"/>
          <w:szCs w:val="20"/>
        </w:rPr>
        <w:t>, benign impairment trends and cost reductions year-on-year</w:t>
      </w:r>
      <w:r w:rsidR="00233828" w:rsidRPr="00701439">
        <w:rPr>
          <w:rStyle w:val="Strong"/>
          <w:b w:val="0"/>
          <w:bCs w:val="0"/>
          <w:sz w:val="20"/>
          <w:szCs w:val="20"/>
        </w:rPr>
        <w:t>.</w:t>
      </w:r>
      <w:r w:rsidR="00A35BAD" w:rsidRPr="00701439">
        <w:rPr>
          <w:rStyle w:val="Strong"/>
          <w:b w:val="0"/>
          <w:bCs w:val="0"/>
          <w:sz w:val="20"/>
          <w:szCs w:val="20"/>
        </w:rPr>
        <w:t xml:space="preserve"> </w:t>
      </w:r>
    </w:p>
    <w:p w14:paraId="616676A0" w14:textId="3877B750" w:rsidR="00261D92" w:rsidRPr="00701439" w:rsidRDefault="00261D92" w:rsidP="00E534C5">
      <w:pPr>
        <w:pStyle w:val="NoSpacing"/>
        <w:numPr>
          <w:ilvl w:val="0"/>
          <w:numId w:val="2"/>
        </w:numPr>
        <w:jc w:val="both"/>
        <w:rPr>
          <w:rStyle w:val="Strong"/>
          <w:b w:val="0"/>
          <w:sz w:val="20"/>
          <w:szCs w:val="20"/>
        </w:rPr>
      </w:pPr>
      <w:r w:rsidRPr="00701439">
        <w:rPr>
          <w:rStyle w:val="Strong"/>
          <w:b w:val="0"/>
          <w:sz w:val="20"/>
          <w:szCs w:val="20"/>
        </w:rPr>
        <w:t xml:space="preserve">New customer bookings for the period were </w:t>
      </w:r>
      <w:r w:rsidR="00603176" w:rsidRPr="00701439">
        <w:rPr>
          <w:rStyle w:val="Strong"/>
          <w:b w:val="0"/>
          <w:sz w:val="20"/>
          <w:szCs w:val="20"/>
        </w:rPr>
        <w:t>22</w:t>
      </w:r>
      <w:r w:rsidR="00637922" w:rsidRPr="00701439">
        <w:rPr>
          <w:rStyle w:val="Strong"/>
          <w:b w:val="0"/>
          <w:sz w:val="20"/>
          <w:szCs w:val="20"/>
        </w:rPr>
        <w:t>5</w:t>
      </w:r>
      <w:r w:rsidRPr="00701439">
        <w:rPr>
          <w:rStyle w:val="Strong"/>
          <w:b w:val="0"/>
          <w:sz w:val="20"/>
          <w:szCs w:val="20"/>
        </w:rPr>
        <w:t>k (FY’2</w:t>
      </w:r>
      <w:r w:rsidR="00063287" w:rsidRPr="00701439">
        <w:rPr>
          <w:rStyle w:val="Strong"/>
          <w:b w:val="0"/>
          <w:sz w:val="20"/>
          <w:szCs w:val="20"/>
        </w:rPr>
        <w:t>1</w:t>
      </w:r>
      <w:r w:rsidRPr="00701439">
        <w:rPr>
          <w:rStyle w:val="Strong"/>
          <w:b w:val="0"/>
          <w:sz w:val="20"/>
          <w:szCs w:val="20"/>
        </w:rPr>
        <w:t xml:space="preserve">: </w:t>
      </w:r>
      <w:r w:rsidR="00063287" w:rsidRPr="00701439">
        <w:rPr>
          <w:rStyle w:val="Strong"/>
          <w:b w:val="0"/>
          <w:sz w:val="20"/>
          <w:szCs w:val="20"/>
        </w:rPr>
        <w:t>199</w:t>
      </w:r>
      <w:r w:rsidRPr="00701439">
        <w:rPr>
          <w:rStyle w:val="Strong"/>
          <w:b w:val="0"/>
          <w:sz w:val="20"/>
          <w:szCs w:val="20"/>
        </w:rPr>
        <w:t>k)</w:t>
      </w:r>
      <w:r w:rsidR="00A06225" w:rsidRPr="00701439">
        <w:rPr>
          <w:rStyle w:val="Strong"/>
          <w:b w:val="0"/>
          <w:sz w:val="20"/>
          <w:szCs w:val="20"/>
        </w:rPr>
        <w:t xml:space="preserve"> reflecting an increase</w:t>
      </w:r>
      <w:r w:rsidR="00192D7D" w:rsidRPr="00701439">
        <w:rPr>
          <w:rStyle w:val="Strong"/>
          <w:b w:val="0"/>
          <w:sz w:val="20"/>
          <w:szCs w:val="20"/>
        </w:rPr>
        <w:t xml:space="preserve">d </w:t>
      </w:r>
      <w:r w:rsidR="00A06225" w:rsidRPr="00701439">
        <w:rPr>
          <w:rStyle w:val="Strong"/>
          <w:b w:val="0"/>
          <w:sz w:val="20"/>
          <w:szCs w:val="20"/>
        </w:rPr>
        <w:t xml:space="preserve">emphasis on </w:t>
      </w:r>
      <w:r w:rsidR="00DC5480" w:rsidRPr="00701439">
        <w:rPr>
          <w:rStyle w:val="Strong"/>
          <w:b w:val="0"/>
          <w:sz w:val="20"/>
          <w:szCs w:val="20"/>
        </w:rPr>
        <w:t>customer acquisition initiatives</w:t>
      </w:r>
      <w:r w:rsidR="00192D7D" w:rsidRPr="00701439">
        <w:rPr>
          <w:rStyle w:val="Strong"/>
          <w:b w:val="0"/>
          <w:sz w:val="20"/>
          <w:szCs w:val="20"/>
        </w:rPr>
        <w:t xml:space="preserve"> and above the line marketing efforts</w:t>
      </w:r>
      <w:r w:rsidRPr="00701439">
        <w:rPr>
          <w:rStyle w:val="Strong"/>
          <w:b w:val="0"/>
          <w:sz w:val="20"/>
          <w:szCs w:val="20"/>
        </w:rPr>
        <w:t>. The total number of customers at the end of December stood at 1.54m (FY’2</w:t>
      </w:r>
      <w:r w:rsidR="00063287" w:rsidRPr="00701439">
        <w:rPr>
          <w:rStyle w:val="Strong"/>
          <w:b w:val="0"/>
          <w:sz w:val="20"/>
          <w:szCs w:val="20"/>
        </w:rPr>
        <w:t>1</w:t>
      </w:r>
      <w:r w:rsidRPr="00701439">
        <w:rPr>
          <w:rStyle w:val="Strong"/>
          <w:b w:val="0"/>
          <w:sz w:val="20"/>
          <w:szCs w:val="20"/>
        </w:rPr>
        <w:t>: 1.</w:t>
      </w:r>
      <w:r w:rsidR="00063287" w:rsidRPr="00701439">
        <w:rPr>
          <w:rStyle w:val="Strong"/>
          <w:b w:val="0"/>
          <w:sz w:val="20"/>
          <w:szCs w:val="20"/>
        </w:rPr>
        <w:t>54</w:t>
      </w:r>
      <w:r w:rsidRPr="00701439">
        <w:rPr>
          <w:rStyle w:val="Strong"/>
          <w:b w:val="0"/>
          <w:sz w:val="20"/>
          <w:szCs w:val="20"/>
        </w:rPr>
        <w:t>m)</w:t>
      </w:r>
      <w:r w:rsidR="00233828" w:rsidRPr="00701439">
        <w:rPr>
          <w:rStyle w:val="Strong"/>
          <w:b w:val="0"/>
          <w:sz w:val="20"/>
          <w:szCs w:val="20"/>
        </w:rPr>
        <w:t>.</w:t>
      </w:r>
    </w:p>
    <w:p w14:paraId="07D6925E" w14:textId="697333CC" w:rsidR="00FB3F43" w:rsidRPr="00701439" w:rsidRDefault="00261D92" w:rsidP="00E534C5">
      <w:pPr>
        <w:pStyle w:val="NoSpacing"/>
        <w:numPr>
          <w:ilvl w:val="0"/>
          <w:numId w:val="2"/>
        </w:numPr>
        <w:jc w:val="both"/>
        <w:rPr>
          <w:rStyle w:val="Strong"/>
          <w:b w:val="0"/>
          <w:sz w:val="20"/>
          <w:szCs w:val="20"/>
        </w:rPr>
      </w:pPr>
      <w:r w:rsidRPr="00701439">
        <w:rPr>
          <w:rStyle w:val="Strong"/>
          <w:b w:val="0"/>
          <w:sz w:val="20"/>
          <w:szCs w:val="20"/>
        </w:rPr>
        <w:t xml:space="preserve">At the end of December, spend on a per </w:t>
      </w:r>
      <w:r w:rsidR="00D414B0" w:rsidRPr="00701439">
        <w:rPr>
          <w:rStyle w:val="Strong"/>
          <w:b w:val="0"/>
          <w:sz w:val="20"/>
          <w:szCs w:val="20"/>
        </w:rPr>
        <w:t>average active customer</w:t>
      </w:r>
      <w:r w:rsidRPr="00701439">
        <w:rPr>
          <w:rStyle w:val="Strong"/>
          <w:b w:val="0"/>
          <w:sz w:val="20"/>
          <w:szCs w:val="20"/>
        </w:rPr>
        <w:t xml:space="preserve"> basis was</w:t>
      </w:r>
      <w:r w:rsidR="00D414B0" w:rsidRPr="00701439">
        <w:rPr>
          <w:rStyle w:val="Strong"/>
          <w:b w:val="0"/>
          <w:sz w:val="20"/>
          <w:szCs w:val="20"/>
        </w:rPr>
        <w:t xml:space="preserve"> approximately </w:t>
      </w:r>
      <w:r w:rsidR="00683395" w:rsidRPr="00701439">
        <w:rPr>
          <w:rStyle w:val="Strong"/>
          <w:b w:val="0"/>
          <w:sz w:val="20"/>
          <w:szCs w:val="20"/>
        </w:rPr>
        <w:t>6</w:t>
      </w:r>
      <w:r w:rsidR="00D414B0" w:rsidRPr="00701439">
        <w:rPr>
          <w:rStyle w:val="Strong"/>
          <w:b w:val="0"/>
          <w:sz w:val="20"/>
          <w:szCs w:val="20"/>
        </w:rPr>
        <w:t>% higher year-on-year</w:t>
      </w:r>
      <w:r w:rsidRPr="00701439">
        <w:rPr>
          <w:rStyle w:val="Strong"/>
          <w:b w:val="0"/>
          <w:sz w:val="20"/>
          <w:szCs w:val="20"/>
        </w:rPr>
        <w:t xml:space="preserve">. </w:t>
      </w:r>
      <w:r w:rsidR="005B10DC" w:rsidRPr="00701439">
        <w:rPr>
          <w:rStyle w:val="Strong"/>
          <w:b w:val="0"/>
          <w:sz w:val="20"/>
          <w:szCs w:val="20"/>
        </w:rPr>
        <w:t>W</w:t>
      </w:r>
      <w:r w:rsidRPr="00701439">
        <w:rPr>
          <w:rStyle w:val="Strong"/>
          <w:b w:val="0"/>
          <w:sz w:val="20"/>
          <w:szCs w:val="20"/>
        </w:rPr>
        <w:t xml:space="preserve">hen combined with </w:t>
      </w:r>
      <w:r w:rsidR="005B10DC" w:rsidRPr="00701439">
        <w:rPr>
          <w:rStyle w:val="Strong"/>
          <w:b w:val="0"/>
          <w:sz w:val="20"/>
          <w:szCs w:val="20"/>
        </w:rPr>
        <w:t>higher</w:t>
      </w:r>
      <w:r w:rsidRPr="00701439">
        <w:rPr>
          <w:rStyle w:val="Strong"/>
          <w:b w:val="0"/>
          <w:sz w:val="20"/>
          <w:szCs w:val="20"/>
        </w:rPr>
        <w:t xml:space="preserve"> customer bookings</w:t>
      </w:r>
      <w:r w:rsidR="002C1E1D" w:rsidRPr="00701439">
        <w:rPr>
          <w:rStyle w:val="Strong"/>
          <w:b w:val="0"/>
          <w:sz w:val="20"/>
          <w:szCs w:val="20"/>
        </w:rPr>
        <w:t xml:space="preserve">, </w:t>
      </w:r>
      <w:r w:rsidR="00D414B0" w:rsidRPr="00701439">
        <w:rPr>
          <w:rStyle w:val="Strong"/>
          <w:b w:val="0"/>
          <w:sz w:val="20"/>
          <w:szCs w:val="20"/>
        </w:rPr>
        <w:t>and payments per active customer remaining stable</w:t>
      </w:r>
      <w:r w:rsidRPr="00701439">
        <w:rPr>
          <w:rStyle w:val="Strong"/>
          <w:b w:val="0"/>
          <w:sz w:val="20"/>
          <w:szCs w:val="20"/>
        </w:rPr>
        <w:t>,</w:t>
      </w:r>
      <w:r w:rsidR="002C1E1D" w:rsidRPr="00701439">
        <w:rPr>
          <w:rStyle w:val="Strong"/>
          <w:b w:val="0"/>
          <w:sz w:val="20"/>
          <w:szCs w:val="20"/>
        </w:rPr>
        <w:t xml:space="preserve"> </w:t>
      </w:r>
      <w:r w:rsidR="00731262" w:rsidRPr="00701439">
        <w:rPr>
          <w:rStyle w:val="Strong"/>
          <w:b w:val="0"/>
          <w:sz w:val="20"/>
          <w:szCs w:val="20"/>
        </w:rPr>
        <w:t xml:space="preserve">this </w:t>
      </w:r>
      <w:r w:rsidR="002C1E1D" w:rsidRPr="00701439">
        <w:rPr>
          <w:rStyle w:val="Strong"/>
          <w:b w:val="0"/>
          <w:sz w:val="20"/>
          <w:szCs w:val="20"/>
        </w:rPr>
        <w:t>resulted in</w:t>
      </w:r>
      <w:r w:rsidRPr="00701439">
        <w:rPr>
          <w:rStyle w:val="Strong"/>
          <w:b w:val="0"/>
          <w:sz w:val="20"/>
          <w:szCs w:val="20"/>
        </w:rPr>
        <w:t xml:space="preserve"> receivables </w:t>
      </w:r>
      <w:r w:rsidR="002C1E1D" w:rsidRPr="00701439">
        <w:rPr>
          <w:rStyle w:val="Strong"/>
          <w:b w:val="0"/>
          <w:sz w:val="20"/>
          <w:szCs w:val="20"/>
        </w:rPr>
        <w:t xml:space="preserve">growth </w:t>
      </w:r>
      <w:r w:rsidR="007F0C45" w:rsidRPr="00701439">
        <w:rPr>
          <w:rStyle w:val="Strong"/>
          <w:b w:val="0"/>
          <w:sz w:val="20"/>
          <w:szCs w:val="20"/>
        </w:rPr>
        <w:t xml:space="preserve">of </w:t>
      </w:r>
      <w:r w:rsidR="00F570B4" w:rsidRPr="00701439">
        <w:rPr>
          <w:rStyle w:val="Strong"/>
          <w:b w:val="0"/>
          <w:sz w:val="20"/>
          <w:szCs w:val="20"/>
        </w:rPr>
        <w:t xml:space="preserve">approximately </w:t>
      </w:r>
      <w:r w:rsidR="00AB20E6" w:rsidRPr="00701439">
        <w:rPr>
          <w:rStyle w:val="Strong"/>
          <w:b w:val="0"/>
          <w:sz w:val="20"/>
          <w:szCs w:val="20"/>
        </w:rPr>
        <w:t>11</w:t>
      </w:r>
      <w:r w:rsidR="007F0C45" w:rsidRPr="00701439">
        <w:rPr>
          <w:rStyle w:val="Strong"/>
          <w:b w:val="0"/>
          <w:sz w:val="20"/>
          <w:szCs w:val="20"/>
        </w:rPr>
        <w:t xml:space="preserve">% to </w:t>
      </w:r>
      <w:r w:rsidRPr="00701439">
        <w:rPr>
          <w:rStyle w:val="Strong"/>
          <w:b w:val="0"/>
          <w:sz w:val="20"/>
          <w:szCs w:val="20"/>
        </w:rPr>
        <w:t>£1,</w:t>
      </w:r>
      <w:r w:rsidR="005440B9" w:rsidRPr="00701439">
        <w:rPr>
          <w:rStyle w:val="Strong"/>
          <w:b w:val="0"/>
          <w:sz w:val="20"/>
          <w:szCs w:val="20"/>
        </w:rPr>
        <w:t>182</w:t>
      </w:r>
      <w:r w:rsidRPr="00701439">
        <w:rPr>
          <w:rStyle w:val="Strong"/>
          <w:b w:val="0"/>
          <w:sz w:val="20"/>
          <w:szCs w:val="20"/>
        </w:rPr>
        <w:t>m (FY’2</w:t>
      </w:r>
      <w:r w:rsidR="00063287" w:rsidRPr="00701439">
        <w:rPr>
          <w:rStyle w:val="Strong"/>
          <w:b w:val="0"/>
          <w:sz w:val="20"/>
          <w:szCs w:val="20"/>
        </w:rPr>
        <w:t>1</w:t>
      </w:r>
      <w:r w:rsidRPr="00701439">
        <w:rPr>
          <w:rStyle w:val="Strong"/>
          <w:b w:val="0"/>
          <w:sz w:val="20"/>
          <w:szCs w:val="20"/>
        </w:rPr>
        <w:t>: £1,0</w:t>
      </w:r>
      <w:r w:rsidR="00063287" w:rsidRPr="00701439">
        <w:rPr>
          <w:rStyle w:val="Strong"/>
          <w:b w:val="0"/>
          <w:sz w:val="20"/>
          <w:szCs w:val="20"/>
        </w:rPr>
        <w:t>63</w:t>
      </w:r>
      <w:r w:rsidRPr="00701439">
        <w:rPr>
          <w:rStyle w:val="Strong"/>
          <w:b w:val="0"/>
          <w:sz w:val="20"/>
          <w:szCs w:val="20"/>
        </w:rPr>
        <w:t>m).</w:t>
      </w:r>
    </w:p>
    <w:p w14:paraId="2A5A340C" w14:textId="7D989802" w:rsidR="00621DA7" w:rsidRPr="00701439" w:rsidRDefault="00261D92" w:rsidP="00EA59F6">
      <w:pPr>
        <w:pStyle w:val="NoSpacing"/>
        <w:numPr>
          <w:ilvl w:val="0"/>
          <w:numId w:val="2"/>
        </w:numPr>
        <w:jc w:val="both"/>
        <w:rPr>
          <w:rStyle w:val="Strong"/>
          <w:b w:val="0"/>
          <w:sz w:val="20"/>
          <w:szCs w:val="20"/>
        </w:rPr>
      </w:pPr>
      <w:r w:rsidRPr="00701439">
        <w:rPr>
          <w:rStyle w:val="Strong"/>
          <w:b w:val="0"/>
          <w:sz w:val="20"/>
          <w:szCs w:val="20"/>
        </w:rPr>
        <w:t xml:space="preserve">The annualised </w:t>
      </w:r>
      <w:r w:rsidR="00040632" w:rsidRPr="00701439">
        <w:rPr>
          <w:rStyle w:val="Strong"/>
          <w:b w:val="0"/>
          <w:sz w:val="20"/>
          <w:szCs w:val="20"/>
        </w:rPr>
        <w:t>cost of risk</w:t>
      </w:r>
      <w:r w:rsidRPr="00701439">
        <w:rPr>
          <w:rStyle w:val="Strong"/>
          <w:b w:val="0"/>
          <w:sz w:val="20"/>
          <w:szCs w:val="20"/>
        </w:rPr>
        <w:t xml:space="preserve"> at the end of December was </w:t>
      </w:r>
      <w:r w:rsidR="004C58F4" w:rsidRPr="00701439">
        <w:rPr>
          <w:rStyle w:val="Strong"/>
          <w:b w:val="0"/>
          <w:sz w:val="20"/>
          <w:szCs w:val="20"/>
        </w:rPr>
        <w:t>1</w:t>
      </w:r>
      <w:r w:rsidRPr="00701439">
        <w:rPr>
          <w:rStyle w:val="Strong"/>
          <w:b w:val="0"/>
          <w:sz w:val="20"/>
          <w:szCs w:val="20"/>
        </w:rPr>
        <w:t>.3% (FY’2</w:t>
      </w:r>
      <w:r w:rsidR="00063287" w:rsidRPr="00701439">
        <w:rPr>
          <w:rStyle w:val="Strong"/>
          <w:b w:val="0"/>
          <w:sz w:val="20"/>
          <w:szCs w:val="20"/>
        </w:rPr>
        <w:t>1</w:t>
      </w:r>
      <w:r w:rsidRPr="00701439">
        <w:rPr>
          <w:rStyle w:val="Strong"/>
          <w:b w:val="0"/>
          <w:sz w:val="20"/>
          <w:szCs w:val="20"/>
        </w:rPr>
        <w:t xml:space="preserve">: </w:t>
      </w:r>
      <w:r w:rsidR="00EE21B5" w:rsidRPr="00701439">
        <w:rPr>
          <w:rStyle w:val="Strong"/>
          <w:b w:val="0"/>
          <w:sz w:val="20"/>
          <w:szCs w:val="20"/>
        </w:rPr>
        <w:t>0.3</w:t>
      </w:r>
      <w:r w:rsidRPr="00701439">
        <w:rPr>
          <w:rStyle w:val="Strong"/>
          <w:b w:val="0"/>
          <w:sz w:val="20"/>
          <w:szCs w:val="20"/>
        </w:rPr>
        <w:t>%)</w:t>
      </w:r>
      <w:r w:rsidR="00047770" w:rsidRPr="00701439">
        <w:rPr>
          <w:rStyle w:val="Strong"/>
          <w:b w:val="0"/>
          <w:sz w:val="20"/>
          <w:szCs w:val="20"/>
        </w:rPr>
        <w:t xml:space="preserve"> reflecting</w:t>
      </w:r>
      <w:r w:rsidRPr="00701439">
        <w:rPr>
          <w:rStyle w:val="Strong"/>
          <w:b w:val="0"/>
          <w:sz w:val="20"/>
          <w:szCs w:val="20"/>
        </w:rPr>
        <w:t xml:space="preserve"> </w:t>
      </w:r>
      <w:r w:rsidR="00047770" w:rsidRPr="00701439">
        <w:rPr>
          <w:rStyle w:val="Strong"/>
          <w:b w:val="0"/>
          <w:sz w:val="20"/>
          <w:szCs w:val="20"/>
        </w:rPr>
        <w:t>lower average gross receivables year-on-year driven by growth in receivables being weighted towards Q4’22</w:t>
      </w:r>
      <w:r w:rsidR="00D63192" w:rsidRPr="00701439">
        <w:rPr>
          <w:rStyle w:val="Strong"/>
          <w:b w:val="0"/>
          <w:sz w:val="20"/>
          <w:szCs w:val="20"/>
        </w:rPr>
        <w:t>.</w:t>
      </w:r>
      <w:r w:rsidRPr="00701439">
        <w:rPr>
          <w:rStyle w:val="Strong"/>
          <w:b w:val="0"/>
          <w:sz w:val="20"/>
          <w:szCs w:val="20"/>
        </w:rPr>
        <w:t xml:space="preserve"> As a result, the risk</w:t>
      </w:r>
      <w:r w:rsidR="00600E19" w:rsidRPr="00701439">
        <w:rPr>
          <w:rStyle w:val="Strong"/>
          <w:b w:val="0"/>
          <w:sz w:val="20"/>
          <w:szCs w:val="20"/>
        </w:rPr>
        <w:t xml:space="preserve"> </w:t>
      </w:r>
      <w:r w:rsidRPr="00701439">
        <w:rPr>
          <w:rStyle w:val="Strong"/>
          <w:b w:val="0"/>
          <w:sz w:val="20"/>
          <w:szCs w:val="20"/>
        </w:rPr>
        <w:t xml:space="preserve">adjusted margin </w:t>
      </w:r>
      <w:r w:rsidR="00576B4D" w:rsidRPr="00701439">
        <w:rPr>
          <w:rStyle w:val="Strong"/>
          <w:b w:val="0"/>
          <w:sz w:val="20"/>
          <w:szCs w:val="20"/>
        </w:rPr>
        <w:t>was broadly flat</w:t>
      </w:r>
      <w:r w:rsidR="00855AC9" w:rsidRPr="00701439">
        <w:rPr>
          <w:rStyle w:val="Strong"/>
          <w:b w:val="0"/>
          <w:sz w:val="20"/>
          <w:szCs w:val="20"/>
        </w:rPr>
        <w:t xml:space="preserve"> at</w:t>
      </w:r>
      <w:r w:rsidRPr="00701439">
        <w:rPr>
          <w:rStyle w:val="Strong"/>
          <w:b w:val="0"/>
          <w:sz w:val="20"/>
          <w:szCs w:val="20"/>
        </w:rPr>
        <w:t xml:space="preserve"> </w:t>
      </w:r>
      <w:r w:rsidR="00630456" w:rsidRPr="00701439">
        <w:rPr>
          <w:rStyle w:val="Strong"/>
          <w:b w:val="0"/>
          <w:sz w:val="20"/>
          <w:szCs w:val="20"/>
        </w:rPr>
        <w:t>25.8</w:t>
      </w:r>
      <w:r w:rsidRPr="00701439">
        <w:rPr>
          <w:rStyle w:val="Strong"/>
          <w:b w:val="0"/>
          <w:sz w:val="20"/>
          <w:szCs w:val="20"/>
        </w:rPr>
        <w:t>% (FY’2</w:t>
      </w:r>
      <w:r w:rsidR="00063287" w:rsidRPr="00701439">
        <w:rPr>
          <w:rStyle w:val="Strong"/>
          <w:b w:val="0"/>
          <w:sz w:val="20"/>
          <w:szCs w:val="20"/>
        </w:rPr>
        <w:t>1</w:t>
      </w:r>
      <w:r w:rsidRPr="00701439">
        <w:rPr>
          <w:rStyle w:val="Strong"/>
          <w:b w:val="0"/>
          <w:sz w:val="20"/>
          <w:szCs w:val="20"/>
        </w:rPr>
        <w:t xml:space="preserve">: </w:t>
      </w:r>
      <w:r w:rsidR="006C3D24" w:rsidRPr="00701439">
        <w:rPr>
          <w:rStyle w:val="Strong"/>
          <w:b w:val="0"/>
          <w:sz w:val="20"/>
          <w:szCs w:val="20"/>
        </w:rPr>
        <w:t>2</w:t>
      </w:r>
      <w:r w:rsidR="00113FA9" w:rsidRPr="00701439">
        <w:rPr>
          <w:rStyle w:val="Strong"/>
          <w:b w:val="0"/>
          <w:sz w:val="20"/>
          <w:szCs w:val="20"/>
        </w:rPr>
        <w:t>6</w:t>
      </w:r>
      <w:r w:rsidRPr="00701439">
        <w:rPr>
          <w:rStyle w:val="Strong"/>
          <w:b w:val="0"/>
          <w:sz w:val="20"/>
          <w:szCs w:val="20"/>
        </w:rPr>
        <w:t>.0%).</w:t>
      </w:r>
      <w:r w:rsidR="00271ACF" w:rsidRPr="00701439">
        <w:rPr>
          <w:rStyle w:val="Strong"/>
          <w:b w:val="0"/>
          <w:sz w:val="20"/>
          <w:szCs w:val="20"/>
        </w:rPr>
        <w:t xml:space="preserve"> </w:t>
      </w:r>
    </w:p>
    <w:p w14:paraId="3488260D" w14:textId="620C87C6" w:rsidR="00EA59F6" w:rsidRPr="00701439" w:rsidRDefault="00AC662E" w:rsidP="00B5510E">
      <w:pPr>
        <w:pStyle w:val="NoSpacing"/>
        <w:numPr>
          <w:ilvl w:val="0"/>
          <w:numId w:val="2"/>
        </w:numPr>
        <w:jc w:val="both"/>
        <w:rPr>
          <w:rStyle w:val="Strong"/>
          <w:b w:val="0"/>
          <w:sz w:val="20"/>
          <w:szCs w:val="20"/>
        </w:rPr>
      </w:pPr>
      <w:r w:rsidRPr="00701439">
        <w:rPr>
          <w:rStyle w:val="Strong"/>
          <w:b w:val="0"/>
          <w:sz w:val="20"/>
          <w:szCs w:val="20"/>
        </w:rPr>
        <w:lastRenderedPageBreak/>
        <w:t xml:space="preserve">During </w:t>
      </w:r>
      <w:r w:rsidR="00ED6718" w:rsidRPr="00701439">
        <w:rPr>
          <w:rStyle w:val="Strong"/>
          <w:b w:val="0"/>
          <w:sz w:val="20"/>
          <w:szCs w:val="20"/>
        </w:rPr>
        <w:t>2023, t</w:t>
      </w:r>
      <w:r w:rsidR="00EA59F6" w:rsidRPr="00701439">
        <w:rPr>
          <w:rStyle w:val="Strong"/>
          <w:b w:val="0"/>
          <w:sz w:val="20"/>
          <w:szCs w:val="20"/>
        </w:rPr>
        <w:t>he credit card business will continue to focus on its strategic</w:t>
      </w:r>
      <w:r w:rsidR="00ED6718" w:rsidRPr="00701439">
        <w:rPr>
          <w:rStyle w:val="Strong"/>
          <w:b w:val="0"/>
          <w:sz w:val="20"/>
          <w:szCs w:val="20"/>
        </w:rPr>
        <w:t xml:space="preserve"> </w:t>
      </w:r>
      <w:r w:rsidR="004F17C5" w:rsidRPr="00701439">
        <w:rPr>
          <w:rStyle w:val="Strong"/>
          <w:b w:val="0"/>
          <w:sz w:val="20"/>
          <w:szCs w:val="20"/>
        </w:rPr>
        <w:t>ambitions</w:t>
      </w:r>
      <w:r w:rsidR="00ED6718" w:rsidRPr="00701439">
        <w:rPr>
          <w:rStyle w:val="Strong"/>
          <w:b w:val="0"/>
          <w:sz w:val="20"/>
          <w:szCs w:val="20"/>
        </w:rPr>
        <w:t xml:space="preserve"> which </w:t>
      </w:r>
      <w:r w:rsidR="00D51E6C" w:rsidRPr="00701439">
        <w:rPr>
          <w:rStyle w:val="Strong"/>
          <w:b w:val="0"/>
          <w:sz w:val="20"/>
          <w:szCs w:val="20"/>
        </w:rPr>
        <w:t>include</w:t>
      </w:r>
      <w:r w:rsidR="004F17C5" w:rsidRPr="00701439">
        <w:rPr>
          <w:rStyle w:val="Strong"/>
          <w:b w:val="0"/>
          <w:sz w:val="20"/>
          <w:szCs w:val="20"/>
        </w:rPr>
        <w:t xml:space="preserve"> growing its customer </w:t>
      </w:r>
      <w:r w:rsidR="00D723D6" w:rsidRPr="00701439">
        <w:rPr>
          <w:rStyle w:val="Strong"/>
          <w:b w:val="0"/>
          <w:sz w:val="20"/>
          <w:szCs w:val="20"/>
        </w:rPr>
        <w:t xml:space="preserve">numbers and balances </w:t>
      </w:r>
      <w:r w:rsidR="004F17C5" w:rsidRPr="00701439">
        <w:rPr>
          <w:rStyle w:val="Strong"/>
          <w:b w:val="0"/>
          <w:sz w:val="20"/>
          <w:szCs w:val="20"/>
        </w:rPr>
        <w:t>in a sustainable way</w:t>
      </w:r>
      <w:r w:rsidR="00D723D6" w:rsidRPr="00701439">
        <w:rPr>
          <w:rStyle w:val="Strong"/>
          <w:b w:val="0"/>
          <w:sz w:val="20"/>
          <w:szCs w:val="20"/>
        </w:rPr>
        <w:t xml:space="preserve"> and </w:t>
      </w:r>
      <w:r w:rsidR="004F17C5" w:rsidRPr="00701439">
        <w:rPr>
          <w:rStyle w:val="Strong"/>
          <w:b w:val="0"/>
          <w:sz w:val="20"/>
          <w:szCs w:val="20"/>
        </w:rPr>
        <w:t>provid</w:t>
      </w:r>
      <w:r w:rsidR="00D723D6" w:rsidRPr="00701439">
        <w:rPr>
          <w:rStyle w:val="Strong"/>
          <w:b w:val="0"/>
          <w:sz w:val="20"/>
          <w:szCs w:val="20"/>
        </w:rPr>
        <w:t>ing</w:t>
      </w:r>
      <w:r w:rsidR="004F17C5" w:rsidRPr="00701439">
        <w:rPr>
          <w:rStyle w:val="Strong"/>
          <w:b w:val="0"/>
          <w:sz w:val="20"/>
          <w:szCs w:val="20"/>
        </w:rPr>
        <w:t xml:space="preserve"> an enhance</w:t>
      </w:r>
      <w:r w:rsidR="00D723D6" w:rsidRPr="00701439">
        <w:rPr>
          <w:rStyle w:val="Strong"/>
          <w:b w:val="0"/>
          <w:sz w:val="20"/>
          <w:szCs w:val="20"/>
        </w:rPr>
        <w:t>d</w:t>
      </w:r>
      <w:r w:rsidR="004F17C5" w:rsidRPr="00701439">
        <w:rPr>
          <w:rStyle w:val="Strong"/>
          <w:b w:val="0"/>
          <w:sz w:val="20"/>
          <w:szCs w:val="20"/>
        </w:rPr>
        <w:t xml:space="preserve"> digital experience</w:t>
      </w:r>
      <w:r w:rsidR="00F90C90" w:rsidRPr="00701439">
        <w:rPr>
          <w:rStyle w:val="Strong"/>
          <w:b w:val="0"/>
          <w:sz w:val="20"/>
          <w:szCs w:val="20"/>
        </w:rPr>
        <w:t>.</w:t>
      </w:r>
      <w:r w:rsidR="001E441B" w:rsidRPr="00701439">
        <w:rPr>
          <w:rStyle w:val="Strong"/>
          <w:b w:val="0"/>
          <w:sz w:val="20"/>
          <w:szCs w:val="20"/>
        </w:rPr>
        <w:t xml:space="preserve"> </w:t>
      </w:r>
    </w:p>
    <w:p w14:paraId="4B2BD7EC" w14:textId="3275E8D3" w:rsidR="00F2565D" w:rsidRPr="00701439" w:rsidRDefault="00F2565D" w:rsidP="00F2565D">
      <w:pPr>
        <w:pStyle w:val="NoSpacing"/>
        <w:numPr>
          <w:ilvl w:val="0"/>
          <w:numId w:val="2"/>
        </w:numPr>
        <w:jc w:val="both"/>
        <w:rPr>
          <w:rStyle w:val="Strong"/>
          <w:b w:val="0"/>
          <w:sz w:val="20"/>
          <w:szCs w:val="20"/>
        </w:rPr>
      </w:pPr>
      <w:r w:rsidRPr="00701439">
        <w:rPr>
          <w:rStyle w:val="Strong"/>
          <w:b w:val="0"/>
          <w:sz w:val="20"/>
          <w:szCs w:val="20"/>
        </w:rPr>
        <w:t xml:space="preserve">Shortly after the period end, Vanquis Bank </w:t>
      </w:r>
      <w:r w:rsidR="009B689F" w:rsidRPr="00701439">
        <w:rPr>
          <w:rStyle w:val="Strong"/>
          <w:b w:val="0"/>
          <w:sz w:val="20"/>
          <w:szCs w:val="20"/>
        </w:rPr>
        <w:t>won</w:t>
      </w:r>
      <w:r w:rsidR="00925426" w:rsidRPr="00701439">
        <w:rPr>
          <w:rStyle w:val="Strong"/>
          <w:b w:val="0"/>
          <w:sz w:val="20"/>
          <w:szCs w:val="20"/>
        </w:rPr>
        <w:t xml:space="preserve"> </w:t>
      </w:r>
      <w:r w:rsidR="003242E5" w:rsidRPr="00701439">
        <w:rPr>
          <w:rStyle w:val="Strong"/>
          <w:b w:val="0"/>
          <w:sz w:val="20"/>
          <w:szCs w:val="20"/>
        </w:rPr>
        <w:t>‘Best Benefits or Loyalty Scheme’ and ‘Best Customer Service’</w:t>
      </w:r>
      <w:r w:rsidRPr="00701439">
        <w:rPr>
          <w:rStyle w:val="Strong"/>
          <w:b w:val="0"/>
          <w:sz w:val="20"/>
          <w:szCs w:val="20"/>
        </w:rPr>
        <w:t xml:space="preserve"> </w:t>
      </w:r>
      <w:r w:rsidR="00925426" w:rsidRPr="00701439">
        <w:rPr>
          <w:rStyle w:val="Strong"/>
          <w:b w:val="0"/>
          <w:sz w:val="20"/>
          <w:szCs w:val="20"/>
        </w:rPr>
        <w:t xml:space="preserve">at the Card and Payment </w:t>
      </w:r>
      <w:proofErr w:type="gramStart"/>
      <w:r w:rsidR="00925426" w:rsidRPr="00701439">
        <w:rPr>
          <w:rStyle w:val="Strong"/>
          <w:b w:val="0"/>
          <w:sz w:val="20"/>
          <w:szCs w:val="20"/>
        </w:rPr>
        <w:t>Awards</w:t>
      </w:r>
      <w:proofErr w:type="gramEnd"/>
      <w:r w:rsidR="00925426" w:rsidRPr="00701439">
        <w:rPr>
          <w:rStyle w:val="Strong"/>
          <w:b w:val="0"/>
          <w:sz w:val="20"/>
          <w:szCs w:val="20"/>
        </w:rPr>
        <w:t xml:space="preserve"> </w:t>
      </w:r>
      <w:r w:rsidR="001B6015" w:rsidRPr="00701439">
        <w:rPr>
          <w:rStyle w:val="Strong"/>
          <w:b w:val="0"/>
          <w:sz w:val="20"/>
          <w:szCs w:val="20"/>
        </w:rPr>
        <w:t xml:space="preserve">and </w:t>
      </w:r>
      <w:r w:rsidR="00EB4B58">
        <w:rPr>
          <w:rStyle w:val="Strong"/>
          <w:b w:val="0"/>
          <w:sz w:val="20"/>
          <w:szCs w:val="20"/>
        </w:rPr>
        <w:t xml:space="preserve">it </w:t>
      </w:r>
      <w:r w:rsidR="001B6015" w:rsidRPr="00701439">
        <w:rPr>
          <w:rStyle w:val="Strong"/>
          <w:b w:val="0"/>
          <w:sz w:val="20"/>
          <w:szCs w:val="20"/>
        </w:rPr>
        <w:t xml:space="preserve">also </w:t>
      </w:r>
      <w:r w:rsidR="00EB4B58">
        <w:rPr>
          <w:rStyle w:val="Strong"/>
          <w:b w:val="0"/>
          <w:sz w:val="20"/>
          <w:szCs w:val="20"/>
        </w:rPr>
        <w:t xml:space="preserve">won </w:t>
      </w:r>
      <w:r w:rsidR="00F816B8" w:rsidRPr="00701439">
        <w:rPr>
          <w:rStyle w:val="Strong"/>
          <w:b w:val="0"/>
          <w:sz w:val="20"/>
          <w:szCs w:val="20"/>
        </w:rPr>
        <w:t>the</w:t>
      </w:r>
      <w:r w:rsidR="001B6015" w:rsidRPr="00701439">
        <w:rPr>
          <w:rStyle w:val="Strong"/>
          <w:b w:val="0"/>
          <w:sz w:val="20"/>
          <w:szCs w:val="20"/>
        </w:rPr>
        <w:t xml:space="preserve"> ‘</w:t>
      </w:r>
      <w:r w:rsidR="00F816B8" w:rsidRPr="00701439">
        <w:rPr>
          <w:rStyle w:val="Strong"/>
          <w:b w:val="0"/>
          <w:sz w:val="20"/>
          <w:szCs w:val="20"/>
        </w:rPr>
        <w:t>Changing</w:t>
      </w:r>
      <w:r w:rsidR="001B6015" w:rsidRPr="00701439">
        <w:rPr>
          <w:rStyle w:val="Strong"/>
          <w:b w:val="0"/>
          <w:sz w:val="20"/>
          <w:szCs w:val="20"/>
        </w:rPr>
        <w:t xml:space="preserve"> Lives in the Community Award’. </w:t>
      </w:r>
    </w:p>
    <w:p w14:paraId="6277F31B" w14:textId="77777777" w:rsidR="00F2565D" w:rsidRPr="00701439" w:rsidRDefault="00F2565D" w:rsidP="00F2565D">
      <w:pPr>
        <w:pStyle w:val="NoSpacing"/>
        <w:ind w:left="720"/>
        <w:jc w:val="both"/>
        <w:rPr>
          <w:rStyle w:val="Strong"/>
          <w:b w:val="0"/>
          <w:sz w:val="20"/>
          <w:szCs w:val="20"/>
        </w:rPr>
      </w:pPr>
    </w:p>
    <w:p w14:paraId="177D35A9" w14:textId="6F4CB0A4" w:rsidR="00476B95" w:rsidRPr="00701439" w:rsidRDefault="00572A7E" w:rsidP="00CE3A2E">
      <w:pPr>
        <w:pStyle w:val="NoSpacing"/>
        <w:jc w:val="both"/>
        <w:rPr>
          <w:rStyle w:val="Strong"/>
          <w:bCs w:val="0"/>
          <w:color w:val="4747FF"/>
        </w:rPr>
      </w:pPr>
      <w:r w:rsidRPr="00701439">
        <w:rPr>
          <w:rStyle w:val="Strong"/>
          <w:bCs w:val="0"/>
          <w:color w:val="4747FF"/>
        </w:rPr>
        <w:t xml:space="preserve">Vehicle finance adjusted PBT </w:t>
      </w:r>
      <w:r w:rsidR="00170AFB" w:rsidRPr="00701439">
        <w:rPr>
          <w:rStyle w:val="Strong"/>
          <w:bCs w:val="0"/>
          <w:color w:val="4747FF"/>
        </w:rPr>
        <w:t xml:space="preserve">grew </w:t>
      </w:r>
      <w:r w:rsidR="005E0421" w:rsidRPr="00701439">
        <w:rPr>
          <w:rStyle w:val="Strong"/>
          <w:bCs w:val="0"/>
          <w:color w:val="4747FF"/>
        </w:rPr>
        <w:t>significantly in FY’22</w:t>
      </w:r>
      <w:r w:rsidRPr="00701439">
        <w:rPr>
          <w:rStyle w:val="Strong"/>
          <w:bCs w:val="0"/>
          <w:color w:val="4747FF"/>
        </w:rPr>
        <w:t xml:space="preserve"> </w:t>
      </w:r>
      <w:r w:rsidR="00170AFB" w:rsidRPr="00701439">
        <w:rPr>
          <w:rStyle w:val="Strong"/>
          <w:bCs w:val="0"/>
          <w:color w:val="4747FF"/>
        </w:rPr>
        <w:t xml:space="preserve">driven by strong loan book growth and cost </w:t>
      </w:r>
      <w:proofErr w:type="gramStart"/>
      <w:r w:rsidR="00170AFB" w:rsidRPr="00701439">
        <w:rPr>
          <w:rStyle w:val="Strong"/>
          <w:bCs w:val="0"/>
          <w:color w:val="4747FF"/>
        </w:rPr>
        <w:t>controls</w:t>
      </w:r>
      <w:proofErr w:type="gramEnd"/>
      <w:r w:rsidR="00170AFB" w:rsidRPr="00701439">
        <w:rPr>
          <w:rStyle w:val="Strong"/>
          <w:bCs w:val="0"/>
          <w:color w:val="4747FF"/>
        </w:rPr>
        <w:t xml:space="preserve"> </w:t>
      </w:r>
    </w:p>
    <w:p w14:paraId="07DBE2DC" w14:textId="28E32C6F" w:rsidR="005E0421" w:rsidRPr="00701439" w:rsidRDefault="005E0421" w:rsidP="005E0421">
      <w:pPr>
        <w:jc w:val="both"/>
        <w:rPr>
          <w:rFonts w:asciiTheme="minorHAnsi" w:eastAsia="Calibri" w:hAnsiTheme="minorHAnsi"/>
          <w:b/>
          <w:bCs/>
          <w:color w:val="4747FF"/>
          <w:sz w:val="22"/>
          <w:szCs w:val="22"/>
          <w:lang w:eastAsia="en-US"/>
        </w:rPr>
      </w:pPr>
    </w:p>
    <w:p w14:paraId="398060BF" w14:textId="42111D0D" w:rsidR="00476B95" w:rsidRPr="00701439" w:rsidRDefault="00F83675" w:rsidP="00E534C5">
      <w:pPr>
        <w:numPr>
          <w:ilvl w:val="0"/>
          <w:numId w:val="4"/>
        </w:numPr>
        <w:spacing w:after="160"/>
        <w:contextualSpacing/>
        <w:jc w:val="both"/>
        <w:rPr>
          <w:rFonts w:asciiTheme="minorHAnsi" w:hAnsiTheme="minorHAnsi"/>
          <w:sz w:val="20"/>
          <w:szCs w:val="20"/>
        </w:rPr>
      </w:pPr>
      <w:r w:rsidRPr="00701439">
        <w:rPr>
          <w:rFonts w:asciiTheme="minorHAnsi" w:hAnsiTheme="minorHAnsi" w:cs="Arial"/>
          <w:sz w:val="20"/>
          <w:szCs w:val="20"/>
        </w:rPr>
        <w:t>T</w:t>
      </w:r>
      <w:r w:rsidR="00546234" w:rsidRPr="00701439">
        <w:rPr>
          <w:rFonts w:asciiTheme="minorHAnsi" w:hAnsiTheme="minorHAnsi" w:cs="Arial"/>
          <w:sz w:val="20"/>
          <w:szCs w:val="20"/>
        </w:rPr>
        <w:t xml:space="preserve">he Group’s vehicle finance </w:t>
      </w:r>
      <w:r w:rsidRPr="00701439">
        <w:rPr>
          <w:rFonts w:asciiTheme="minorHAnsi" w:hAnsiTheme="minorHAnsi" w:cs="Arial"/>
          <w:sz w:val="20"/>
          <w:szCs w:val="20"/>
        </w:rPr>
        <w:t>business</w:t>
      </w:r>
      <w:r w:rsidR="00476B95" w:rsidRPr="00701439">
        <w:rPr>
          <w:rFonts w:asciiTheme="minorHAnsi" w:hAnsiTheme="minorHAnsi" w:cs="Arial"/>
          <w:sz w:val="20"/>
          <w:szCs w:val="20"/>
        </w:rPr>
        <w:t xml:space="preserve"> delivered </w:t>
      </w:r>
      <w:r w:rsidR="00C46DCE" w:rsidRPr="00701439">
        <w:rPr>
          <w:rFonts w:asciiTheme="minorHAnsi" w:hAnsiTheme="minorHAnsi" w:cs="Arial"/>
          <w:sz w:val="20"/>
          <w:szCs w:val="20"/>
        </w:rPr>
        <w:t xml:space="preserve">adjusted </w:t>
      </w:r>
      <w:r w:rsidR="00476B95" w:rsidRPr="00701439">
        <w:rPr>
          <w:rFonts w:asciiTheme="minorHAnsi" w:hAnsiTheme="minorHAnsi" w:cs="Arial"/>
          <w:sz w:val="20"/>
          <w:szCs w:val="20"/>
        </w:rPr>
        <w:t xml:space="preserve">PBT for the period of </w:t>
      </w:r>
      <w:r w:rsidR="007B71C7" w:rsidRPr="00701439">
        <w:rPr>
          <w:rFonts w:asciiTheme="minorHAnsi" w:hAnsiTheme="minorHAnsi" w:cs="Arial"/>
          <w:sz w:val="20"/>
          <w:szCs w:val="20"/>
        </w:rPr>
        <w:t>£</w:t>
      </w:r>
      <w:r w:rsidR="00F26B85" w:rsidRPr="00701439">
        <w:rPr>
          <w:rFonts w:asciiTheme="minorHAnsi" w:hAnsiTheme="minorHAnsi" w:cs="Arial"/>
          <w:sz w:val="20"/>
          <w:szCs w:val="20"/>
        </w:rPr>
        <w:t>38</w:t>
      </w:r>
      <w:r w:rsidR="00127EB5" w:rsidRPr="00701439">
        <w:rPr>
          <w:rFonts w:asciiTheme="minorHAnsi" w:hAnsiTheme="minorHAnsi" w:cs="Arial"/>
          <w:sz w:val="20"/>
          <w:szCs w:val="20"/>
        </w:rPr>
        <w:t>.</w:t>
      </w:r>
      <w:r w:rsidR="00F26B85" w:rsidRPr="00701439">
        <w:rPr>
          <w:rFonts w:asciiTheme="minorHAnsi" w:hAnsiTheme="minorHAnsi" w:cs="Arial"/>
          <w:sz w:val="20"/>
          <w:szCs w:val="20"/>
        </w:rPr>
        <w:t>0</w:t>
      </w:r>
      <w:r w:rsidR="007B71C7" w:rsidRPr="00701439">
        <w:rPr>
          <w:rFonts w:asciiTheme="minorHAnsi" w:hAnsiTheme="minorHAnsi" w:cs="Arial"/>
          <w:sz w:val="20"/>
          <w:szCs w:val="20"/>
        </w:rPr>
        <w:t>m (FY’2</w:t>
      </w:r>
      <w:r w:rsidR="00113FA9" w:rsidRPr="00701439">
        <w:rPr>
          <w:rFonts w:asciiTheme="minorHAnsi" w:hAnsiTheme="minorHAnsi" w:cs="Arial"/>
          <w:sz w:val="20"/>
          <w:szCs w:val="20"/>
        </w:rPr>
        <w:t>1</w:t>
      </w:r>
      <w:r w:rsidR="007B71C7" w:rsidRPr="00701439">
        <w:rPr>
          <w:rFonts w:asciiTheme="minorHAnsi" w:hAnsiTheme="minorHAnsi" w:cs="Arial"/>
          <w:sz w:val="20"/>
          <w:szCs w:val="20"/>
        </w:rPr>
        <w:t xml:space="preserve">: </w:t>
      </w:r>
      <w:r w:rsidR="00476B95" w:rsidRPr="00701439">
        <w:rPr>
          <w:rFonts w:asciiTheme="minorHAnsi" w:hAnsiTheme="minorHAnsi" w:cs="Arial"/>
          <w:sz w:val="20"/>
          <w:szCs w:val="20"/>
        </w:rPr>
        <w:t>£</w:t>
      </w:r>
      <w:r w:rsidR="00113FA9" w:rsidRPr="00701439">
        <w:rPr>
          <w:rFonts w:asciiTheme="minorHAnsi" w:hAnsiTheme="minorHAnsi" w:cs="Arial"/>
          <w:sz w:val="20"/>
          <w:szCs w:val="20"/>
        </w:rPr>
        <w:t>28</w:t>
      </w:r>
      <w:r w:rsidR="004F35D9" w:rsidRPr="00701439">
        <w:rPr>
          <w:rFonts w:asciiTheme="minorHAnsi" w:hAnsiTheme="minorHAnsi" w:cs="Arial"/>
          <w:sz w:val="20"/>
          <w:szCs w:val="20"/>
        </w:rPr>
        <w:t>.9</w:t>
      </w:r>
      <w:r w:rsidR="00476B95" w:rsidRPr="00701439">
        <w:rPr>
          <w:rFonts w:asciiTheme="minorHAnsi" w:hAnsiTheme="minorHAnsi" w:cs="Arial"/>
          <w:sz w:val="20"/>
          <w:szCs w:val="20"/>
        </w:rPr>
        <w:t>m</w:t>
      </w:r>
      <w:r w:rsidR="007B71C7" w:rsidRPr="00701439">
        <w:rPr>
          <w:rFonts w:asciiTheme="minorHAnsi" w:hAnsiTheme="minorHAnsi" w:cs="Arial"/>
          <w:sz w:val="20"/>
          <w:szCs w:val="20"/>
        </w:rPr>
        <w:t>)</w:t>
      </w:r>
      <w:r w:rsidR="00476B95" w:rsidRPr="00701439">
        <w:rPr>
          <w:rFonts w:asciiTheme="minorHAnsi" w:hAnsiTheme="minorHAnsi" w:cs="Arial"/>
          <w:sz w:val="20"/>
          <w:szCs w:val="20"/>
        </w:rPr>
        <w:t xml:space="preserve"> </w:t>
      </w:r>
      <w:r w:rsidR="001114BD" w:rsidRPr="00701439">
        <w:rPr>
          <w:rFonts w:asciiTheme="minorHAnsi" w:hAnsiTheme="minorHAnsi" w:cs="Arial"/>
          <w:sz w:val="20"/>
          <w:szCs w:val="20"/>
        </w:rPr>
        <w:t xml:space="preserve">which </w:t>
      </w:r>
      <w:r w:rsidR="00321EFB" w:rsidRPr="00701439">
        <w:rPr>
          <w:rFonts w:asciiTheme="minorHAnsi" w:hAnsiTheme="minorHAnsi" w:cs="Arial"/>
          <w:sz w:val="20"/>
          <w:szCs w:val="20"/>
        </w:rPr>
        <w:t xml:space="preserve">represents </w:t>
      </w:r>
      <w:r w:rsidR="007523D8" w:rsidRPr="00701439">
        <w:rPr>
          <w:rFonts w:asciiTheme="minorHAnsi" w:hAnsiTheme="minorHAnsi" w:cs="Arial"/>
          <w:sz w:val="20"/>
          <w:szCs w:val="20"/>
        </w:rPr>
        <w:t>strong</w:t>
      </w:r>
      <w:r w:rsidR="00321EFB" w:rsidRPr="00701439">
        <w:rPr>
          <w:rFonts w:asciiTheme="minorHAnsi" w:hAnsiTheme="minorHAnsi" w:cs="Arial"/>
          <w:sz w:val="20"/>
          <w:szCs w:val="20"/>
        </w:rPr>
        <w:t xml:space="preserve"> </w:t>
      </w:r>
      <w:r w:rsidR="00170AFB" w:rsidRPr="00701439">
        <w:rPr>
          <w:rFonts w:asciiTheme="minorHAnsi" w:hAnsiTheme="minorHAnsi" w:cs="Arial"/>
          <w:sz w:val="20"/>
          <w:szCs w:val="20"/>
        </w:rPr>
        <w:t xml:space="preserve">loan book </w:t>
      </w:r>
      <w:r w:rsidR="00321EFB" w:rsidRPr="00701439">
        <w:rPr>
          <w:rFonts w:asciiTheme="minorHAnsi" w:hAnsiTheme="minorHAnsi" w:cs="Arial"/>
          <w:sz w:val="20"/>
          <w:szCs w:val="20"/>
        </w:rPr>
        <w:t>growth year-on-year</w:t>
      </w:r>
      <w:r w:rsidR="007523D8" w:rsidRPr="00701439">
        <w:rPr>
          <w:rFonts w:asciiTheme="minorHAnsi" w:hAnsiTheme="minorHAnsi" w:cs="Arial"/>
          <w:sz w:val="20"/>
          <w:szCs w:val="20"/>
        </w:rPr>
        <w:t xml:space="preserve"> and lower interest expense</w:t>
      </w:r>
      <w:r w:rsidR="00F90C90" w:rsidRPr="00701439">
        <w:rPr>
          <w:rFonts w:asciiTheme="minorHAnsi" w:hAnsiTheme="minorHAnsi" w:cs="Arial"/>
          <w:sz w:val="20"/>
          <w:szCs w:val="20"/>
        </w:rPr>
        <w:t>.</w:t>
      </w:r>
    </w:p>
    <w:p w14:paraId="6C0115BE" w14:textId="58670969" w:rsidR="004F0306" w:rsidRPr="00701439" w:rsidRDefault="00476B95" w:rsidP="00E534C5">
      <w:pPr>
        <w:numPr>
          <w:ilvl w:val="0"/>
          <w:numId w:val="4"/>
        </w:numPr>
        <w:spacing w:after="160"/>
        <w:contextualSpacing/>
        <w:jc w:val="both"/>
        <w:rPr>
          <w:rFonts w:asciiTheme="minorHAnsi" w:hAnsiTheme="minorHAnsi" w:cs="Arial"/>
          <w:sz w:val="20"/>
          <w:szCs w:val="20"/>
        </w:rPr>
      </w:pPr>
      <w:r w:rsidRPr="00701439">
        <w:rPr>
          <w:rFonts w:asciiTheme="minorHAnsi" w:hAnsiTheme="minorHAnsi" w:cs="Arial"/>
          <w:sz w:val="20"/>
          <w:szCs w:val="20"/>
        </w:rPr>
        <w:t xml:space="preserve">At the end of December, </w:t>
      </w:r>
      <w:r w:rsidR="00321EFB" w:rsidRPr="00701439">
        <w:rPr>
          <w:rFonts w:asciiTheme="minorHAnsi" w:hAnsiTheme="minorHAnsi" w:cs="Arial"/>
          <w:sz w:val="20"/>
          <w:szCs w:val="20"/>
        </w:rPr>
        <w:t xml:space="preserve">there were </w:t>
      </w:r>
      <w:r w:rsidR="00DB57CB" w:rsidRPr="00701439">
        <w:rPr>
          <w:rFonts w:asciiTheme="minorHAnsi" w:hAnsiTheme="minorHAnsi" w:cs="Arial"/>
          <w:sz w:val="20"/>
          <w:szCs w:val="20"/>
        </w:rPr>
        <w:t>100</w:t>
      </w:r>
      <w:r w:rsidR="00321EFB" w:rsidRPr="00701439">
        <w:rPr>
          <w:rFonts w:asciiTheme="minorHAnsi" w:hAnsiTheme="minorHAnsi" w:cs="Arial"/>
          <w:sz w:val="20"/>
          <w:szCs w:val="20"/>
        </w:rPr>
        <w:t>k vehicle finance customers (FY’2</w:t>
      </w:r>
      <w:r w:rsidR="00604C2C" w:rsidRPr="00701439">
        <w:rPr>
          <w:rFonts w:asciiTheme="minorHAnsi" w:hAnsiTheme="minorHAnsi" w:cs="Arial"/>
          <w:sz w:val="20"/>
          <w:szCs w:val="20"/>
        </w:rPr>
        <w:t>1</w:t>
      </w:r>
      <w:r w:rsidR="00321EFB" w:rsidRPr="00701439">
        <w:rPr>
          <w:rFonts w:asciiTheme="minorHAnsi" w:hAnsiTheme="minorHAnsi" w:cs="Arial"/>
          <w:sz w:val="20"/>
          <w:szCs w:val="20"/>
        </w:rPr>
        <w:t xml:space="preserve">: </w:t>
      </w:r>
      <w:r w:rsidRPr="00701439">
        <w:rPr>
          <w:rFonts w:asciiTheme="minorHAnsi" w:hAnsiTheme="minorHAnsi" w:cs="Arial"/>
          <w:sz w:val="20"/>
          <w:szCs w:val="20"/>
        </w:rPr>
        <w:t>9</w:t>
      </w:r>
      <w:r w:rsidR="00604C2C" w:rsidRPr="00701439">
        <w:rPr>
          <w:rFonts w:asciiTheme="minorHAnsi" w:hAnsiTheme="minorHAnsi" w:cs="Arial"/>
          <w:sz w:val="20"/>
          <w:szCs w:val="20"/>
        </w:rPr>
        <w:t>4</w:t>
      </w:r>
      <w:r w:rsidRPr="00701439">
        <w:rPr>
          <w:rFonts w:asciiTheme="minorHAnsi" w:hAnsiTheme="minorHAnsi" w:cs="Arial"/>
          <w:sz w:val="20"/>
          <w:szCs w:val="20"/>
        </w:rPr>
        <w:t>k</w:t>
      </w:r>
      <w:r w:rsidR="00321EFB" w:rsidRPr="00701439">
        <w:rPr>
          <w:rFonts w:asciiTheme="minorHAnsi" w:hAnsiTheme="minorHAnsi" w:cs="Arial"/>
          <w:sz w:val="20"/>
          <w:szCs w:val="20"/>
        </w:rPr>
        <w:t>)</w:t>
      </w:r>
      <w:r w:rsidRPr="00701439">
        <w:rPr>
          <w:rFonts w:asciiTheme="minorHAnsi" w:hAnsiTheme="minorHAnsi" w:cs="Arial"/>
          <w:sz w:val="20"/>
          <w:szCs w:val="20"/>
        </w:rPr>
        <w:t xml:space="preserve"> and receivables of </w:t>
      </w:r>
      <w:r w:rsidR="00321EFB" w:rsidRPr="00701439">
        <w:rPr>
          <w:rFonts w:asciiTheme="minorHAnsi" w:hAnsiTheme="minorHAnsi" w:cs="Arial"/>
          <w:sz w:val="20"/>
          <w:szCs w:val="20"/>
        </w:rPr>
        <w:t>£</w:t>
      </w:r>
      <w:r w:rsidR="004C1625" w:rsidRPr="00701439">
        <w:rPr>
          <w:rFonts w:asciiTheme="minorHAnsi" w:hAnsiTheme="minorHAnsi" w:cs="Arial"/>
          <w:sz w:val="20"/>
          <w:szCs w:val="20"/>
        </w:rPr>
        <w:t>646</w:t>
      </w:r>
      <w:r w:rsidR="00321EFB" w:rsidRPr="00701439">
        <w:rPr>
          <w:rFonts w:asciiTheme="minorHAnsi" w:hAnsiTheme="minorHAnsi" w:cs="Arial"/>
          <w:sz w:val="20"/>
          <w:szCs w:val="20"/>
        </w:rPr>
        <w:t>m (FY’2</w:t>
      </w:r>
      <w:r w:rsidR="00604C2C" w:rsidRPr="00701439">
        <w:rPr>
          <w:rFonts w:asciiTheme="minorHAnsi" w:hAnsiTheme="minorHAnsi" w:cs="Arial"/>
          <w:sz w:val="20"/>
          <w:szCs w:val="20"/>
        </w:rPr>
        <w:t>1</w:t>
      </w:r>
      <w:r w:rsidR="00321EFB" w:rsidRPr="00701439">
        <w:rPr>
          <w:rFonts w:asciiTheme="minorHAnsi" w:hAnsiTheme="minorHAnsi" w:cs="Arial"/>
          <w:sz w:val="20"/>
          <w:szCs w:val="20"/>
        </w:rPr>
        <w:t xml:space="preserve">: </w:t>
      </w:r>
      <w:r w:rsidRPr="00701439">
        <w:rPr>
          <w:rFonts w:asciiTheme="minorHAnsi" w:hAnsiTheme="minorHAnsi" w:cs="Arial"/>
          <w:sz w:val="20"/>
          <w:szCs w:val="20"/>
        </w:rPr>
        <w:t>£5</w:t>
      </w:r>
      <w:r w:rsidR="00604C2C" w:rsidRPr="00701439">
        <w:rPr>
          <w:rFonts w:asciiTheme="minorHAnsi" w:hAnsiTheme="minorHAnsi" w:cs="Arial"/>
          <w:sz w:val="20"/>
          <w:szCs w:val="20"/>
        </w:rPr>
        <w:t>86</w:t>
      </w:r>
      <w:r w:rsidRPr="00701439">
        <w:rPr>
          <w:rFonts w:asciiTheme="minorHAnsi" w:hAnsiTheme="minorHAnsi" w:cs="Arial"/>
          <w:sz w:val="20"/>
          <w:szCs w:val="20"/>
        </w:rPr>
        <w:t>m</w:t>
      </w:r>
      <w:r w:rsidR="00321EFB" w:rsidRPr="00701439">
        <w:rPr>
          <w:rFonts w:asciiTheme="minorHAnsi" w:hAnsiTheme="minorHAnsi" w:cs="Arial"/>
          <w:sz w:val="20"/>
          <w:szCs w:val="20"/>
        </w:rPr>
        <w:t>)</w:t>
      </w:r>
      <w:r w:rsidR="003442CD" w:rsidRPr="00701439">
        <w:rPr>
          <w:rFonts w:asciiTheme="minorHAnsi" w:hAnsiTheme="minorHAnsi" w:cs="Arial"/>
          <w:sz w:val="20"/>
          <w:szCs w:val="20"/>
        </w:rPr>
        <w:t xml:space="preserve">, representing </w:t>
      </w:r>
      <w:r w:rsidR="00F50225" w:rsidRPr="00701439">
        <w:rPr>
          <w:rFonts w:asciiTheme="minorHAnsi" w:hAnsiTheme="minorHAnsi" w:cs="Arial"/>
          <w:sz w:val="20"/>
          <w:szCs w:val="20"/>
        </w:rPr>
        <w:t xml:space="preserve">receivables </w:t>
      </w:r>
      <w:r w:rsidR="003442CD" w:rsidRPr="00701439">
        <w:rPr>
          <w:rFonts w:asciiTheme="minorHAnsi" w:hAnsiTheme="minorHAnsi" w:cs="Arial"/>
          <w:sz w:val="20"/>
          <w:szCs w:val="20"/>
        </w:rPr>
        <w:t>growth of 10%</w:t>
      </w:r>
      <w:r w:rsidR="001F7006" w:rsidRPr="00701439">
        <w:rPr>
          <w:rFonts w:asciiTheme="minorHAnsi" w:hAnsiTheme="minorHAnsi" w:cs="Arial"/>
          <w:sz w:val="20"/>
          <w:szCs w:val="20"/>
        </w:rPr>
        <w:t xml:space="preserve">. </w:t>
      </w:r>
      <w:r w:rsidR="00321EFB" w:rsidRPr="00701439">
        <w:rPr>
          <w:rFonts w:asciiTheme="minorHAnsi" w:hAnsiTheme="minorHAnsi" w:cs="Arial"/>
          <w:sz w:val="20"/>
          <w:szCs w:val="20"/>
        </w:rPr>
        <w:t xml:space="preserve">Growth in customers and receivables year-on-year </w:t>
      </w:r>
      <w:r w:rsidR="00953465" w:rsidRPr="00701439">
        <w:rPr>
          <w:rFonts w:asciiTheme="minorHAnsi" w:hAnsiTheme="minorHAnsi" w:cs="Arial"/>
          <w:sz w:val="20"/>
          <w:szCs w:val="20"/>
        </w:rPr>
        <w:t>reflects the strong positioning of the business and its ability to draw upon the Group’s access to capital and funding</w:t>
      </w:r>
      <w:r w:rsidR="00F90C90" w:rsidRPr="00701439">
        <w:rPr>
          <w:rFonts w:asciiTheme="minorHAnsi" w:hAnsiTheme="minorHAnsi" w:cs="Arial"/>
          <w:sz w:val="20"/>
          <w:szCs w:val="20"/>
        </w:rPr>
        <w:t>.</w:t>
      </w:r>
      <w:r w:rsidR="00953465" w:rsidRPr="00701439">
        <w:rPr>
          <w:rFonts w:asciiTheme="minorHAnsi" w:hAnsiTheme="minorHAnsi" w:cs="Arial"/>
          <w:sz w:val="20"/>
          <w:szCs w:val="20"/>
        </w:rPr>
        <w:t xml:space="preserve"> </w:t>
      </w:r>
    </w:p>
    <w:p w14:paraId="632D981C" w14:textId="570627FA" w:rsidR="00321EFB" w:rsidRPr="00701439" w:rsidRDefault="004F0306" w:rsidP="00E534C5">
      <w:pPr>
        <w:numPr>
          <w:ilvl w:val="0"/>
          <w:numId w:val="4"/>
        </w:numPr>
        <w:spacing w:after="160"/>
        <w:contextualSpacing/>
        <w:jc w:val="both"/>
        <w:rPr>
          <w:rFonts w:asciiTheme="minorHAnsi" w:hAnsiTheme="minorHAnsi" w:cs="Arial"/>
          <w:sz w:val="20"/>
          <w:szCs w:val="20"/>
        </w:rPr>
      </w:pPr>
      <w:r w:rsidRPr="00701439">
        <w:rPr>
          <w:rFonts w:asciiTheme="minorHAnsi" w:hAnsiTheme="minorHAnsi" w:cs="Arial"/>
          <w:sz w:val="20"/>
          <w:szCs w:val="20"/>
        </w:rPr>
        <w:t>Credit issue</w:t>
      </w:r>
      <w:r w:rsidR="007F59F9" w:rsidRPr="00701439">
        <w:rPr>
          <w:rFonts w:asciiTheme="minorHAnsi" w:hAnsiTheme="minorHAnsi" w:cs="Arial"/>
          <w:sz w:val="20"/>
          <w:szCs w:val="20"/>
        </w:rPr>
        <w:t xml:space="preserve">d during </w:t>
      </w:r>
      <w:r w:rsidR="005A29A5" w:rsidRPr="00701439">
        <w:rPr>
          <w:rFonts w:asciiTheme="minorHAnsi" w:hAnsiTheme="minorHAnsi" w:cs="Arial"/>
          <w:sz w:val="20"/>
          <w:szCs w:val="20"/>
        </w:rPr>
        <w:t>FY’22</w:t>
      </w:r>
      <w:r w:rsidR="007F59F9" w:rsidRPr="00701439">
        <w:rPr>
          <w:rFonts w:asciiTheme="minorHAnsi" w:hAnsiTheme="minorHAnsi" w:cs="Arial"/>
          <w:sz w:val="20"/>
          <w:szCs w:val="20"/>
        </w:rPr>
        <w:t xml:space="preserve"> wa</w:t>
      </w:r>
      <w:r w:rsidR="005A29A5" w:rsidRPr="00701439">
        <w:rPr>
          <w:rFonts w:asciiTheme="minorHAnsi" w:hAnsiTheme="minorHAnsi" w:cs="Arial"/>
          <w:sz w:val="20"/>
          <w:szCs w:val="20"/>
        </w:rPr>
        <w:t>s £342m</w:t>
      </w:r>
      <w:r w:rsidR="00F52B3F" w:rsidRPr="00701439">
        <w:rPr>
          <w:rFonts w:asciiTheme="minorHAnsi" w:hAnsiTheme="minorHAnsi" w:cs="Arial"/>
          <w:sz w:val="20"/>
          <w:szCs w:val="20"/>
        </w:rPr>
        <w:t xml:space="preserve"> (FY’21: </w:t>
      </w:r>
      <w:r w:rsidR="00DC4E20" w:rsidRPr="00701439">
        <w:rPr>
          <w:rFonts w:asciiTheme="minorHAnsi" w:hAnsiTheme="minorHAnsi" w:cs="Arial"/>
          <w:sz w:val="20"/>
          <w:szCs w:val="20"/>
        </w:rPr>
        <w:t>£</w:t>
      </w:r>
      <w:r w:rsidR="00A2522F" w:rsidRPr="00701439">
        <w:rPr>
          <w:rFonts w:asciiTheme="minorHAnsi" w:hAnsiTheme="minorHAnsi" w:cs="Arial"/>
          <w:sz w:val="20"/>
          <w:szCs w:val="20"/>
        </w:rPr>
        <w:t>287</w:t>
      </w:r>
      <w:r w:rsidR="00D14D73" w:rsidRPr="00701439">
        <w:rPr>
          <w:rFonts w:asciiTheme="minorHAnsi" w:hAnsiTheme="minorHAnsi" w:cs="Arial"/>
          <w:sz w:val="20"/>
          <w:szCs w:val="20"/>
        </w:rPr>
        <w:t>m)</w:t>
      </w:r>
      <w:r w:rsidR="005A29A5" w:rsidRPr="00701439">
        <w:rPr>
          <w:rFonts w:asciiTheme="minorHAnsi" w:hAnsiTheme="minorHAnsi" w:cs="Arial"/>
          <w:sz w:val="20"/>
          <w:szCs w:val="20"/>
        </w:rPr>
        <w:t xml:space="preserve">, a significant increase </w:t>
      </w:r>
      <w:r w:rsidR="007F59F9" w:rsidRPr="00701439">
        <w:rPr>
          <w:rFonts w:asciiTheme="minorHAnsi" w:hAnsiTheme="minorHAnsi" w:cs="Arial"/>
          <w:sz w:val="20"/>
          <w:szCs w:val="20"/>
        </w:rPr>
        <w:t xml:space="preserve">year-on-year, </w:t>
      </w:r>
      <w:r w:rsidR="00953465" w:rsidRPr="00701439">
        <w:rPr>
          <w:rFonts w:asciiTheme="minorHAnsi" w:hAnsiTheme="minorHAnsi" w:cs="Arial"/>
          <w:sz w:val="20"/>
          <w:szCs w:val="20"/>
        </w:rPr>
        <w:t>reflecting</w:t>
      </w:r>
      <w:r w:rsidR="007F59F9" w:rsidRPr="00701439">
        <w:rPr>
          <w:rFonts w:asciiTheme="minorHAnsi" w:hAnsiTheme="minorHAnsi" w:cs="Arial"/>
          <w:sz w:val="20"/>
          <w:szCs w:val="20"/>
        </w:rPr>
        <w:t xml:space="preserve"> new business volumes </w:t>
      </w:r>
      <w:r w:rsidR="00953465" w:rsidRPr="00701439">
        <w:rPr>
          <w:rFonts w:asciiTheme="minorHAnsi" w:hAnsiTheme="minorHAnsi" w:cs="Arial"/>
          <w:sz w:val="20"/>
          <w:szCs w:val="20"/>
        </w:rPr>
        <w:t>increasing</w:t>
      </w:r>
      <w:r w:rsidR="007F59F9" w:rsidRPr="00701439">
        <w:rPr>
          <w:rFonts w:asciiTheme="minorHAnsi" w:hAnsiTheme="minorHAnsi" w:cs="Arial"/>
          <w:sz w:val="20"/>
          <w:szCs w:val="20"/>
        </w:rPr>
        <w:t xml:space="preserve"> to </w:t>
      </w:r>
      <w:r w:rsidR="009B5E56" w:rsidRPr="00701439">
        <w:rPr>
          <w:rFonts w:asciiTheme="minorHAnsi" w:hAnsiTheme="minorHAnsi" w:cs="Arial"/>
          <w:sz w:val="20"/>
          <w:szCs w:val="20"/>
        </w:rPr>
        <w:t>42</w:t>
      </w:r>
      <w:r w:rsidR="009C7933" w:rsidRPr="00701439">
        <w:rPr>
          <w:rFonts w:asciiTheme="minorHAnsi" w:hAnsiTheme="minorHAnsi" w:cs="Arial"/>
          <w:sz w:val="20"/>
          <w:szCs w:val="20"/>
        </w:rPr>
        <w:t>k</w:t>
      </w:r>
      <w:r w:rsidR="007F59F9" w:rsidRPr="00701439">
        <w:rPr>
          <w:rFonts w:asciiTheme="minorHAnsi" w:hAnsiTheme="minorHAnsi" w:cs="Arial"/>
          <w:sz w:val="20"/>
          <w:szCs w:val="20"/>
        </w:rPr>
        <w:t xml:space="preserve"> (FY’2</w:t>
      </w:r>
      <w:r w:rsidR="002235AB" w:rsidRPr="00701439">
        <w:rPr>
          <w:rFonts w:asciiTheme="minorHAnsi" w:hAnsiTheme="minorHAnsi" w:cs="Arial"/>
          <w:sz w:val="20"/>
          <w:szCs w:val="20"/>
        </w:rPr>
        <w:t>1</w:t>
      </w:r>
      <w:r w:rsidR="007F59F9" w:rsidRPr="00701439">
        <w:rPr>
          <w:rFonts w:asciiTheme="minorHAnsi" w:hAnsiTheme="minorHAnsi" w:cs="Arial"/>
          <w:sz w:val="20"/>
          <w:szCs w:val="20"/>
        </w:rPr>
        <w:t>: 3</w:t>
      </w:r>
      <w:r w:rsidR="002235AB" w:rsidRPr="00701439">
        <w:rPr>
          <w:rFonts w:asciiTheme="minorHAnsi" w:hAnsiTheme="minorHAnsi" w:cs="Arial"/>
          <w:sz w:val="20"/>
          <w:szCs w:val="20"/>
        </w:rPr>
        <w:t>7</w:t>
      </w:r>
      <w:r w:rsidR="007F59F9" w:rsidRPr="00701439">
        <w:rPr>
          <w:rFonts w:asciiTheme="minorHAnsi" w:hAnsiTheme="minorHAnsi" w:cs="Arial"/>
          <w:sz w:val="20"/>
          <w:szCs w:val="20"/>
        </w:rPr>
        <w:t>k)</w:t>
      </w:r>
      <w:r w:rsidR="00685A71" w:rsidRPr="00701439">
        <w:rPr>
          <w:rFonts w:asciiTheme="minorHAnsi" w:hAnsiTheme="minorHAnsi" w:cs="Arial"/>
          <w:sz w:val="20"/>
          <w:szCs w:val="20"/>
        </w:rPr>
        <w:t xml:space="preserve"> </w:t>
      </w:r>
      <w:r w:rsidR="00744B05" w:rsidRPr="00701439">
        <w:rPr>
          <w:rFonts w:asciiTheme="minorHAnsi" w:hAnsiTheme="minorHAnsi" w:cs="Arial"/>
          <w:sz w:val="20"/>
          <w:szCs w:val="20"/>
        </w:rPr>
        <w:t>with</w:t>
      </w:r>
      <w:r w:rsidR="00685A71" w:rsidRPr="00701439">
        <w:rPr>
          <w:rFonts w:asciiTheme="minorHAnsi" w:hAnsiTheme="minorHAnsi" w:cs="Arial"/>
          <w:sz w:val="20"/>
          <w:szCs w:val="20"/>
        </w:rPr>
        <w:t xml:space="preserve"> vehicle pricing remaining</w:t>
      </w:r>
      <w:r w:rsidR="009F70F8" w:rsidRPr="00701439">
        <w:rPr>
          <w:rFonts w:asciiTheme="minorHAnsi" w:hAnsiTheme="minorHAnsi" w:cs="Arial"/>
          <w:sz w:val="20"/>
          <w:szCs w:val="20"/>
        </w:rPr>
        <w:t xml:space="preserve"> consistent year-on-year</w:t>
      </w:r>
      <w:r w:rsidR="00F90C90" w:rsidRPr="00701439">
        <w:rPr>
          <w:rFonts w:asciiTheme="minorHAnsi" w:hAnsiTheme="minorHAnsi" w:cs="Arial"/>
          <w:sz w:val="20"/>
          <w:szCs w:val="20"/>
        </w:rPr>
        <w:t>.</w:t>
      </w:r>
    </w:p>
    <w:p w14:paraId="1AF10344" w14:textId="4EDFCCE6" w:rsidR="00476B95" w:rsidRPr="00701439" w:rsidRDefault="00476B95" w:rsidP="00E534C5">
      <w:pPr>
        <w:numPr>
          <w:ilvl w:val="0"/>
          <w:numId w:val="4"/>
        </w:numPr>
        <w:spacing w:after="160"/>
        <w:contextualSpacing/>
        <w:jc w:val="both"/>
        <w:rPr>
          <w:rFonts w:asciiTheme="minorHAnsi" w:hAnsiTheme="minorHAnsi" w:cs="Arial"/>
          <w:sz w:val="20"/>
          <w:szCs w:val="20"/>
        </w:rPr>
      </w:pPr>
      <w:r w:rsidRPr="00701439">
        <w:rPr>
          <w:rFonts w:asciiTheme="minorHAnsi" w:hAnsiTheme="minorHAnsi" w:cs="Arial"/>
          <w:sz w:val="20"/>
          <w:szCs w:val="20"/>
        </w:rPr>
        <w:t xml:space="preserve">The annualised </w:t>
      </w:r>
      <w:r w:rsidR="004C5ACD" w:rsidRPr="00701439">
        <w:rPr>
          <w:rFonts w:asciiTheme="minorHAnsi" w:hAnsiTheme="minorHAnsi" w:cs="Arial"/>
          <w:sz w:val="20"/>
          <w:szCs w:val="20"/>
        </w:rPr>
        <w:t>cost of risk</w:t>
      </w:r>
      <w:r w:rsidRPr="00701439">
        <w:rPr>
          <w:rFonts w:asciiTheme="minorHAnsi" w:hAnsiTheme="minorHAnsi" w:cs="Arial"/>
          <w:sz w:val="20"/>
          <w:szCs w:val="20"/>
        </w:rPr>
        <w:t xml:space="preserve"> </w:t>
      </w:r>
      <w:r w:rsidR="00CE606E" w:rsidRPr="00701439">
        <w:rPr>
          <w:rFonts w:asciiTheme="minorHAnsi" w:hAnsiTheme="minorHAnsi" w:cs="Arial"/>
          <w:sz w:val="20"/>
          <w:szCs w:val="20"/>
        </w:rPr>
        <w:t xml:space="preserve">at the end of December </w:t>
      </w:r>
      <w:r w:rsidR="00572A7E" w:rsidRPr="00701439">
        <w:rPr>
          <w:rFonts w:asciiTheme="minorHAnsi" w:hAnsiTheme="minorHAnsi" w:cs="Arial"/>
          <w:sz w:val="20"/>
          <w:szCs w:val="20"/>
        </w:rPr>
        <w:t>decreased</w:t>
      </w:r>
      <w:r w:rsidRPr="00701439">
        <w:rPr>
          <w:rFonts w:asciiTheme="minorHAnsi" w:hAnsiTheme="minorHAnsi" w:cs="Arial"/>
          <w:sz w:val="20"/>
          <w:szCs w:val="20"/>
        </w:rPr>
        <w:t xml:space="preserve"> to</w:t>
      </w:r>
      <w:r w:rsidR="00572A7E" w:rsidRPr="00701439">
        <w:rPr>
          <w:rFonts w:asciiTheme="minorHAnsi" w:hAnsiTheme="minorHAnsi" w:cs="Arial"/>
          <w:sz w:val="20"/>
          <w:szCs w:val="20"/>
        </w:rPr>
        <w:t xml:space="preserve"> </w:t>
      </w:r>
      <w:r w:rsidR="00165423" w:rsidRPr="00701439">
        <w:rPr>
          <w:rFonts w:asciiTheme="minorHAnsi" w:hAnsiTheme="minorHAnsi" w:cs="Arial"/>
          <w:sz w:val="20"/>
          <w:szCs w:val="20"/>
        </w:rPr>
        <w:t>6.</w:t>
      </w:r>
      <w:r w:rsidR="009C7831" w:rsidRPr="00701439">
        <w:rPr>
          <w:rFonts w:asciiTheme="minorHAnsi" w:hAnsiTheme="minorHAnsi" w:cs="Arial"/>
          <w:sz w:val="20"/>
          <w:szCs w:val="20"/>
        </w:rPr>
        <w:t>2</w:t>
      </w:r>
      <w:r w:rsidR="00572A7E" w:rsidRPr="00701439">
        <w:rPr>
          <w:rFonts w:asciiTheme="minorHAnsi" w:hAnsiTheme="minorHAnsi" w:cs="Arial"/>
          <w:sz w:val="20"/>
          <w:szCs w:val="20"/>
        </w:rPr>
        <w:t>% (FY’2</w:t>
      </w:r>
      <w:r w:rsidR="002235AB" w:rsidRPr="00701439">
        <w:rPr>
          <w:rFonts w:asciiTheme="minorHAnsi" w:hAnsiTheme="minorHAnsi" w:cs="Arial"/>
          <w:sz w:val="20"/>
          <w:szCs w:val="20"/>
        </w:rPr>
        <w:t>1</w:t>
      </w:r>
      <w:r w:rsidR="00572A7E" w:rsidRPr="00701439">
        <w:rPr>
          <w:rFonts w:asciiTheme="minorHAnsi" w:hAnsiTheme="minorHAnsi" w:cs="Arial"/>
          <w:sz w:val="20"/>
          <w:szCs w:val="20"/>
        </w:rPr>
        <w:t>:</w:t>
      </w:r>
      <w:r w:rsidRPr="00701439">
        <w:rPr>
          <w:rFonts w:asciiTheme="minorHAnsi" w:hAnsiTheme="minorHAnsi" w:cs="Arial"/>
          <w:sz w:val="20"/>
          <w:szCs w:val="20"/>
        </w:rPr>
        <w:t xml:space="preserve"> </w:t>
      </w:r>
      <w:r w:rsidR="009C7831" w:rsidRPr="00701439">
        <w:rPr>
          <w:rFonts w:asciiTheme="minorHAnsi" w:hAnsiTheme="minorHAnsi" w:cs="Arial"/>
          <w:sz w:val="20"/>
          <w:szCs w:val="20"/>
        </w:rPr>
        <w:t>6.6</w:t>
      </w:r>
      <w:r w:rsidRPr="00701439">
        <w:rPr>
          <w:rFonts w:asciiTheme="minorHAnsi" w:hAnsiTheme="minorHAnsi" w:cs="Arial"/>
          <w:sz w:val="20"/>
          <w:szCs w:val="20"/>
        </w:rPr>
        <w:t>%</w:t>
      </w:r>
      <w:r w:rsidR="00572A7E" w:rsidRPr="00701439">
        <w:rPr>
          <w:rFonts w:asciiTheme="minorHAnsi" w:hAnsiTheme="minorHAnsi" w:cs="Arial"/>
          <w:sz w:val="20"/>
          <w:szCs w:val="20"/>
        </w:rPr>
        <w:t>)</w:t>
      </w:r>
      <w:r w:rsidRPr="00701439">
        <w:rPr>
          <w:rFonts w:asciiTheme="minorHAnsi" w:hAnsiTheme="minorHAnsi" w:cs="Arial"/>
          <w:sz w:val="20"/>
          <w:szCs w:val="20"/>
        </w:rPr>
        <w:t xml:space="preserve"> driven by </w:t>
      </w:r>
      <w:r w:rsidR="00572A7E" w:rsidRPr="00701439">
        <w:rPr>
          <w:rFonts w:asciiTheme="minorHAnsi" w:hAnsiTheme="minorHAnsi" w:cs="Arial"/>
          <w:sz w:val="20"/>
          <w:szCs w:val="20"/>
        </w:rPr>
        <w:t>lower</w:t>
      </w:r>
      <w:r w:rsidRPr="00701439">
        <w:rPr>
          <w:rFonts w:asciiTheme="minorHAnsi" w:hAnsiTheme="minorHAnsi" w:cs="Arial"/>
          <w:sz w:val="20"/>
          <w:szCs w:val="20"/>
        </w:rPr>
        <w:t xml:space="preserve"> arrears</w:t>
      </w:r>
      <w:r w:rsidR="00572A7E" w:rsidRPr="00701439">
        <w:rPr>
          <w:rFonts w:asciiTheme="minorHAnsi" w:hAnsiTheme="minorHAnsi" w:cs="Arial"/>
          <w:sz w:val="20"/>
          <w:szCs w:val="20"/>
        </w:rPr>
        <w:t xml:space="preserve"> rates</w:t>
      </w:r>
      <w:r w:rsidRPr="00701439">
        <w:rPr>
          <w:rFonts w:asciiTheme="minorHAnsi" w:hAnsiTheme="minorHAnsi" w:cs="Arial"/>
          <w:sz w:val="20"/>
          <w:szCs w:val="20"/>
        </w:rPr>
        <w:t xml:space="preserve"> </w:t>
      </w:r>
      <w:r w:rsidR="00B8097F" w:rsidRPr="00701439">
        <w:rPr>
          <w:rFonts w:asciiTheme="minorHAnsi" w:hAnsiTheme="minorHAnsi" w:cs="Arial"/>
          <w:sz w:val="20"/>
          <w:szCs w:val="20"/>
        </w:rPr>
        <w:t>during the period reflecting the focus on attracting lower credit risk customers since 20</w:t>
      </w:r>
      <w:r w:rsidR="00262A9C" w:rsidRPr="00701439">
        <w:rPr>
          <w:rFonts w:asciiTheme="minorHAnsi" w:hAnsiTheme="minorHAnsi" w:cs="Arial"/>
          <w:sz w:val="20"/>
          <w:szCs w:val="20"/>
        </w:rPr>
        <w:t>19</w:t>
      </w:r>
      <w:r w:rsidR="00572A7E" w:rsidRPr="00701439">
        <w:rPr>
          <w:rFonts w:asciiTheme="minorHAnsi" w:hAnsiTheme="minorHAnsi" w:cs="Arial"/>
          <w:sz w:val="20"/>
          <w:szCs w:val="20"/>
        </w:rPr>
        <w:t>.</w:t>
      </w:r>
      <w:r w:rsidR="00727CCC" w:rsidRPr="00701439">
        <w:rPr>
          <w:rFonts w:asciiTheme="minorHAnsi" w:hAnsiTheme="minorHAnsi" w:cs="Arial"/>
          <w:sz w:val="20"/>
          <w:szCs w:val="20"/>
        </w:rPr>
        <w:t xml:space="preserve"> As a result, the risk</w:t>
      </w:r>
      <w:r w:rsidR="00600E19" w:rsidRPr="00701439">
        <w:rPr>
          <w:rFonts w:asciiTheme="minorHAnsi" w:hAnsiTheme="minorHAnsi" w:cs="Arial"/>
          <w:sz w:val="20"/>
          <w:szCs w:val="20"/>
        </w:rPr>
        <w:t xml:space="preserve"> </w:t>
      </w:r>
      <w:r w:rsidR="00727CCC" w:rsidRPr="00701439">
        <w:rPr>
          <w:rFonts w:asciiTheme="minorHAnsi" w:hAnsiTheme="minorHAnsi" w:cs="Arial"/>
          <w:sz w:val="20"/>
          <w:szCs w:val="20"/>
        </w:rPr>
        <w:t xml:space="preserve">adjusted margin improved to </w:t>
      </w:r>
      <w:r w:rsidR="007342CA" w:rsidRPr="00701439">
        <w:rPr>
          <w:rFonts w:asciiTheme="minorHAnsi" w:hAnsiTheme="minorHAnsi" w:cs="Arial"/>
          <w:sz w:val="20"/>
          <w:szCs w:val="20"/>
        </w:rPr>
        <w:t>1</w:t>
      </w:r>
      <w:r w:rsidR="00074A4D" w:rsidRPr="00701439">
        <w:rPr>
          <w:rFonts w:asciiTheme="minorHAnsi" w:hAnsiTheme="minorHAnsi" w:cs="Arial"/>
          <w:sz w:val="20"/>
          <w:szCs w:val="20"/>
        </w:rPr>
        <w:t>1.</w:t>
      </w:r>
      <w:r w:rsidR="007342CA" w:rsidRPr="00701439">
        <w:rPr>
          <w:rFonts w:asciiTheme="minorHAnsi" w:hAnsiTheme="minorHAnsi" w:cs="Arial"/>
          <w:sz w:val="20"/>
          <w:szCs w:val="20"/>
        </w:rPr>
        <w:t>8</w:t>
      </w:r>
      <w:r w:rsidR="00727CCC" w:rsidRPr="00701439">
        <w:rPr>
          <w:rFonts w:asciiTheme="minorHAnsi" w:hAnsiTheme="minorHAnsi" w:cs="Arial"/>
          <w:sz w:val="20"/>
          <w:szCs w:val="20"/>
        </w:rPr>
        <w:t>% (FY’2</w:t>
      </w:r>
      <w:r w:rsidR="002235AB" w:rsidRPr="00701439">
        <w:rPr>
          <w:rFonts w:asciiTheme="minorHAnsi" w:hAnsiTheme="minorHAnsi" w:cs="Arial"/>
          <w:sz w:val="20"/>
          <w:szCs w:val="20"/>
        </w:rPr>
        <w:t>1</w:t>
      </w:r>
      <w:r w:rsidR="00727CCC" w:rsidRPr="00701439">
        <w:rPr>
          <w:rFonts w:asciiTheme="minorHAnsi" w:hAnsiTheme="minorHAnsi" w:cs="Arial"/>
          <w:sz w:val="20"/>
          <w:szCs w:val="20"/>
        </w:rPr>
        <w:t xml:space="preserve">: </w:t>
      </w:r>
      <w:r w:rsidR="00B40EC3" w:rsidRPr="00701439">
        <w:rPr>
          <w:rFonts w:asciiTheme="minorHAnsi" w:hAnsiTheme="minorHAnsi" w:cs="Arial"/>
          <w:sz w:val="20"/>
          <w:szCs w:val="20"/>
        </w:rPr>
        <w:t>9.9</w:t>
      </w:r>
      <w:r w:rsidR="00727CCC" w:rsidRPr="00701439">
        <w:rPr>
          <w:rFonts w:asciiTheme="minorHAnsi" w:hAnsiTheme="minorHAnsi" w:cs="Arial"/>
          <w:sz w:val="20"/>
          <w:szCs w:val="20"/>
        </w:rPr>
        <w:t>%).</w:t>
      </w:r>
    </w:p>
    <w:p w14:paraId="1CE53561" w14:textId="41328A21" w:rsidR="0032618F" w:rsidRPr="00701439" w:rsidRDefault="007F395C" w:rsidP="00E534C5">
      <w:pPr>
        <w:numPr>
          <w:ilvl w:val="0"/>
          <w:numId w:val="4"/>
        </w:numPr>
        <w:spacing w:after="160"/>
        <w:contextualSpacing/>
        <w:jc w:val="both"/>
        <w:rPr>
          <w:rFonts w:asciiTheme="minorHAnsi" w:hAnsiTheme="minorHAnsi" w:cs="Arial"/>
          <w:sz w:val="20"/>
          <w:szCs w:val="20"/>
        </w:rPr>
      </w:pPr>
      <w:r w:rsidRPr="00701439">
        <w:rPr>
          <w:rFonts w:asciiTheme="minorHAnsi" w:hAnsiTheme="minorHAnsi" w:cs="Arial"/>
          <w:sz w:val="20"/>
          <w:szCs w:val="20"/>
        </w:rPr>
        <w:t>During 2023, the vehicle finance business will focus on growing its addressable market by introducing new products and services for customers including new asset classes and contract types</w:t>
      </w:r>
      <w:r w:rsidR="00F90C90" w:rsidRPr="00701439">
        <w:rPr>
          <w:rFonts w:asciiTheme="minorHAnsi" w:hAnsiTheme="minorHAnsi" w:cs="Arial"/>
          <w:sz w:val="20"/>
          <w:szCs w:val="20"/>
        </w:rPr>
        <w:t>.</w:t>
      </w:r>
      <w:r w:rsidRPr="00701439">
        <w:rPr>
          <w:rFonts w:asciiTheme="minorHAnsi" w:hAnsiTheme="minorHAnsi" w:cs="Arial"/>
          <w:sz w:val="20"/>
          <w:szCs w:val="20"/>
        </w:rPr>
        <w:t xml:space="preserve"> </w:t>
      </w:r>
    </w:p>
    <w:p w14:paraId="436F314D" w14:textId="4B77B0F3" w:rsidR="00F01EC8" w:rsidRPr="00701439" w:rsidRDefault="005F5CB5" w:rsidP="00CE3A2E">
      <w:pPr>
        <w:pStyle w:val="NoSpacing"/>
        <w:jc w:val="both"/>
        <w:rPr>
          <w:rStyle w:val="Strong"/>
          <w:color w:val="4747FF"/>
        </w:rPr>
      </w:pPr>
      <w:r w:rsidRPr="00701439">
        <w:rPr>
          <w:rStyle w:val="Strong"/>
          <w:color w:val="4747FF"/>
        </w:rPr>
        <w:t>P</w:t>
      </w:r>
      <w:r w:rsidR="001F7006" w:rsidRPr="00701439">
        <w:rPr>
          <w:rStyle w:val="Strong"/>
          <w:color w:val="4747FF"/>
        </w:rPr>
        <w:t xml:space="preserve">ersonal loans </w:t>
      </w:r>
      <w:r w:rsidR="005E0421" w:rsidRPr="00701439">
        <w:rPr>
          <w:rStyle w:val="Strong"/>
          <w:color w:val="4747FF"/>
        </w:rPr>
        <w:t>gr</w:t>
      </w:r>
      <w:r w:rsidR="00852D76" w:rsidRPr="00701439">
        <w:rPr>
          <w:rStyle w:val="Strong"/>
          <w:color w:val="4747FF"/>
        </w:rPr>
        <w:t>e</w:t>
      </w:r>
      <w:r w:rsidR="005E0421" w:rsidRPr="00701439">
        <w:rPr>
          <w:rStyle w:val="Strong"/>
          <w:color w:val="4747FF"/>
        </w:rPr>
        <w:t xml:space="preserve">w </w:t>
      </w:r>
      <w:r w:rsidR="00852D76" w:rsidRPr="00701439">
        <w:rPr>
          <w:rStyle w:val="Strong"/>
          <w:color w:val="4747FF"/>
        </w:rPr>
        <w:t xml:space="preserve">strongly </w:t>
      </w:r>
      <w:r w:rsidR="005E0421" w:rsidRPr="00701439">
        <w:rPr>
          <w:rStyle w:val="Strong"/>
          <w:color w:val="4747FF"/>
        </w:rPr>
        <w:t>in FY’22</w:t>
      </w:r>
      <w:r w:rsidR="00E93CBA" w:rsidRPr="00701439">
        <w:rPr>
          <w:rStyle w:val="Strong"/>
          <w:color w:val="4747FF"/>
        </w:rPr>
        <w:t xml:space="preserve"> with receivables and customer growth </w:t>
      </w:r>
      <w:r w:rsidR="004D24DB" w:rsidRPr="00701439">
        <w:rPr>
          <w:rStyle w:val="Strong"/>
          <w:color w:val="4747FF"/>
        </w:rPr>
        <w:t xml:space="preserve">of </w:t>
      </w:r>
      <w:r w:rsidR="00AC5CBD" w:rsidRPr="00701439">
        <w:rPr>
          <w:rStyle w:val="Strong"/>
          <w:color w:val="4747FF"/>
        </w:rPr>
        <w:t>170</w:t>
      </w:r>
      <w:r w:rsidR="004D24DB" w:rsidRPr="00701439">
        <w:rPr>
          <w:rStyle w:val="Strong"/>
          <w:color w:val="4747FF"/>
        </w:rPr>
        <w:t xml:space="preserve">% and </w:t>
      </w:r>
      <w:r w:rsidR="00AC5CBD" w:rsidRPr="00701439">
        <w:rPr>
          <w:rStyle w:val="Strong"/>
          <w:color w:val="4747FF"/>
        </w:rPr>
        <w:t>70</w:t>
      </w:r>
      <w:r w:rsidR="004D24DB" w:rsidRPr="00701439">
        <w:rPr>
          <w:rStyle w:val="Strong"/>
          <w:color w:val="4747FF"/>
        </w:rPr>
        <w:t xml:space="preserve">% </w:t>
      </w:r>
      <w:proofErr w:type="gramStart"/>
      <w:r w:rsidR="00852D76" w:rsidRPr="00701439">
        <w:rPr>
          <w:rStyle w:val="Strong"/>
          <w:color w:val="4747FF"/>
        </w:rPr>
        <w:t>respectively</w:t>
      </w:r>
      <w:proofErr w:type="gramEnd"/>
    </w:p>
    <w:p w14:paraId="72CF43D2" w14:textId="77777777" w:rsidR="0001424D" w:rsidRPr="00701439" w:rsidRDefault="0001424D" w:rsidP="00CE3A2E">
      <w:pPr>
        <w:pStyle w:val="NoSpacing"/>
        <w:jc w:val="both"/>
        <w:rPr>
          <w:rStyle w:val="Strong"/>
          <w:bCs w:val="0"/>
          <w:color w:val="4747FF"/>
        </w:rPr>
      </w:pPr>
    </w:p>
    <w:p w14:paraId="749EE3C3" w14:textId="03E16D13" w:rsidR="00D861E6" w:rsidRPr="00701439" w:rsidRDefault="00D861E6" w:rsidP="00E534C5">
      <w:pPr>
        <w:pStyle w:val="ListParagraph"/>
        <w:numPr>
          <w:ilvl w:val="0"/>
          <w:numId w:val="23"/>
        </w:numPr>
        <w:spacing w:after="160"/>
        <w:jc w:val="both"/>
        <w:rPr>
          <w:rFonts w:asciiTheme="minorHAnsi" w:hAnsiTheme="minorHAnsi" w:cs="Arial"/>
          <w:sz w:val="20"/>
          <w:szCs w:val="20"/>
        </w:rPr>
      </w:pPr>
      <w:r w:rsidRPr="00701439">
        <w:rPr>
          <w:rFonts w:asciiTheme="minorHAnsi" w:hAnsiTheme="minorHAnsi" w:cs="Arial"/>
          <w:sz w:val="20"/>
          <w:szCs w:val="20"/>
        </w:rPr>
        <w:t xml:space="preserve">2022 </w:t>
      </w:r>
      <w:r w:rsidR="00581342" w:rsidRPr="00701439">
        <w:rPr>
          <w:rFonts w:asciiTheme="minorHAnsi" w:hAnsiTheme="minorHAnsi" w:cs="Arial"/>
          <w:sz w:val="20"/>
          <w:szCs w:val="20"/>
        </w:rPr>
        <w:t xml:space="preserve">was the </w:t>
      </w:r>
      <w:r w:rsidR="00715068" w:rsidRPr="00701439">
        <w:rPr>
          <w:rFonts w:asciiTheme="minorHAnsi" w:hAnsiTheme="minorHAnsi" w:cs="Arial"/>
          <w:sz w:val="20"/>
          <w:szCs w:val="20"/>
        </w:rPr>
        <w:t xml:space="preserve">first full year of operations for the </w:t>
      </w:r>
      <w:r w:rsidR="00581342" w:rsidRPr="00701439">
        <w:rPr>
          <w:rFonts w:asciiTheme="minorHAnsi" w:hAnsiTheme="minorHAnsi" w:cs="Arial"/>
          <w:sz w:val="20"/>
          <w:szCs w:val="20"/>
        </w:rPr>
        <w:t xml:space="preserve">personal loans business, following the successful launch of an initial pilot phase </w:t>
      </w:r>
      <w:r w:rsidR="00E729A0" w:rsidRPr="00701439">
        <w:rPr>
          <w:rFonts w:asciiTheme="minorHAnsi" w:hAnsiTheme="minorHAnsi" w:cs="Arial"/>
          <w:sz w:val="20"/>
          <w:szCs w:val="20"/>
        </w:rPr>
        <w:t>in H</w:t>
      </w:r>
      <w:r w:rsidR="009010CB" w:rsidRPr="00701439">
        <w:rPr>
          <w:rFonts w:asciiTheme="minorHAnsi" w:hAnsiTheme="minorHAnsi" w:cs="Arial"/>
          <w:sz w:val="20"/>
          <w:szCs w:val="20"/>
        </w:rPr>
        <w:t>2</w:t>
      </w:r>
      <w:r w:rsidR="00E729A0" w:rsidRPr="00701439">
        <w:rPr>
          <w:rFonts w:asciiTheme="minorHAnsi" w:hAnsiTheme="minorHAnsi" w:cs="Arial"/>
          <w:sz w:val="20"/>
          <w:szCs w:val="20"/>
        </w:rPr>
        <w:t>’21</w:t>
      </w:r>
      <w:r w:rsidR="00F90C90" w:rsidRPr="00701439">
        <w:rPr>
          <w:rFonts w:asciiTheme="minorHAnsi" w:hAnsiTheme="minorHAnsi" w:cs="Arial"/>
          <w:sz w:val="20"/>
          <w:szCs w:val="20"/>
        </w:rPr>
        <w:t>.</w:t>
      </w:r>
      <w:r w:rsidR="00E729A0" w:rsidRPr="00701439">
        <w:rPr>
          <w:rFonts w:asciiTheme="minorHAnsi" w:hAnsiTheme="minorHAnsi" w:cs="Arial"/>
          <w:sz w:val="20"/>
          <w:szCs w:val="20"/>
        </w:rPr>
        <w:t xml:space="preserve"> </w:t>
      </w:r>
    </w:p>
    <w:p w14:paraId="24EFF0D1" w14:textId="1E9FE704" w:rsidR="009010CB" w:rsidRPr="00701439" w:rsidRDefault="009010CB" w:rsidP="009010CB">
      <w:pPr>
        <w:pStyle w:val="ListParagraph"/>
        <w:numPr>
          <w:ilvl w:val="0"/>
          <w:numId w:val="23"/>
        </w:numPr>
        <w:spacing w:after="160"/>
        <w:jc w:val="both"/>
        <w:rPr>
          <w:rFonts w:asciiTheme="minorHAnsi" w:hAnsiTheme="minorHAnsi" w:cs="Arial"/>
          <w:sz w:val="20"/>
          <w:szCs w:val="20"/>
        </w:rPr>
      </w:pPr>
      <w:r w:rsidRPr="00701439">
        <w:rPr>
          <w:rFonts w:asciiTheme="minorHAnsi" w:hAnsiTheme="minorHAnsi" w:cs="Arial"/>
          <w:sz w:val="20"/>
          <w:szCs w:val="20"/>
        </w:rPr>
        <w:t>The Group’s personal loans business delivered a loss before tax of £</w:t>
      </w:r>
      <w:r w:rsidR="00192073" w:rsidRPr="00701439">
        <w:rPr>
          <w:rFonts w:asciiTheme="minorHAnsi" w:hAnsiTheme="minorHAnsi" w:cs="Arial"/>
          <w:sz w:val="20"/>
          <w:szCs w:val="20"/>
        </w:rPr>
        <w:t>15.7</w:t>
      </w:r>
      <w:r w:rsidRPr="00701439">
        <w:rPr>
          <w:rFonts w:asciiTheme="minorHAnsi" w:hAnsiTheme="minorHAnsi" w:cs="Arial"/>
          <w:sz w:val="20"/>
          <w:szCs w:val="20"/>
        </w:rPr>
        <w:t>m for the period (FY’21</w:t>
      </w:r>
      <w:r w:rsidR="00AF2CE3" w:rsidRPr="00701439">
        <w:rPr>
          <w:rFonts w:asciiTheme="minorHAnsi" w:hAnsiTheme="minorHAnsi" w:cs="Arial"/>
          <w:sz w:val="20"/>
          <w:szCs w:val="20"/>
        </w:rPr>
        <w:t xml:space="preserve"> loss before tax</w:t>
      </w:r>
      <w:r w:rsidRPr="00701439">
        <w:rPr>
          <w:rFonts w:asciiTheme="minorHAnsi" w:hAnsiTheme="minorHAnsi" w:cs="Arial"/>
          <w:sz w:val="20"/>
          <w:szCs w:val="20"/>
        </w:rPr>
        <w:t>: £</w:t>
      </w:r>
      <w:r w:rsidR="00192073" w:rsidRPr="00701439">
        <w:rPr>
          <w:rFonts w:asciiTheme="minorHAnsi" w:hAnsiTheme="minorHAnsi" w:cs="Arial"/>
          <w:sz w:val="20"/>
          <w:szCs w:val="20"/>
        </w:rPr>
        <w:t>8.7</w:t>
      </w:r>
      <w:r w:rsidRPr="00701439">
        <w:rPr>
          <w:rFonts w:asciiTheme="minorHAnsi" w:hAnsiTheme="minorHAnsi" w:cs="Arial"/>
          <w:sz w:val="20"/>
          <w:szCs w:val="20"/>
        </w:rPr>
        <w:t>m) reflecting growth in the business year-on-year and continued investment in the IT platform supporting it, known as Gateway</w:t>
      </w:r>
      <w:r w:rsidR="00F90C90" w:rsidRPr="00701439">
        <w:rPr>
          <w:rFonts w:asciiTheme="minorHAnsi" w:hAnsiTheme="minorHAnsi" w:cs="Arial"/>
          <w:sz w:val="20"/>
          <w:szCs w:val="20"/>
        </w:rPr>
        <w:t>.</w:t>
      </w:r>
      <w:r w:rsidRPr="00701439">
        <w:rPr>
          <w:rFonts w:asciiTheme="minorHAnsi" w:hAnsiTheme="minorHAnsi" w:cs="Arial"/>
          <w:sz w:val="20"/>
          <w:szCs w:val="20"/>
        </w:rPr>
        <w:t xml:space="preserve"> </w:t>
      </w:r>
    </w:p>
    <w:p w14:paraId="19954CBB" w14:textId="51320728" w:rsidR="00655B36" w:rsidRPr="00701439" w:rsidRDefault="00655B36" w:rsidP="00E534C5">
      <w:pPr>
        <w:pStyle w:val="ListParagraph"/>
        <w:numPr>
          <w:ilvl w:val="0"/>
          <w:numId w:val="23"/>
        </w:numPr>
        <w:spacing w:after="160"/>
        <w:jc w:val="both"/>
        <w:rPr>
          <w:rFonts w:asciiTheme="minorHAnsi" w:hAnsiTheme="minorHAnsi" w:cs="Arial"/>
          <w:sz w:val="20"/>
          <w:szCs w:val="20"/>
        </w:rPr>
      </w:pPr>
      <w:r w:rsidRPr="00701439">
        <w:rPr>
          <w:rFonts w:asciiTheme="minorHAnsi" w:hAnsiTheme="minorHAnsi" w:cs="Arial"/>
          <w:sz w:val="20"/>
          <w:szCs w:val="20"/>
        </w:rPr>
        <w:t>A</w:t>
      </w:r>
      <w:r w:rsidR="00E131DE" w:rsidRPr="00701439">
        <w:rPr>
          <w:rFonts w:asciiTheme="minorHAnsi" w:hAnsiTheme="minorHAnsi" w:cs="Arial"/>
          <w:sz w:val="20"/>
          <w:szCs w:val="20"/>
        </w:rPr>
        <w:t>s</w:t>
      </w:r>
      <w:r w:rsidRPr="00701439">
        <w:rPr>
          <w:rFonts w:asciiTheme="minorHAnsi" w:hAnsiTheme="minorHAnsi" w:cs="Arial"/>
          <w:sz w:val="20"/>
          <w:szCs w:val="20"/>
        </w:rPr>
        <w:t xml:space="preserve"> of 31 December 2022, the business had 34k </w:t>
      </w:r>
      <w:r w:rsidR="004E2E29" w:rsidRPr="00701439">
        <w:rPr>
          <w:rFonts w:asciiTheme="minorHAnsi" w:hAnsiTheme="minorHAnsi" w:cs="Arial"/>
          <w:sz w:val="20"/>
          <w:szCs w:val="20"/>
        </w:rPr>
        <w:t>(</w:t>
      </w:r>
      <w:r w:rsidR="00BC2667" w:rsidRPr="00701439">
        <w:rPr>
          <w:rFonts w:asciiTheme="minorHAnsi" w:hAnsiTheme="minorHAnsi" w:cs="Arial"/>
          <w:sz w:val="20"/>
          <w:szCs w:val="20"/>
        </w:rPr>
        <w:t>FY’21: 20k)</w:t>
      </w:r>
      <w:r w:rsidRPr="00701439">
        <w:rPr>
          <w:rFonts w:asciiTheme="minorHAnsi" w:hAnsiTheme="minorHAnsi" w:cs="Arial"/>
          <w:sz w:val="20"/>
          <w:szCs w:val="20"/>
        </w:rPr>
        <w:t xml:space="preserve"> customers and total receivables </w:t>
      </w:r>
      <w:r w:rsidR="00E131DE" w:rsidRPr="00701439">
        <w:rPr>
          <w:rFonts w:asciiTheme="minorHAnsi" w:hAnsiTheme="minorHAnsi" w:cs="Arial"/>
          <w:sz w:val="20"/>
          <w:szCs w:val="20"/>
        </w:rPr>
        <w:t>of approximately £7</w:t>
      </w:r>
      <w:r w:rsidR="00A91C38" w:rsidRPr="00701439">
        <w:rPr>
          <w:rFonts w:asciiTheme="minorHAnsi" w:hAnsiTheme="minorHAnsi" w:cs="Arial"/>
          <w:sz w:val="20"/>
          <w:szCs w:val="20"/>
        </w:rPr>
        <w:t>6</w:t>
      </w:r>
      <w:r w:rsidR="00E131DE" w:rsidRPr="00701439">
        <w:rPr>
          <w:rFonts w:asciiTheme="minorHAnsi" w:hAnsiTheme="minorHAnsi" w:cs="Arial"/>
          <w:sz w:val="20"/>
          <w:szCs w:val="20"/>
        </w:rPr>
        <w:t>m (FY’21: £</w:t>
      </w:r>
      <w:r w:rsidR="00A91C38" w:rsidRPr="00701439">
        <w:rPr>
          <w:rFonts w:asciiTheme="minorHAnsi" w:hAnsiTheme="minorHAnsi" w:cs="Arial"/>
          <w:sz w:val="20"/>
          <w:szCs w:val="20"/>
        </w:rPr>
        <w:t>28</w:t>
      </w:r>
      <w:r w:rsidR="00E131DE" w:rsidRPr="00701439">
        <w:rPr>
          <w:rFonts w:asciiTheme="minorHAnsi" w:hAnsiTheme="minorHAnsi" w:cs="Arial"/>
          <w:sz w:val="20"/>
          <w:szCs w:val="20"/>
        </w:rPr>
        <w:t>m)</w:t>
      </w:r>
      <w:r w:rsidR="00F90C90" w:rsidRPr="00701439">
        <w:rPr>
          <w:rFonts w:asciiTheme="minorHAnsi" w:hAnsiTheme="minorHAnsi" w:cs="Arial"/>
          <w:sz w:val="20"/>
          <w:szCs w:val="20"/>
        </w:rPr>
        <w:t>.</w:t>
      </w:r>
      <w:r w:rsidR="00E131DE" w:rsidRPr="00701439">
        <w:rPr>
          <w:rFonts w:asciiTheme="minorHAnsi" w:hAnsiTheme="minorHAnsi" w:cs="Arial"/>
          <w:sz w:val="20"/>
          <w:szCs w:val="20"/>
        </w:rPr>
        <w:t xml:space="preserve"> </w:t>
      </w:r>
    </w:p>
    <w:p w14:paraId="16EC8B2B" w14:textId="6202E304" w:rsidR="008D40A8" w:rsidRPr="00701439" w:rsidRDefault="00D45A14">
      <w:pPr>
        <w:pStyle w:val="ListParagraph"/>
        <w:numPr>
          <w:ilvl w:val="0"/>
          <w:numId w:val="23"/>
        </w:numPr>
        <w:spacing w:after="160"/>
        <w:jc w:val="both"/>
        <w:rPr>
          <w:bCs/>
          <w:sz w:val="20"/>
          <w:szCs w:val="20"/>
        </w:rPr>
      </w:pPr>
      <w:bookmarkStart w:id="3" w:name="_Hlk95474937"/>
      <w:r w:rsidRPr="00701439">
        <w:rPr>
          <w:rFonts w:asciiTheme="minorHAnsi" w:hAnsiTheme="minorHAnsi" w:cs="Arial"/>
          <w:sz w:val="20"/>
          <w:szCs w:val="20"/>
        </w:rPr>
        <w:t>The new</w:t>
      </w:r>
      <w:r w:rsidR="00616C70" w:rsidRPr="00701439">
        <w:rPr>
          <w:rFonts w:asciiTheme="minorHAnsi" w:hAnsiTheme="minorHAnsi" w:cs="Arial"/>
          <w:sz w:val="20"/>
          <w:szCs w:val="20"/>
        </w:rPr>
        <w:t xml:space="preserve"> IT infrastructure platform</w:t>
      </w:r>
      <w:r w:rsidR="00EE6969" w:rsidRPr="00701439">
        <w:rPr>
          <w:rFonts w:asciiTheme="minorHAnsi" w:hAnsiTheme="minorHAnsi" w:cs="Arial"/>
          <w:sz w:val="20"/>
          <w:szCs w:val="20"/>
        </w:rPr>
        <w:t xml:space="preserve"> </w:t>
      </w:r>
      <w:r w:rsidRPr="00701439">
        <w:rPr>
          <w:rFonts w:asciiTheme="minorHAnsi" w:hAnsiTheme="minorHAnsi" w:cs="Arial"/>
          <w:sz w:val="20"/>
          <w:szCs w:val="20"/>
        </w:rPr>
        <w:t>will continue</w:t>
      </w:r>
      <w:r w:rsidR="00616C70" w:rsidRPr="00701439">
        <w:rPr>
          <w:rFonts w:asciiTheme="minorHAnsi" w:hAnsiTheme="minorHAnsi" w:cs="Arial"/>
          <w:sz w:val="20"/>
          <w:szCs w:val="20"/>
        </w:rPr>
        <w:t xml:space="preserve"> to support the personal loan </w:t>
      </w:r>
      <w:r w:rsidRPr="00701439">
        <w:rPr>
          <w:rFonts w:asciiTheme="minorHAnsi" w:hAnsiTheme="minorHAnsi" w:cs="Arial"/>
          <w:sz w:val="20"/>
          <w:szCs w:val="20"/>
        </w:rPr>
        <w:t>product and</w:t>
      </w:r>
      <w:r w:rsidR="00616C70" w:rsidRPr="00701439">
        <w:rPr>
          <w:rFonts w:asciiTheme="minorHAnsi" w:hAnsiTheme="minorHAnsi" w:cs="Arial"/>
          <w:sz w:val="20"/>
          <w:szCs w:val="20"/>
        </w:rPr>
        <w:t xml:space="preserve"> is capable of housing multiple products over time.</w:t>
      </w:r>
      <w:r w:rsidRPr="00701439">
        <w:rPr>
          <w:rFonts w:asciiTheme="minorHAnsi" w:hAnsiTheme="minorHAnsi" w:cs="Arial"/>
          <w:sz w:val="20"/>
          <w:szCs w:val="20"/>
        </w:rPr>
        <w:t xml:space="preserve"> I</w:t>
      </w:r>
      <w:r w:rsidR="00616C70" w:rsidRPr="00701439">
        <w:rPr>
          <w:rFonts w:asciiTheme="minorHAnsi" w:hAnsiTheme="minorHAnsi" w:cs="Arial"/>
          <w:sz w:val="20"/>
          <w:szCs w:val="20"/>
        </w:rPr>
        <w:t>t will provide customers with a single, holistic view</w:t>
      </w:r>
      <w:r w:rsidR="00241F0C" w:rsidRPr="00701439">
        <w:rPr>
          <w:rFonts w:asciiTheme="minorHAnsi" w:hAnsiTheme="minorHAnsi" w:cs="Arial"/>
          <w:sz w:val="20"/>
          <w:szCs w:val="20"/>
        </w:rPr>
        <w:t xml:space="preserve"> on its platform</w:t>
      </w:r>
      <w:r w:rsidR="00616C70" w:rsidRPr="00701439">
        <w:rPr>
          <w:rFonts w:asciiTheme="minorHAnsi" w:hAnsiTheme="minorHAnsi" w:cs="Arial"/>
          <w:sz w:val="20"/>
          <w:szCs w:val="20"/>
        </w:rPr>
        <w:t xml:space="preserve"> of </w:t>
      </w:r>
      <w:r w:rsidRPr="00701439">
        <w:rPr>
          <w:rFonts w:asciiTheme="minorHAnsi" w:hAnsiTheme="minorHAnsi" w:cs="Arial"/>
          <w:sz w:val="20"/>
          <w:szCs w:val="20"/>
        </w:rPr>
        <w:t>all</w:t>
      </w:r>
      <w:r w:rsidR="00616C70" w:rsidRPr="00701439">
        <w:rPr>
          <w:rFonts w:asciiTheme="minorHAnsi" w:hAnsiTheme="minorHAnsi" w:cs="Arial"/>
          <w:sz w:val="20"/>
          <w:szCs w:val="20"/>
        </w:rPr>
        <w:t xml:space="preserve"> </w:t>
      </w:r>
      <w:r w:rsidR="008463D1" w:rsidRPr="00701439">
        <w:rPr>
          <w:rFonts w:asciiTheme="minorHAnsi" w:hAnsiTheme="minorHAnsi" w:cs="Arial"/>
          <w:sz w:val="20"/>
          <w:szCs w:val="20"/>
        </w:rPr>
        <w:t xml:space="preserve">the Group’s </w:t>
      </w:r>
      <w:r w:rsidR="00616C70" w:rsidRPr="00701439">
        <w:rPr>
          <w:rFonts w:asciiTheme="minorHAnsi" w:hAnsiTheme="minorHAnsi" w:cs="Arial"/>
          <w:sz w:val="20"/>
          <w:szCs w:val="20"/>
        </w:rPr>
        <w:t>product offerings</w:t>
      </w:r>
      <w:r w:rsidRPr="00701439">
        <w:rPr>
          <w:rFonts w:asciiTheme="minorHAnsi" w:hAnsiTheme="minorHAnsi" w:cs="Arial"/>
          <w:sz w:val="20"/>
          <w:szCs w:val="20"/>
        </w:rPr>
        <w:t xml:space="preserve"> in </w:t>
      </w:r>
      <w:r w:rsidR="002F6D72" w:rsidRPr="00701439">
        <w:rPr>
          <w:rFonts w:asciiTheme="minorHAnsi" w:hAnsiTheme="minorHAnsi" w:cs="Arial"/>
          <w:sz w:val="20"/>
          <w:szCs w:val="20"/>
        </w:rPr>
        <w:t xml:space="preserve">the </w:t>
      </w:r>
      <w:r w:rsidRPr="00701439">
        <w:rPr>
          <w:rFonts w:asciiTheme="minorHAnsi" w:hAnsiTheme="minorHAnsi" w:cs="Arial"/>
          <w:sz w:val="20"/>
          <w:szCs w:val="20"/>
        </w:rPr>
        <w:t>future</w:t>
      </w:r>
      <w:r w:rsidR="00616C70" w:rsidRPr="00701439">
        <w:rPr>
          <w:rFonts w:asciiTheme="minorHAnsi" w:hAnsiTheme="minorHAnsi" w:cs="Arial"/>
          <w:sz w:val="20"/>
          <w:szCs w:val="20"/>
        </w:rPr>
        <w:t xml:space="preserve">. </w:t>
      </w:r>
    </w:p>
    <w:p w14:paraId="590B81AA" w14:textId="43868A9C" w:rsidR="00621DA7" w:rsidRPr="00701439" w:rsidRDefault="008D40A8" w:rsidP="008D40A8">
      <w:pPr>
        <w:pStyle w:val="ListParagraph"/>
        <w:numPr>
          <w:ilvl w:val="0"/>
          <w:numId w:val="23"/>
        </w:numPr>
        <w:spacing w:after="160"/>
        <w:jc w:val="both"/>
        <w:rPr>
          <w:rStyle w:val="Strong"/>
          <w:rFonts w:asciiTheme="minorHAnsi" w:hAnsiTheme="minorHAnsi" w:cstheme="minorHAnsi"/>
          <w:b w:val="0"/>
          <w:sz w:val="20"/>
          <w:szCs w:val="20"/>
        </w:rPr>
      </w:pPr>
      <w:r w:rsidRPr="00701439">
        <w:rPr>
          <w:rStyle w:val="Strong"/>
          <w:rFonts w:asciiTheme="minorHAnsi" w:hAnsiTheme="minorHAnsi" w:cstheme="minorHAnsi"/>
          <w:b w:val="0"/>
          <w:sz w:val="20"/>
          <w:szCs w:val="20"/>
        </w:rPr>
        <w:t xml:space="preserve">During 2023, </w:t>
      </w:r>
      <w:r w:rsidR="001F51E1" w:rsidRPr="00701439">
        <w:rPr>
          <w:rStyle w:val="Strong"/>
          <w:rFonts w:asciiTheme="minorHAnsi" w:hAnsiTheme="minorHAnsi" w:cstheme="minorHAnsi"/>
          <w:b w:val="0"/>
          <w:sz w:val="20"/>
          <w:szCs w:val="20"/>
        </w:rPr>
        <w:t xml:space="preserve">the personal loans business will focus on </w:t>
      </w:r>
      <w:r w:rsidR="00776B69" w:rsidRPr="00701439">
        <w:rPr>
          <w:rStyle w:val="Strong"/>
          <w:rFonts w:asciiTheme="minorHAnsi" w:hAnsiTheme="minorHAnsi" w:cstheme="minorHAnsi"/>
          <w:b w:val="0"/>
          <w:sz w:val="20"/>
          <w:szCs w:val="20"/>
        </w:rPr>
        <w:t>continuing the migration of its loans offering on</w:t>
      </w:r>
      <w:r w:rsidR="006A61F6" w:rsidRPr="00701439">
        <w:rPr>
          <w:rStyle w:val="Strong"/>
          <w:rFonts w:asciiTheme="minorHAnsi" w:hAnsiTheme="minorHAnsi" w:cstheme="minorHAnsi"/>
          <w:b w:val="0"/>
          <w:sz w:val="20"/>
          <w:szCs w:val="20"/>
        </w:rPr>
        <w:t>to</w:t>
      </w:r>
      <w:r w:rsidR="00776B69" w:rsidRPr="00701439">
        <w:rPr>
          <w:rStyle w:val="Strong"/>
          <w:rFonts w:asciiTheme="minorHAnsi" w:hAnsiTheme="minorHAnsi" w:cstheme="minorHAnsi"/>
          <w:b w:val="0"/>
          <w:sz w:val="20"/>
          <w:szCs w:val="20"/>
        </w:rPr>
        <w:t xml:space="preserve"> the new Gateway platform, </w:t>
      </w:r>
      <w:r w:rsidR="0001422F" w:rsidRPr="00701439">
        <w:rPr>
          <w:rStyle w:val="Strong"/>
          <w:rFonts w:asciiTheme="minorHAnsi" w:hAnsiTheme="minorHAnsi" w:cstheme="minorHAnsi"/>
          <w:b w:val="0"/>
          <w:sz w:val="20"/>
          <w:szCs w:val="20"/>
        </w:rPr>
        <w:t xml:space="preserve">exploring new partnership </w:t>
      </w:r>
      <w:proofErr w:type="gramStart"/>
      <w:r w:rsidR="00EA2161" w:rsidRPr="00701439">
        <w:rPr>
          <w:rStyle w:val="Strong"/>
          <w:rFonts w:asciiTheme="minorHAnsi" w:hAnsiTheme="minorHAnsi" w:cstheme="minorHAnsi"/>
          <w:b w:val="0"/>
          <w:sz w:val="20"/>
          <w:szCs w:val="20"/>
        </w:rPr>
        <w:t>agreements</w:t>
      </w:r>
      <w:proofErr w:type="gramEnd"/>
      <w:r w:rsidR="0001422F" w:rsidRPr="00701439">
        <w:rPr>
          <w:rStyle w:val="Strong"/>
          <w:rFonts w:asciiTheme="minorHAnsi" w:hAnsiTheme="minorHAnsi" w:cstheme="minorHAnsi"/>
          <w:b w:val="0"/>
          <w:sz w:val="20"/>
          <w:szCs w:val="20"/>
        </w:rPr>
        <w:t xml:space="preserve"> and </w:t>
      </w:r>
      <w:r w:rsidR="00EA2161" w:rsidRPr="00701439">
        <w:rPr>
          <w:rStyle w:val="Strong"/>
          <w:rFonts w:asciiTheme="minorHAnsi" w:hAnsiTheme="minorHAnsi" w:cstheme="minorHAnsi"/>
          <w:b w:val="0"/>
          <w:sz w:val="20"/>
          <w:szCs w:val="20"/>
        </w:rPr>
        <w:t>assessing opportunities to evolve its pricing and product proposition</w:t>
      </w:r>
      <w:r w:rsidR="004F60DC" w:rsidRPr="00701439">
        <w:rPr>
          <w:rStyle w:val="Strong"/>
          <w:rFonts w:asciiTheme="minorHAnsi" w:hAnsiTheme="minorHAnsi" w:cstheme="minorHAnsi"/>
          <w:b w:val="0"/>
          <w:sz w:val="20"/>
          <w:szCs w:val="20"/>
        </w:rPr>
        <w:t>.</w:t>
      </w:r>
    </w:p>
    <w:p w14:paraId="0DF88A85" w14:textId="2B36B7F5" w:rsidR="00811CA7" w:rsidRPr="00701439" w:rsidRDefault="00811CA7" w:rsidP="00811CA7">
      <w:pPr>
        <w:spacing w:after="160"/>
        <w:jc w:val="both"/>
        <w:rPr>
          <w:rFonts w:asciiTheme="minorHAnsi" w:hAnsiTheme="minorHAnsi" w:cs="Arial"/>
          <w:b/>
          <w:bCs/>
          <w:color w:val="4747FF"/>
          <w:sz w:val="22"/>
          <w:szCs w:val="22"/>
        </w:rPr>
      </w:pPr>
      <w:r w:rsidRPr="00701439">
        <w:rPr>
          <w:rFonts w:asciiTheme="minorHAnsi" w:hAnsiTheme="minorHAnsi" w:cs="Arial"/>
          <w:b/>
          <w:bCs/>
          <w:color w:val="4747FF"/>
          <w:sz w:val="22"/>
          <w:szCs w:val="22"/>
        </w:rPr>
        <w:t>Second</w:t>
      </w:r>
      <w:r w:rsidR="00104D76" w:rsidRPr="00701439">
        <w:rPr>
          <w:rFonts w:asciiTheme="minorHAnsi" w:hAnsiTheme="minorHAnsi" w:cs="Arial"/>
          <w:b/>
          <w:bCs/>
          <w:color w:val="4747FF"/>
          <w:sz w:val="22"/>
          <w:szCs w:val="22"/>
        </w:rPr>
        <w:t xml:space="preserve"> </w:t>
      </w:r>
      <w:r w:rsidRPr="00701439">
        <w:rPr>
          <w:rFonts w:asciiTheme="minorHAnsi" w:hAnsiTheme="minorHAnsi" w:cs="Arial"/>
          <w:b/>
          <w:bCs/>
          <w:color w:val="4747FF"/>
          <w:sz w:val="22"/>
          <w:szCs w:val="22"/>
        </w:rPr>
        <w:t>charge mortgage pilot</w:t>
      </w:r>
      <w:r w:rsidR="006320CE" w:rsidRPr="00701439">
        <w:rPr>
          <w:rFonts w:asciiTheme="minorHAnsi" w:hAnsiTheme="minorHAnsi" w:cs="Arial"/>
          <w:b/>
          <w:bCs/>
          <w:color w:val="4747FF"/>
          <w:sz w:val="22"/>
          <w:szCs w:val="22"/>
        </w:rPr>
        <w:t xml:space="preserve"> </w:t>
      </w:r>
      <w:r w:rsidRPr="00701439">
        <w:rPr>
          <w:rFonts w:asciiTheme="minorHAnsi" w:hAnsiTheme="minorHAnsi" w:cs="Arial"/>
          <w:b/>
          <w:bCs/>
          <w:color w:val="4747FF"/>
          <w:sz w:val="22"/>
          <w:szCs w:val="22"/>
        </w:rPr>
        <w:t xml:space="preserve">phase </w:t>
      </w:r>
      <w:r w:rsidR="006F4312" w:rsidRPr="00701439">
        <w:rPr>
          <w:rFonts w:asciiTheme="minorHAnsi" w:hAnsiTheme="minorHAnsi" w:cs="Arial"/>
          <w:b/>
          <w:bCs/>
          <w:color w:val="4747FF"/>
          <w:sz w:val="22"/>
          <w:szCs w:val="22"/>
        </w:rPr>
        <w:t xml:space="preserve">launched to diversify the product and credit risk profile of the </w:t>
      </w:r>
      <w:proofErr w:type="gramStart"/>
      <w:r w:rsidR="006F4312" w:rsidRPr="00701439">
        <w:rPr>
          <w:rFonts w:asciiTheme="minorHAnsi" w:hAnsiTheme="minorHAnsi" w:cs="Arial"/>
          <w:b/>
          <w:bCs/>
          <w:color w:val="4747FF"/>
          <w:sz w:val="22"/>
          <w:szCs w:val="22"/>
        </w:rPr>
        <w:t>Group</w:t>
      </w:r>
      <w:proofErr w:type="gramEnd"/>
    </w:p>
    <w:p w14:paraId="5B2D94B6" w14:textId="7D7C52E7" w:rsidR="006F4312" w:rsidRPr="00701439" w:rsidRDefault="001B722F" w:rsidP="006F4312">
      <w:pPr>
        <w:pStyle w:val="ListParagraph"/>
        <w:numPr>
          <w:ilvl w:val="0"/>
          <w:numId w:val="32"/>
        </w:numPr>
        <w:spacing w:after="160"/>
        <w:jc w:val="both"/>
        <w:rPr>
          <w:rFonts w:asciiTheme="minorHAnsi" w:hAnsiTheme="minorHAnsi" w:cs="Arial"/>
          <w:b/>
          <w:bCs/>
          <w:sz w:val="20"/>
          <w:szCs w:val="20"/>
        </w:rPr>
      </w:pPr>
      <w:r w:rsidRPr="00701439">
        <w:rPr>
          <w:rFonts w:asciiTheme="minorHAnsi" w:hAnsiTheme="minorHAnsi" w:cs="Arial"/>
          <w:sz w:val="20"/>
          <w:szCs w:val="20"/>
        </w:rPr>
        <w:t>After the period end, t</w:t>
      </w:r>
      <w:r w:rsidR="00BE525D" w:rsidRPr="00701439">
        <w:rPr>
          <w:rFonts w:asciiTheme="minorHAnsi" w:hAnsiTheme="minorHAnsi" w:cs="Arial"/>
          <w:sz w:val="20"/>
          <w:szCs w:val="20"/>
        </w:rPr>
        <w:t>he Group</w:t>
      </w:r>
      <w:r w:rsidRPr="00701439">
        <w:rPr>
          <w:rFonts w:asciiTheme="minorHAnsi" w:hAnsiTheme="minorHAnsi" w:cs="Arial"/>
          <w:sz w:val="20"/>
          <w:szCs w:val="20"/>
        </w:rPr>
        <w:t xml:space="preserve"> announced that it</w:t>
      </w:r>
      <w:r w:rsidR="00BE525D" w:rsidRPr="00701439">
        <w:rPr>
          <w:rFonts w:asciiTheme="minorHAnsi" w:hAnsiTheme="minorHAnsi" w:cs="Arial"/>
          <w:sz w:val="20"/>
          <w:szCs w:val="20"/>
        </w:rPr>
        <w:t xml:space="preserve"> has launched a </w:t>
      </w:r>
      <w:r w:rsidR="006320CE" w:rsidRPr="00701439">
        <w:rPr>
          <w:rFonts w:asciiTheme="minorHAnsi" w:hAnsiTheme="minorHAnsi" w:cs="Arial"/>
          <w:sz w:val="20"/>
          <w:szCs w:val="20"/>
        </w:rPr>
        <w:t xml:space="preserve">pilot-phase </w:t>
      </w:r>
      <w:r w:rsidR="0093123F" w:rsidRPr="00701439">
        <w:rPr>
          <w:rFonts w:asciiTheme="minorHAnsi" w:hAnsiTheme="minorHAnsi" w:cs="Arial"/>
          <w:sz w:val="20"/>
          <w:szCs w:val="20"/>
        </w:rPr>
        <w:t>for a new secured product offering of second</w:t>
      </w:r>
      <w:r w:rsidR="00104D76" w:rsidRPr="00701439">
        <w:rPr>
          <w:rFonts w:asciiTheme="minorHAnsi" w:hAnsiTheme="minorHAnsi" w:cs="Arial"/>
          <w:sz w:val="20"/>
          <w:szCs w:val="20"/>
        </w:rPr>
        <w:t xml:space="preserve"> </w:t>
      </w:r>
      <w:r w:rsidR="0093123F" w:rsidRPr="00701439">
        <w:rPr>
          <w:rFonts w:asciiTheme="minorHAnsi" w:hAnsiTheme="minorHAnsi" w:cs="Arial"/>
          <w:sz w:val="20"/>
          <w:szCs w:val="20"/>
        </w:rPr>
        <w:t>charge mortgages</w:t>
      </w:r>
      <w:r w:rsidR="00814F4B" w:rsidRPr="00701439">
        <w:rPr>
          <w:rFonts w:asciiTheme="minorHAnsi" w:hAnsiTheme="minorHAnsi" w:cs="Arial"/>
          <w:sz w:val="20"/>
          <w:szCs w:val="20"/>
        </w:rPr>
        <w:t xml:space="preserve">, </w:t>
      </w:r>
      <w:r w:rsidR="00422B6C" w:rsidRPr="00701439">
        <w:rPr>
          <w:rFonts w:asciiTheme="minorHAnsi" w:hAnsiTheme="minorHAnsi" w:cs="Arial"/>
          <w:sz w:val="20"/>
          <w:szCs w:val="20"/>
        </w:rPr>
        <w:t xml:space="preserve">to be </w:t>
      </w:r>
      <w:r w:rsidR="004841FB" w:rsidRPr="00701439">
        <w:rPr>
          <w:rFonts w:asciiTheme="minorHAnsi" w:hAnsiTheme="minorHAnsi" w:cs="Arial"/>
          <w:sz w:val="20"/>
          <w:szCs w:val="20"/>
        </w:rPr>
        <w:t>led</w:t>
      </w:r>
      <w:r w:rsidR="005E1B86" w:rsidRPr="00701439">
        <w:rPr>
          <w:rFonts w:asciiTheme="minorHAnsi" w:hAnsiTheme="minorHAnsi" w:cs="Arial"/>
          <w:sz w:val="20"/>
          <w:szCs w:val="20"/>
        </w:rPr>
        <w:t xml:space="preserve"> by Neeraj Kapur</w:t>
      </w:r>
      <w:r w:rsidR="00895C35" w:rsidRPr="00701439">
        <w:rPr>
          <w:rFonts w:asciiTheme="minorHAnsi" w:hAnsiTheme="minorHAnsi" w:cs="Arial"/>
          <w:sz w:val="20"/>
          <w:szCs w:val="20"/>
        </w:rPr>
        <w:t xml:space="preserve"> (CFO</w:t>
      </w:r>
      <w:r w:rsidR="001B673E" w:rsidRPr="00701439">
        <w:rPr>
          <w:rFonts w:asciiTheme="minorHAnsi" w:hAnsiTheme="minorHAnsi" w:cs="Arial"/>
          <w:sz w:val="20"/>
          <w:szCs w:val="20"/>
        </w:rPr>
        <w:t>), which</w:t>
      </w:r>
      <w:r w:rsidR="00895C35" w:rsidRPr="00701439">
        <w:rPr>
          <w:rFonts w:asciiTheme="minorHAnsi" w:hAnsiTheme="minorHAnsi" w:cs="Arial"/>
          <w:sz w:val="20"/>
          <w:szCs w:val="20"/>
        </w:rPr>
        <w:t xml:space="preserve"> is</w:t>
      </w:r>
      <w:r w:rsidR="005E1B86" w:rsidRPr="00701439">
        <w:rPr>
          <w:rFonts w:asciiTheme="minorHAnsi" w:hAnsiTheme="minorHAnsi" w:cs="Arial"/>
          <w:sz w:val="20"/>
          <w:szCs w:val="20"/>
        </w:rPr>
        <w:t xml:space="preserve"> </w:t>
      </w:r>
      <w:r w:rsidR="00814F4B" w:rsidRPr="00701439">
        <w:rPr>
          <w:rFonts w:asciiTheme="minorHAnsi" w:hAnsiTheme="minorHAnsi" w:cs="Arial"/>
          <w:sz w:val="20"/>
          <w:szCs w:val="20"/>
        </w:rPr>
        <w:t>consistent with the Group’s strategy of diversifying its range of products, reducing</w:t>
      </w:r>
      <w:r w:rsidR="00A70D7C" w:rsidRPr="00701439">
        <w:rPr>
          <w:rFonts w:asciiTheme="minorHAnsi" w:hAnsiTheme="minorHAnsi" w:cs="Arial"/>
          <w:sz w:val="20"/>
          <w:szCs w:val="20"/>
        </w:rPr>
        <w:t xml:space="preserve"> its</w:t>
      </w:r>
      <w:r w:rsidR="00814F4B" w:rsidRPr="00701439">
        <w:rPr>
          <w:rFonts w:asciiTheme="minorHAnsi" w:hAnsiTheme="minorHAnsi" w:cs="Arial"/>
          <w:sz w:val="20"/>
          <w:szCs w:val="20"/>
        </w:rPr>
        <w:t xml:space="preserve"> credit risk </w:t>
      </w:r>
      <w:r w:rsidR="00F25C04" w:rsidRPr="00701439">
        <w:rPr>
          <w:rFonts w:asciiTheme="minorHAnsi" w:hAnsiTheme="minorHAnsi" w:cs="Arial"/>
          <w:sz w:val="20"/>
          <w:szCs w:val="20"/>
        </w:rPr>
        <w:t xml:space="preserve">profile </w:t>
      </w:r>
      <w:r w:rsidR="00814F4B" w:rsidRPr="00701439">
        <w:rPr>
          <w:rFonts w:asciiTheme="minorHAnsi" w:hAnsiTheme="minorHAnsi" w:cs="Arial"/>
          <w:sz w:val="20"/>
          <w:szCs w:val="20"/>
        </w:rPr>
        <w:t xml:space="preserve">over </w:t>
      </w:r>
      <w:proofErr w:type="gramStart"/>
      <w:r w:rsidR="00814F4B" w:rsidRPr="00701439">
        <w:rPr>
          <w:rFonts w:asciiTheme="minorHAnsi" w:hAnsiTheme="minorHAnsi" w:cs="Arial"/>
          <w:sz w:val="20"/>
          <w:szCs w:val="20"/>
        </w:rPr>
        <w:t>time</w:t>
      </w:r>
      <w:proofErr w:type="gramEnd"/>
      <w:r w:rsidR="00814F4B" w:rsidRPr="00701439">
        <w:rPr>
          <w:rFonts w:asciiTheme="minorHAnsi" w:hAnsiTheme="minorHAnsi" w:cs="Arial"/>
          <w:sz w:val="20"/>
          <w:szCs w:val="20"/>
        </w:rPr>
        <w:t xml:space="preserve"> </w:t>
      </w:r>
      <w:r w:rsidR="004A7FBE" w:rsidRPr="00701439">
        <w:rPr>
          <w:rFonts w:asciiTheme="minorHAnsi" w:hAnsiTheme="minorHAnsi" w:cs="Arial"/>
          <w:sz w:val="20"/>
          <w:szCs w:val="20"/>
        </w:rPr>
        <w:t>and promoting financial inclusion</w:t>
      </w:r>
      <w:r w:rsidR="004F60DC" w:rsidRPr="00701439">
        <w:rPr>
          <w:rFonts w:asciiTheme="minorHAnsi" w:hAnsiTheme="minorHAnsi" w:cs="Arial"/>
          <w:sz w:val="20"/>
          <w:szCs w:val="20"/>
        </w:rPr>
        <w:t>.</w:t>
      </w:r>
      <w:r w:rsidR="004A7FBE" w:rsidRPr="00701439">
        <w:rPr>
          <w:rFonts w:asciiTheme="minorHAnsi" w:hAnsiTheme="minorHAnsi" w:cs="Arial"/>
          <w:sz w:val="20"/>
          <w:szCs w:val="20"/>
        </w:rPr>
        <w:t xml:space="preserve"> </w:t>
      </w:r>
      <w:r w:rsidR="00814F4B" w:rsidRPr="00701439">
        <w:rPr>
          <w:rFonts w:asciiTheme="minorHAnsi" w:hAnsiTheme="minorHAnsi" w:cs="Arial"/>
          <w:sz w:val="20"/>
          <w:szCs w:val="20"/>
        </w:rPr>
        <w:t xml:space="preserve"> </w:t>
      </w:r>
    </w:p>
    <w:p w14:paraId="44A1E17D" w14:textId="25857336" w:rsidR="005439BF" w:rsidRPr="00701439" w:rsidRDefault="005439BF" w:rsidP="006F4312">
      <w:pPr>
        <w:pStyle w:val="ListParagraph"/>
        <w:numPr>
          <w:ilvl w:val="0"/>
          <w:numId w:val="32"/>
        </w:numPr>
        <w:spacing w:after="160"/>
        <w:jc w:val="both"/>
        <w:rPr>
          <w:rFonts w:asciiTheme="minorHAnsi" w:hAnsiTheme="minorHAnsi" w:cs="Arial"/>
          <w:b/>
          <w:bCs/>
          <w:sz w:val="20"/>
          <w:szCs w:val="20"/>
        </w:rPr>
      </w:pPr>
      <w:r w:rsidRPr="00701439">
        <w:rPr>
          <w:rFonts w:asciiTheme="minorHAnsi" w:hAnsiTheme="minorHAnsi" w:cs="Arial"/>
          <w:sz w:val="20"/>
          <w:szCs w:val="20"/>
        </w:rPr>
        <w:t xml:space="preserve">During the pilot phase, the Group will acquire </w:t>
      </w:r>
      <w:r w:rsidR="005754B7" w:rsidRPr="00701439">
        <w:rPr>
          <w:rFonts w:asciiTheme="minorHAnsi" w:hAnsiTheme="minorHAnsi" w:cs="Arial"/>
          <w:sz w:val="20"/>
          <w:szCs w:val="20"/>
        </w:rPr>
        <w:t>existing second</w:t>
      </w:r>
      <w:r w:rsidR="00104D76" w:rsidRPr="00701439">
        <w:rPr>
          <w:rFonts w:asciiTheme="minorHAnsi" w:hAnsiTheme="minorHAnsi" w:cs="Arial"/>
          <w:sz w:val="20"/>
          <w:szCs w:val="20"/>
        </w:rPr>
        <w:t xml:space="preserve"> </w:t>
      </w:r>
      <w:r w:rsidR="005754B7" w:rsidRPr="00701439">
        <w:rPr>
          <w:rFonts w:asciiTheme="minorHAnsi" w:hAnsiTheme="minorHAnsi" w:cs="Arial"/>
          <w:sz w:val="20"/>
          <w:szCs w:val="20"/>
        </w:rPr>
        <w:t>charge mortgage</w:t>
      </w:r>
      <w:r w:rsidR="00F97535" w:rsidRPr="00701439">
        <w:rPr>
          <w:rFonts w:asciiTheme="minorHAnsi" w:hAnsiTheme="minorHAnsi" w:cs="Arial"/>
          <w:sz w:val="20"/>
          <w:szCs w:val="20"/>
        </w:rPr>
        <w:t xml:space="preserve"> loans on a forward flow basis and will recognise the loans on its balance sheet as customer receivables</w:t>
      </w:r>
      <w:r w:rsidR="000E71C4" w:rsidRPr="00701439">
        <w:rPr>
          <w:rFonts w:asciiTheme="minorHAnsi" w:hAnsiTheme="minorHAnsi" w:cs="Arial"/>
          <w:sz w:val="20"/>
          <w:szCs w:val="20"/>
        </w:rPr>
        <w:t xml:space="preserve">. If the pilot phase is successful, </w:t>
      </w:r>
      <w:r w:rsidR="00253C92" w:rsidRPr="00701439">
        <w:rPr>
          <w:rFonts w:asciiTheme="minorHAnsi" w:hAnsiTheme="minorHAnsi" w:cs="Arial"/>
          <w:sz w:val="20"/>
          <w:szCs w:val="20"/>
        </w:rPr>
        <w:t>the Group intends to start to originate its own flow of new loans directly to new and existing customers</w:t>
      </w:r>
      <w:r w:rsidR="004F60DC" w:rsidRPr="00701439">
        <w:rPr>
          <w:rFonts w:asciiTheme="minorHAnsi" w:hAnsiTheme="minorHAnsi" w:cs="Arial"/>
          <w:sz w:val="20"/>
          <w:szCs w:val="20"/>
        </w:rPr>
        <w:t>.</w:t>
      </w:r>
    </w:p>
    <w:p w14:paraId="5EEBCEA9" w14:textId="6712441B" w:rsidR="004C67F9" w:rsidRPr="00701439" w:rsidRDefault="004C67F9" w:rsidP="006357BF">
      <w:pPr>
        <w:spacing w:after="160"/>
        <w:jc w:val="both"/>
        <w:rPr>
          <w:rFonts w:asciiTheme="minorHAnsi" w:hAnsiTheme="minorHAnsi" w:cs="Arial"/>
          <w:sz w:val="20"/>
          <w:szCs w:val="20"/>
        </w:rPr>
      </w:pPr>
      <w:r w:rsidRPr="00701439">
        <w:rPr>
          <w:rFonts w:asciiTheme="minorHAnsi" w:hAnsiTheme="minorHAnsi" w:cs="Arial"/>
          <w:b/>
          <w:bCs/>
          <w:color w:val="4747FF"/>
          <w:sz w:val="22"/>
          <w:szCs w:val="22"/>
        </w:rPr>
        <w:t>Outlook</w:t>
      </w:r>
    </w:p>
    <w:p w14:paraId="32987C88" w14:textId="2D7D814F" w:rsidR="004C67F9" w:rsidRPr="00701439" w:rsidRDefault="00E958F7" w:rsidP="009E7ADC">
      <w:pPr>
        <w:pStyle w:val="ListParagraph"/>
        <w:numPr>
          <w:ilvl w:val="0"/>
          <w:numId w:val="39"/>
        </w:numPr>
        <w:spacing w:after="160"/>
        <w:jc w:val="both"/>
        <w:rPr>
          <w:rFonts w:asciiTheme="minorHAnsi" w:hAnsiTheme="minorHAnsi" w:cs="Arial"/>
          <w:sz w:val="20"/>
          <w:szCs w:val="20"/>
        </w:rPr>
      </w:pPr>
      <w:r w:rsidRPr="00701439">
        <w:rPr>
          <w:rFonts w:asciiTheme="minorHAnsi" w:hAnsiTheme="minorHAnsi" w:cs="Arial"/>
          <w:sz w:val="20"/>
          <w:szCs w:val="20"/>
        </w:rPr>
        <w:t xml:space="preserve">The positive momentum seen in Q4’22 has continued </w:t>
      </w:r>
      <w:r w:rsidR="005153AB" w:rsidRPr="00701439">
        <w:rPr>
          <w:rFonts w:asciiTheme="minorHAnsi" w:hAnsiTheme="minorHAnsi" w:cs="Arial"/>
          <w:sz w:val="20"/>
          <w:szCs w:val="20"/>
        </w:rPr>
        <w:t>in</w:t>
      </w:r>
      <w:r w:rsidRPr="00701439">
        <w:rPr>
          <w:rFonts w:asciiTheme="minorHAnsi" w:hAnsiTheme="minorHAnsi" w:cs="Arial"/>
          <w:sz w:val="20"/>
          <w:szCs w:val="20"/>
        </w:rPr>
        <w:t xml:space="preserve"> </w:t>
      </w:r>
      <w:r w:rsidR="005153AB" w:rsidRPr="00701439">
        <w:rPr>
          <w:rFonts w:asciiTheme="minorHAnsi" w:hAnsiTheme="minorHAnsi" w:cs="Arial"/>
          <w:sz w:val="20"/>
          <w:szCs w:val="20"/>
        </w:rPr>
        <w:t>early</w:t>
      </w:r>
      <w:r w:rsidRPr="00701439">
        <w:rPr>
          <w:rFonts w:asciiTheme="minorHAnsi" w:hAnsiTheme="minorHAnsi" w:cs="Arial"/>
          <w:sz w:val="20"/>
          <w:szCs w:val="20"/>
        </w:rPr>
        <w:t xml:space="preserve"> 2023, especially in the vehicle finance and personal loans businesses</w:t>
      </w:r>
      <w:r w:rsidR="004F60DC" w:rsidRPr="00701439">
        <w:rPr>
          <w:rFonts w:asciiTheme="minorHAnsi" w:hAnsiTheme="minorHAnsi" w:cs="Arial"/>
          <w:sz w:val="20"/>
          <w:szCs w:val="20"/>
        </w:rPr>
        <w:t>.</w:t>
      </w:r>
      <w:r w:rsidRPr="00701439">
        <w:rPr>
          <w:rFonts w:asciiTheme="minorHAnsi" w:hAnsiTheme="minorHAnsi" w:cs="Arial"/>
          <w:sz w:val="20"/>
          <w:szCs w:val="20"/>
        </w:rPr>
        <w:t xml:space="preserve"> </w:t>
      </w:r>
    </w:p>
    <w:p w14:paraId="1DE4522B" w14:textId="6D0AA9C0" w:rsidR="006C2CAC" w:rsidRPr="00701439" w:rsidRDefault="006C2CAC" w:rsidP="009E7ADC">
      <w:pPr>
        <w:pStyle w:val="ListParagraph"/>
        <w:numPr>
          <w:ilvl w:val="0"/>
          <w:numId w:val="39"/>
        </w:numPr>
        <w:spacing w:after="160"/>
        <w:jc w:val="both"/>
        <w:rPr>
          <w:rFonts w:asciiTheme="minorHAnsi" w:hAnsiTheme="minorHAnsi" w:cs="Arial"/>
          <w:sz w:val="20"/>
          <w:szCs w:val="20"/>
        </w:rPr>
      </w:pPr>
      <w:r w:rsidRPr="00701439">
        <w:rPr>
          <w:rFonts w:asciiTheme="minorHAnsi" w:hAnsiTheme="minorHAnsi" w:cs="Arial"/>
          <w:sz w:val="20"/>
          <w:szCs w:val="20"/>
        </w:rPr>
        <w:t xml:space="preserve">The Group continues to see no discernible </w:t>
      </w:r>
      <w:r w:rsidR="005B656F" w:rsidRPr="00701439">
        <w:rPr>
          <w:rFonts w:asciiTheme="minorHAnsi" w:hAnsiTheme="minorHAnsi" w:cs="Arial"/>
          <w:sz w:val="20"/>
          <w:szCs w:val="20"/>
        </w:rPr>
        <w:t>deterioration in asset quality in any of its loan books</w:t>
      </w:r>
      <w:r w:rsidR="00E93DE9" w:rsidRPr="00701439">
        <w:rPr>
          <w:rFonts w:asciiTheme="minorHAnsi" w:hAnsiTheme="minorHAnsi" w:cs="Arial"/>
          <w:sz w:val="20"/>
          <w:szCs w:val="20"/>
        </w:rPr>
        <w:t xml:space="preserve"> but </w:t>
      </w:r>
      <w:r w:rsidR="00AE3624" w:rsidRPr="00701439">
        <w:rPr>
          <w:rFonts w:asciiTheme="minorHAnsi" w:hAnsiTheme="minorHAnsi" w:cs="Arial"/>
          <w:sz w:val="20"/>
          <w:szCs w:val="20"/>
        </w:rPr>
        <w:t>will continue</w:t>
      </w:r>
      <w:r w:rsidR="00B51238" w:rsidRPr="00701439">
        <w:rPr>
          <w:rFonts w:asciiTheme="minorHAnsi" w:hAnsiTheme="minorHAnsi" w:cs="Arial"/>
          <w:sz w:val="20"/>
          <w:szCs w:val="20"/>
        </w:rPr>
        <w:t xml:space="preserve"> to monitor portfolios closely for any signs of customer</w:t>
      </w:r>
      <w:r w:rsidR="00474C94" w:rsidRPr="00701439">
        <w:rPr>
          <w:rFonts w:asciiTheme="minorHAnsi" w:hAnsiTheme="minorHAnsi" w:cs="Arial"/>
          <w:sz w:val="20"/>
          <w:szCs w:val="20"/>
        </w:rPr>
        <w:t xml:space="preserve"> distress</w:t>
      </w:r>
      <w:r w:rsidR="004F60DC" w:rsidRPr="00701439">
        <w:rPr>
          <w:rFonts w:asciiTheme="minorHAnsi" w:hAnsiTheme="minorHAnsi" w:cs="Arial"/>
          <w:sz w:val="20"/>
          <w:szCs w:val="20"/>
        </w:rPr>
        <w:t>.</w:t>
      </w:r>
      <w:r w:rsidR="00474C94" w:rsidRPr="00701439">
        <w:rPr>
          <w:rFonts w:asciiTheme="minorHAnsi" w:hAnsiTheme="minorHAnsi" w:cs="Arial"/>
          <w:sz w:val="20"/>
          <w:szCs w:val="20"/>
        </w:rPr>
        <w:t xml:space="preserve"> </w:t>
      </w:r>
    </w:p>
    <w:p w14:paraId="6824F55A" w14:textId="470C7FDF" w:rsidR="002E7D17" w:rsidRPr="00701439" w:rsidRDefault="00F8066B" w:rsidP="009E7ADC">
      <w:pPr>
        <w:pStyle w:val="ListParagraph"/>
        <w:numPr>
          <w:ilvl w:val="0"/>
          <w:numId w:val="39"/>
        </w:numPr>
        <w:spacing w:after="160"/>
        <w:jc w:val="both"/>
        <w:rPr>
          <w:rFonts w:asciiTheme="minorHAnsi" w:hAnsiTheme="minorHAnsi" w:cs="Arial"/>
          <w:sz w:val="20"/>
          <w:szCs w:val="20"/>
        </w:rPr>
      </w:pPr>
      <w:r w:rsidRPr="00701439">
        <w:rPr>
          <w:rFonts w:asciiTheme="minorHAnsi" w:hAnsiTheme="minorHAnsi" w:cs="Arial"/>
          <w:sz w:val="20"/>
          <w:szCs w:val="20"/>
        </w:rPr>
        <w:t>The Group plans to accelerate its receivables growth during FY’23</w:t>
      </w:r>
      <w:r w:rsidR="000F105A" w:rsidRPr="00701439">
        <w:rPr>
          <w:rFonts w:asciiTheme="minorHAnsi" w:hAnsiTheme="minorHAnsi" w:cs="Arial"/>
          <w:sz w:val="20"/>
          <w:szCs w:val="20"/>
        </w:rPr>
        <w:t xml:space="preserve">, </w:t>
      </w:r>
      <w:r w:rsidRPr="00701439">
        <w:rPr>
          <w:rFonts w:asciiTheme="minorHAnsi" w:hAnsiTheme="minorHAnsi" w:cs="Arial"/>
          <w:sz w:val="20"/>
          <w:szCs w:val="20"/>
        </w:rPr>
        <w:t>versus FY’22</w:t>
      </w:r>
      <w:r w:rsidR="000F105A" w:rsidRPr="00701439">
        <w:rPr>
          <w:rFonts w:asciiTheme="minorHAnsi" w:hAnsiTheme="minorHAnsi" w:cs="Arial"/>
          <w:sz w:val="20"/>
          <w:szCs w:val="20"/>
        </w:rPr>
        <w:t>,</w:t>
      </w:r>
      <w:r w:rsidRPr="00701439">
        <w:rPr>
          <w:rFonts w:asciiTheme="minorHAnsi" w:hAnsiTheme="minorHAnsi" w:cs="Arial"/>
          <w:sz w:val="20"/>
          <w:szCs w:val="20"/>
        </w:rPr>
        <w:t xml:space="preserve"> whilst </w:t>
      </w:r>
      <w:r w:rsidR="000F105A" w:rsidRPr="00701439">
        <w:rPr>
          <w:rFonts w:asciiTheme="minorHAnsi" w:hAnsiTheme="minorHAnsi" w:cs="Arial"/>
          <w:sz w:val="20"/>
          <w:szCs w:val="20"/>
        </w:rPr>
        <w:t xml:space="preserve">maintaining its </w:t>
      </w:r>
      <w:r w:rsidRPr="00701439">
        <w:rPr>
          <w:rFonts w:asciiTheme="minorHAnsi" w:hAnsiTheme="minorHAnsi" w:cs="Arial"/>
          <w:sz w:val="20"/>
          <w:szCs w:val="20"/>
        </w:rPr>
        <w:t xml:space="preserve">focus on credit quality </w:t>
      </w:r>
      <w:r w:rsidR="000F105A" w:rsidRPr="00701439">
        <w:rPr>
          <w:rFonts w:asciiTheme="minorHAnsi" w:hAnsiTheme="minorHAnsi" w:cs="Arial"/>
          <w:sz w:val="20"/>
          <w:szCs w:val="20"/>
        </w:rPr>
        <w:t>and risk management.</w:t>
      </w:r>
    </w:p>
    <w:p w14:paraId="11ABC751" w14:textId="42CB9BD2" w:rsidR="00474C94" w:rsidRPr="00701439" w:rsidRDefault="00314F80" w:rsidP="004C67F9">
      <w:pPr>
        <w:pStyle w:val="ListParagraph"/>
        <w:numPr>
          <w:ilvl w:val="0"/>
          <w:numId w:val="39"/>
        </w:numPr>
        <w:spacing w:after="160"/>
        <w:jc w:val="both"/>
        <w:rPr>
          <w:rFonts w:asciiTheme="minorHAnsi" w:hAnsiTheme="minorHAnsi" w:cs="Arial"/>
          <w:sz w:val="20"/>
          <w:szCs w:val="20"/>
        </w:rPr>
      </w:pPr>
      <w:r w:rsidRPr="00701439">
        <w:rPr>
          <w:rFonts w:asciiTheme="minorHAnsi" w:hAnsiTheme="minorHAnsi" w:cs="Arial"/>
          <w:sz w:val="20"/>
          <w:szCs w:val="20"/>
        </w:rPr>
        <w:t xml:space="preserve">The Group anticipates </w:t>
      </w:r>
      <w:r w:rsidR="000F105A" w:rsidRPr="00701439">
        <w:rPr>
          <w:rFonts w:asciiTheme="minorHAnsi" w:hAnsiTheme="minorHAnsi" w:cs="Arial"/>
          <w:sz w:val="20"/>
          <w:szCs w:val="20"/>
        </w:rPr>
        <w:t>investing</w:t>
      </w:r>
      <w:r w:rsidRPr="00701439">
        <w:rPr>
          <w:rFonts w:asciiTheme="minorHAnsi" w:hAnsiTheme="minorHAnsi" w:cs="Arial"/>
          <w:sz w:val="20"/>
          <w:szCs w:val="20"/>
        </w:rPr>
        <w:t xml:space="preserve"> a similar </w:t>
      </w:r>
      <w:r w:rsidR="00FB7BF9" w:rsidRPr="00701439">
        <w:rPr>
          <w:rFonts w:asciiTheme="minorHAnsi" w:hAnsiTheme="minorHAnsi" w:cs="Arial"/>
          <w:sz w:val="20"/>
          <w:szCs w:val="20"/>
        </w:rPr>
        <w:t>level</w:t>
      </w:r>
      <w:r w:rsidRPr="00701439">
        <w:rPr>
          <w:rFonts w:asciiTheme="minorHAnsi" w:hAnsiTheme="minorHAnsi" w:cs="Arial"/>
          <w:sz w:val="20"/>
          <w:szCs w:val="20"/>
        </w:rPr>
        <w:t xml:space="preserve"> </w:t>
      </w:r>
      <w:r w:rsidR="00BC7859" w:rsidRPr="00701439">
        <w:rPr>
          <w:rFonts w:asciiTheme="minorHAnsi" w:hAnsiTheme="minorHAnsi" w:cs="Arial"/>
          <w:sz w:val="20"/>
          <w:szCs w:val="20"/>
        </w:rPr>
        <w:t>of</w:t>
      </w:r>
      <w:r w:rsidRPr="00701439">
        <w:rPr>
          <w:rFonts w:asciiTheme="minorHAnsi" w:hAnsiTheme="minorHAnsi" w:cs="Arial"/>
          <w:sz w:val="20"/>
          <w:szCs w:val="20"/>
        </w:rPr>
        <w:t xml:space="preserve"> business investment in FY’23 as it did in FY’22. As a result, Group costs are planned to be broadly flat in FY’23 year-on-year.</w:t>
      </w:r>
    </w:p>
    <w:p w14:paraId="52973B48" w14:textId="060142BB" w:rsidR="007B5925" w:rsidRPr="00701439" w:rsidRDefault="0068332B" w:rsidP="004C67F9">
      <w:pPr>
        <w:pStyle w:val="ListParagraph"/>
        <w:numPr>
          <w:ilvl w:val="0"/>
          <w:numId w:val="39"/>
        </w:numPr>
        <w:spacing w:after="160"/>
        <w:jc w:val="both"/>
        <w:rPr>
          <w:rFonts w:asciiTheme="minorHAnsi" w:hAnsiTheme="minorHAnsi" w:cs="Arial"/>
          <w:sz w:val="20"/>
          <w:szCs w:val="20"/>
        </w:rPr>
      </w:pPr>
      <w:r w:rsidRPr="00701439">
        <w:rPr>
          <w:rFonts w:asciiTheme="minorHAnsi" w:hAnsiTheme="minorHAnsi" w:cs="Arial"/>
          <w:sz w:val="20"/>
          <w:szCs w:val="20"/>
        </w:rPr>
        <w:t xml:space="preserve">As the Group replaces expensive legacy funding with deposit funding, it plans for a stable NIM in FY’23 </w:t>
      </w:r>
    </w:p>
    <w:p w14:paraId="1B786AC5" w14:textId="6B56EEFF" w:rsidR="007A3ECA" w:rsidRPr="00701439" w:rsidRDefault="008B379F">
      <w:pPr>
        <w:pStyle w:val="ListParagraph"/>
        <w:numPr>
          <w:ilvl w:val="0"/>
          <w:numId w:val="39"/>
        </w:numPr>
        <w:spacing w:after="160"/>
        <w:jc w:val="both"/>
        <w:rPr>
          <w:rFonts w:asciiTheme="minorHAnsi" w:hAnsiTheme="minorHAnsi" w:cs="Arial"/>
          <w:sz w:val="20"/>
          <w:szCs w:val="20"/>
        </w:rPr>
      </w:pPr>
      <w:r w:rsidRPr="00701439">
        <w:rPr>
          <w:rFonts w:asciiTheme="minorHAnsi" w:hAnsiTheme="minorHAnsi" w:cs="Arial"/>
          <w:sz w:val="20"/>
          <w:szCs w:val="20"/>
        </w:rPr>
        <w:t>Over</w:t>
      </w:r>
      <w:r w:rsidR="000D6C7F" w:rsidRPr="00701439">
        <w:rPr>
          <w:rFonts w:asciiTheme="minorHAnsi" w:hAnsiTheme="minorHAnsi" w:cs="Arial"/>
          <w:sz w:val="20"/>
          <w:szCs w:val="20"/>
        </w:rPr>
        <w:t xml:space="preserve"> </w:t>
      </w:r>
      <w:r w:rsidRPr="00701439">
        <w:rPr>
          <w:rFonts w:asciiTheme="minorHAnsi" w:hAnsiTheme="minorHAnsi" w:cs="Arial"/>
          <w:sz w:val="20"/>
          <w:szCs w:val="20"/>
        </w:rPr>
        <w:t xml:space="preserve">time, the Group intends to target a </w:t>
      </w:r>
      <w:r w:rsidR="006050D7" w:rsidRPr="00701439">
        <w:rPr>
          <w:rFonts w:asciiTheme="minorHAnsi" w:hAnsiTheme="minorHAnsi" w:cs="Arial"/>
          <w:sz w:val="20"/>
          <w:szCs w:val="20"/>
        </w:rPr>
        <w:t>CET</w:t>
      </w:r>
      <w:r w:rsidR="00586EA7" w:rsidRPr="00701439">
        <w:rPr>
          <w:rFonts w:asciiTheme="minorHAnsi" w:hAnsiTheme="minorHAnsi" w:cs="Arial"/>
          <w:sz w:val="20"/>
          <w:szCs w:val="20"/>
        </w:rPr>
        <w:t>1</w:t>
      </w:r>
      <w:r w:rsidRPr="00701439">
        <w:rPr>
          <w:rFonts w:asciiTheme="minorHAnsi" w:hAnsiTheme="minorHAnsi" w:cs="Arial"/>
          <w:sz w:val="20"/>
          <w:szCs w:val="20"/>
        </w:rPr>
        <w:t xml:space="preserve"> ratio of</w:t>
      </w:r>
      <w:r w:rsidR="00586EA7" w:rsidRPr="00701439">
        <w:rPr>
          <w:rFonts w:asciiTheme="minorHAnsi" w:hAnsiTheme="minorHAnsi" w:cs="Arial"/>
          <w:sz w:val="20"/>
          <w:szCs w:val="20"/>
        </w:rPr>
        <w:t xml:space="preserve"> </w:t>
      </w:r>
      <w:r w:rsidR="00DC3F4A" w:rsidRPr="00701439">
        <w:rPr>
          <w:rFonts w:asciiTheme="minorHAnsi" w:hAnsiTheme="minorHAnsi" w:cs="Arial"/>
          <w:sz w:val="20"/>
          <w:szCs w:val="20"/>
        </w:rPr>
        <w:t>c.</w:t>
      </w:r>
      <w:r w:rsidR="00586EA7" w:rsidRPr="00701439">
        <w:rPr>
          <w:rFonts w:asciiTheme="minorHAnsi" w:hAnsiTheme="minorHAnsi" w:cs="Arial"/>
          <w:sz w:val="20"/>
          <w:szCs w:val="20"/>
        </w:rPr>
        <w:t>20</w:t>
      </w:r>
      <w:r w:rsidRPr="00701439">
        <w:rPr>
          <w:rFonts w:asciiTheme="minorHAnsi" w:hAnsiTheme="minorHAnsi" w:cs="Arial"/>
          <w:sz w:val="20"/>
          <w:szCs w:val="20"/>
        </w:rPr>
        <w:t>%</w:t>
      </w:r>
      <w:r w:rsidR="002E72F6" w:rsidRPr="00701439">
        <w:rPr>
          <w:rFonts w:asciiTheme="minorHAnsi" w:hAnsiTheme="minorHAnsi" w:cs="Arial"/>
          <w:sz w:val="20"/>
          <w:szCs w:val="20"/>
        </w:rPr>
        <w:t xml:space="preserve"> over</w:t>
      </w:r>
      <w:r w:rsidR="00F54CB5" w:rsidRPr="00701439">
        <w:rPr>
          <w:rFonts w:asciiTheme="minorHAnsi" w:hAnsiTheme="minorHAnsi" w:cs="Arial"/>
          <w:sz w:val="20"/>
          <w:szCs w:val="20"/>
        </w:rPr>
        <w:t xml:space="preserve"> </w:t>
      </w:r>
      <w:r w:rsidR="002E72F6" w:rsidRPr="00701439">
        <w:rPr>
          <w:rFonts w:asciiTheme="minorHAnsi" w:hAnsiTheme="minorHAnsi" w:cs="Arial"/>
          <w:sz w:val="20"/>
          <w:szCs w:val="20"/>
        </w:rPr>
        <w:t>time</w:t>
      </w:r>
      <w:r w:rsidR="0084665E" w:rsidRPr="00701439">
        <w:rPr>
          <w:rFonts w:asciiTheme="minorHAnsi" w:hAnsiTheme="minorHAnsi" w:cs="Arial"/>
          <w:sz w:val="20"/>
          <w:szCs w:val="20"/>
        </w:rPr>
        <w:t>, prior to any optimisation of the capital stack</w:t>
      </w:r>
      <w:r w:rsidR="007D084C" w:rsidRPr="00701439">
        <w:rPr>
          <w:rFonts w:asciiTheme="minorHAnsi" w:hAnsiTheme="minorHAnsi" w:cs="Arial"/>
          <w:sz w:val="20"/>
          <w:szCs w:val="20"/>
        </w:rPr>
        <w:t xml:space="preserve"> with AT1</w:t>
      </w:r>
      <w:r w:rsidR="0084665E" w:rsidRPr="00701439">
        <w:rPr>
          <w:rFonts w:asciiTheme="minorHAnsi" w:hAnsiTheme="minorHAnsi" w:cs="Arial"/>
          <w:sz w:val="20"/>
          <w:szCs w:val="20"/>
        </w:rPr>
        <w:t xml:space="preserve">, </w:t>
      </w:r>
      <w:r w:rsidR="00D960B7" w:rsidRPr="00701439">
        <w:rPr>
          <w:rFonts w:asciiTheme="minorHAnsi" w:hAnsiTheme="minorHAnsi" w:cs="Arial"/>
          <w:sz w:val="20"/>
          <w:szCs w:val="20"/>
        </w:rPr>
        <w:t xml:space="preserve">and will seek to achieve this target </w:t>
      </w:r>
      <w:r w:rsidR="009A3C69" w:rsidRPr="00701439">
        <w:rPr>
          <w:rFonts w:asciiTheme="minorHAnsi" w:hAnsiTheme="minorHAnsi" w:cs="Arial"/>
          <w:sz w:val="20"/>
          <w:szCs w:val="20"/>
        </w:rPr>
        <w:t>with</w:t>
      </w:r>
      <w:r w:rsidR="00D960B7" w:rsidRPr="00701439">
        <w:rPr>
          <w:rFonts w:asciiTheme="minorHAnsi" w:hAnsiTheme="minorHAnsi" w:cs="Arial"/>
          <w:sz w:val="20"/>
          <w:szCs w:val="20"/>
        </w:rPr>
        <w:t xml:space="preserve"> organic </w:t>
      </w:r>
      <w:r w:rsidR="00EB688D" w:rsidRPr="00701439">
        <w:rPr>
          <w:rFonts w:asciiTheme="minorHAnsi" w:hAnsiTheme="minorHAnsi" w:cs="Arial"/>
          <w:sz w:val="20"/>
          <w:szCs w:val="20"/>
        </w:rPr>
        <w:t>receivables growth</w:t>
      </w:r>
      <w:r w:rsidR="004F60DC" w:rsidRPr="00701439">
        <w:rPr>
          <w:rFonts w:asciiTheme="minorHAnsi" w:hAnsiTheme="minorHAnsi" w:cs="Arial"/>
          <w:sz w:val="20"/>
          <w:szCs w:val="20"/>
        </w:rPr>
        <w:t>.</w:t>
      </w:r>
      <w:r w:rsidR="00D960B7" w:rsidRPr="00701439">
        <w:rPr>
          <w:rFonts w:asciiTheme="minorHAnsi" w:hAnsiTheme="minorHAnsi" w:cs="Arial"/>
          <w:sz w:val="20"/>
          <w:szCs w:val="20"/>
        </w:rPr>
        <w:t xml:space="preserve"> </w:t>
      </w:r>
    </w:p>
    <w:tbl>
      <w:tblPr>
        <w:tblW w:w="0" w:type="auto"/>
        <w:tblLook w:val="04A0" w:firstRow="1" w:lastRow="0" w:firstColumn="1" w:lastColumn="0" w:noHBand="0" w:noVBand="1"/>
      </w:tblPr>
      <w:tblGrid>
        <w:gridCol w:w="4253"/>
        <w:gridCol w:w="774"/>
        <w:gridCol w:w="1113"/>
        <w:gridCol w:w="269"/>
        <w:gridCol w:w="1166"/>
        <w:gridCol w:w="389"/>
        <w:gridCol w:w="1062"/>
      </w:tblGrid>
      <w:tr w:rsidR="00614256" w:rsidRPr="00701439" w14:paraId="4F20422F" w14:textId="77777777">
        <w:tc>
          <w:tcPr>
            <w:tcW w:w="4253" w:type="dxa"/>
          </w:tcPr>
          <w:bookmarkEnd w:id="3"/>
          <w:p w14:paraId="052A5023" w14:textId="77777777" w:rsidR="00614256" w:rsidRPr="00701439" w:rsidRDefault="00614256" w:rsidP="00614256">
            <w:pPr>
              <w:spacing w:after="160" w:line="256" w:lineRule="auto"/>
              <w:ind w:left="-110"/>
              <w:jc w:val="both"/>
              <w:rPr>
                <w:rFonts w:ascii="Calibri" w:hAnsi="Calibri" w:cs="Arial"/>
                <w:b/>
                <w:bCs/>
                <w:sz w:val="20"/>
                <w:szCs w:val="20"/>
              </w:rPr>
            </w:pPr>
            <w:r w:rsidRPr="0029571E">
              <w:rPr>
                <w:rFonts w:asciiTheme="minorHAnsi" w:hAnsiTheme="minorHAnsi" w:cs="Arial"/>
                <w:b/>
                <w:bCs/>
                <w:color w:val="4747FF"/>
                <w:sz w:val="22"/>
                <w:szCs w:val="22"/>
              </w:rPr>
              <w:lastRenderedPageBreak/>
              <w:t>Enquiries:</w:t>
            </w:r>
          </w:p>
        </w:tc>
        <w:tc>
          <w:tcPr>
            <w:tcW w:w="774" w:type="dxa"/>
          </w:tcPr>
          <w:p w14:paraId="43510E41" w14:textId="77777777" w:rsidR="00614256" w:rsidRPr="00701439" w:rsidRDefault="00614256" w:rsidP="00614256">
            <w:pPr>
              <w:jc w:val="both"/>
              <w:rPr>
                <w:rFonts w:ascii="Calibri" w:eastAsia="Calibri" w:hAnsi="Calibri"/>
                <w:sz w:val="20"/>
                <w:szCs w:val="20"/>
                <w:lang w:eastAsia="en-US"/>
              </w:rPr>
            </w:pPr>
          </w:p>
        </w:tc>
        <w:tc>
          <w:tcPr>
            <w:tcW w:w="1113" w:type="dxa"/>
          </w:tcPr>
          <w:p w14:paraId="179CAEA7" w14:textId="77777777" w:rsidR="00614256" w:rsidRPr="00701439" w:rsidRDefault="00614256" w:rsidP="00614256">
            <w:pPr>
              <w:jc w:val="both"/>
              <w:rPr>
                <w:rFonts w:ascii="Calibri" w:eastAsia="Calibri" w:hAnsi="Calibri"/>
                <w:sz w:val="20"/>
                <w:szCs w:val="20"/>
                <w:lang w:eastAsia="en-US"/>
              </w:rPr>
            </w:pPr>
          </w:p>
        </w:tc>
        <w:tc>
          <w:tcPr>
            <w:tcW w:w="1435" w:type="dxa"/>
            <w:gridSpan w:val="2"/>
          </w:tcPr>
          <w:p w14:paraId="70E50ABE" w14:textId="77777777" w:rsidR="00614256" w:rsidRPr="00701439" w:rsidRDefault="00614256" w:rsidP="00614256">
            <w:pPr>
              <w:jc w:val="both"/>
              <w:rPr>
                <w:rFonts w:ascii="Calibri" w:eastAsia="Calibri" w:hAnsi="Calibri"/>
                <w:sz w:val="20"/>
                <w:szCs w:val="20"/>
                <w:lang w:eastAsia="en-US"/>
              </w:rPr>
            </w:pPr>
          </w:p>
        </w:tc>
        <w:tc>
          <w:tcPr>
            <w:tcW w:w="1451" w:type="dxa"/>
            <w:gridSpan w:val="2"/>
          </w:tcPr>
          <w:p w14:paraId="1DD9FF34" w14:textId="77777777" w:rsidR="00614256" w:rsidRPr="00701439" w:rsidRDefault="00614256" w:rsidP="00614256">
            <w:pPr>
              <w:jc w:val="both"/>
              <w:rPr>
                <w:rFonts w:ascii="Calibri" w:eastAsia="Calibri" w:hAnsi="Calibri"/>
                <w:sz w:val="20"/>
                <w:szCs w:val="20"/>
                <w:lang w:eastAsia="en-US"/>
              </w:rPr>
            </w:pPr>
          </w:p>
        </w:tc>
      </w:tr>
      <w:tr w:rsidR="00614256" w:rsidRPr="00701439" w14:paraId="6BB0C86F" w14:textId="77777777">
        <w:tc>
          <w:tcPr>
            <w:tcW w:w="4253" w:type="dxa"/>
            <w:hideMark/>
          </w:tcPr>
          <w:p w14:paraId="2397EC2D" w14:textId="77777777" w:rsidR="00614256" w:rsidRPr="0029571E" w:rsidRDefault="00614256" w:rsidP="00614256">
            <w:pPr>
              <w:spacing w:after="160" w:line="256" w:lineRule="auto"/>
              <w:ind w:left="-110"/>
              <w:jc w:val="both"/>
              <w:rPr>
                <w:rFonts w:asciiTheme="minorHAnsi" w:hAnsiTheme="minorHAnsi" w:cs="Arial"/>
                <w:b/>
                <w:bCs/>
                <w:color w:val="4747FF"/>
                <w:sz w:val="22"/>
                <w:szCs w:val="22"/>
              </w:rPr>
            </w:pPr>
            <w:r w:rsidRPr="0029571E">
              <w:rPr>
                <w:rFonts w:asciiTheme="minorHAnsi" w:hAnsiTheme="minorHAnsi" w:cs="Arial"/>
                <w:b/>
                <w:bCs/>
                <w:color w:val="4747FF"/>
                <w:sz w:val="22"/>
                <w:szCs w:val="22"/>
              </w:rPr>
              <w:t>Analysts and shareholders:</w:t>
            </w:r>
          </w:p>
          <w:p w14:paraId="164C51CB" w14:textId="77777777" w:rsidR="00614256" w:rsidRPr="00701439" w:rsidRDefault="00614256" w:rsidP="00614256">
            <w:pPr>
              <w:ind w:left="-111"/>
              <w:jc w:val="both"/>
              <w:rPr>
                <w:rFonts w:ascii="Calibri" w:eastAsia="Calibri" w:hAnsi="Calibri"/>
                <w:sz w:val="20"/>
                <w:szCs w:val="20"/>
                <w:u w:val="single"/>
                <w:lang w:eastAsia="en-US"/>
              </w:rPr>
            </w:pPr>
          </w:p>
        </w:tc>
        <w:tc>
          <w:tcPr>
            <w:tcW w:w="774" w:type="dxa"/>
          </w:tcPr>
          <w:p w14:paraId="08EA8B40" w14:textId="77777777" w:rsidR="00614256" w:rsidRPr="00701439" w:rsidRDefault="00614256" w:rsidP="00614256">
            <w:pPr>
              <w:jc w:val="both"/>
              <w:rPr>
                <w:rFonts w:ascii="Calibri" w:eastAsia="Calibri" w:hAnsi="Calibri"/>
                <w:sz w:val="20"/>
                <w:szCs w:val="20"/>
                <w:lang w:eastAsia="en-US"/>
              </w:rPr>
            </w:pPr>
          </w:p>
        </w:tc>
        <w:tc>
          <w:tcPr>
            <w:tcW w:w="1113" w:type="dxa"/>
          </w:tcPr>
          <w:p w14:paraId="28ECDA10" w14:textId="77777777" w:rsidR="00614256" w:rsidRPr="00701439" w:rsidRDefault="00614256" w:rsidP="00614256">
            <w:pPr>
              <w:jc w:val="both"/>
              <w:rPr>
                <w:rFonts w:ascii="Calibri" w:eastAsia="Calibri" w:hAnsi="Calibri"/>
                <w:sz w:val="20"/>
                <w:szCs w:val="20"/>
                <w:lang w:eastAsia="en-US"/>
              </w:rPr>
            </w:pPr>
          </w:p>
        </w:tc>
        <w:tc>
          <w:tcPr>
            <w:tcW w:w="1435" w:type="dxa"/>
            <w:gridSpan w:val="2"/>
          </w:tcPr>
          <w:p w14:paraId="21765A0D" w14:textId="77777777" w:rsidR="00614256" w:rsidRPr="00701439" w:rsidRDefault="00614256" w:rsidP="00614256">
            <w:pPr>
              <w:jc w:val="both"/>
              <w:rPr>
                <w:rFonts w:ascii="Calibri" w:eastAsia="Calibri" w:hAnsi="Calibri"/>
                <w:sz w:val="20"/>
                <w:szCs w:val="20"/>
                <w:lang w:eastAsia="en-US"/>
              </w:rPr>
            </w:pPr>
          </w:p>
        </w:tc>
        <w:tc>
          <w:tcPr>
            <w:tcW w:w="1451" w:type="dxa"/>
            <w:gridSpan w:val="2"/>
          </w:tcPr>
          <w:p w14:paraId="54696E14" w14:textId="77777777" w:rsidR="00614256" w:rsidRPr="00701439" w:rsidRDefault="00614256" w:rsidP="00614256">
            <w:pPr>
              <w:jc w:val="both"/>
              <w:rPr>
                <w:rFonts w:ascii="Calibri" w:eastAsia="Calibri" w:hAnsi="Calibri"/>
                <w:sz w:val="20"/>
                <w:szCs w:val="20"/>
                <w:lang w:eastAsia="en-US"/>
              </w:rPr>
            </w:pPr>
          </w:p>
        </w:tc>
      </w:tr>
      <w:tr w:rsidR="00614256" w:rsidRPr="00701439" w14:paraId="351A8BB5" w14:textId="77777777">
        <w:trPr>
          <w:gridAfter w:val="1"/>
          <w:wAfter w:w="1062" w:type="dxa"/>
        </w:trPr>
        <w:tc>
          <w:tcPr>
            <w:tcW w:w="4253" w:type="dxa"/>
            <w:hideMark/>
          </w:tcPr>
          <w:p w14:paraId="78063BFD" w14:textId="77777777" w:rsidR="00614256" w:rsidRPr="00701439" w:rsidRDefault="00614256" w:rsidP="00614256">
            <w:pPr>
              <w:ind w:left="-111"/>
              <w:jc w:val="both"/>
              <w:rPr>
                <w:rFonts w:ascii="Calibri" w:eastAsia="Calibri" w:hAnsi="Calibri"/>
                <w:sz w:val="20"/>
                <w:szCs w:val="20"/>
                <w:u w:val="single"/>
                <w:lang w:eastAsia="en-US"/>
              </w:rPr>
            </w:pPr>
            <w:r w:rsidRPr="00701439">
              <w:rPr>
                <w:rFonts w:ascii="Calibri" w:eastAsia="Calibri" w:hAnsi="Calibri"/>
                <w:sz w:val="20"/>
                <w:szCs w:val="20"/>
                <w:lang w:eastAsia="en-US"/>
              </w:rPr>
              <w:t xml:space="preserve">Owen Jones, Group Head of Investor Relations </w:t>
            </w:r>
          </w:p>
        </w:tc>
        <w:tc>
          <w:tcPr>
            <w:tcW w:w="774" w:type="dxa"/>
          </w:tcPr>
          <w:p w14:paraId="223847E2" w14:textId="77777777" w:rsidR="00614256" w:rsidRPr="00701439" w:rsidRDefault="00614256" w:rsidP="00614256">
            <w:pPr>
              <w:jc w:val="both"/>
              <w:rPr>
                <w:rFonts w:ascii="Calibri" w:eastAsia="Calibri" w:hAnsi="Calibri"/>
                <w:sz w:val="20"/>
                <w:szCs w:val="20"/>
                <w:lang w:eastAsia="en-US"/>
              </w:rPr>
            </w:pPr>
          </w:p>
        </w:tc>
        <w:tc>
          <w:tcPr>
            <w:tcW w:w="1113" w:type="dxa"/>
          </w:tcPr>
          <w:p w14:paraId="642A5D06" w14:textId="77777777" w:rsidR="00614256" w:rsidRPr="00701439" w:rsidRDefault="00614256" w:rsidP="00614256">
            <w:pPr>
              <w:jc w:val="both"/>
              <w:rPr>
                <w:rFonts w:ascii="Calibri" w:eastAsia="Calibri" w:hAnsi="Calibri"/>
                <w:sz w:val="20"/>
                <w:szCs w:val="20"/>
                <w:lang w:eastAsia="en-US"/>
              </w:rPr>
            </w:pPr>
          </w:p>
        </w:tc>
        <w:tc>
          <w:tcPr>
            <w:tcW w:w="269" w:type="dxa"/>
          </w:tcPr>
          <w:p w14:paraId="483FAAA9" w14:textId="77777777" w:rsidR="00614256" w:rsidRPr="00701439" w:rsidRDefault="00614256" w:rsidP="00614256">
            <w:pPr>
              <w:jc w:val="both"/>
              <w:rPr>
                <w:rFonts w:ascii="Calibri" w:eastAsia="Calibri" w:hAnsi="Calibri"/>
                <w:sz w:val="20"/>
                <w:szCs w:val="20"/>
                <w:lang w:eastAsia="en-US"/>
              </w:rPr>
            </w:pPr>
          </w:p>
        </w:tc>
        <w:tc>
          <w:tcPr>
            <w:tcW w:w="1555" w:type="dxa"/>
            <w:gridSpan w:val="2"/>
            <w:hideMark/>
          </w:tcPr>
          <w:p w14:paraId="4D82FC6C" w14:textId="77777777" w:rsidR="00614256" w:rsidRPr="00701439" w:rsidRDefault="00614256" w:rsidP="00614256">
            <w:pPr>
              <w:jc w:val="both"/>
              <w:rPr>
                <w:rFonts w:ascii="Calibri" w:eastAsia="Calibri" w:hAnsi="Calibri"/>
                <w:sz w:val="20"/>
                <w:szCs w:val="20"/>
                <w:lang w:eastAsia="en-US"/>
              </w:rPr>
            </w:pPr>
            <w:r w:rsidRPr="00701439">
              <w:rPr>
                <w:rFonts w:ascii="Calibri" w:eastAsia="Calibri" w:hAnsi="Calibri"/>
                <w:sz w:val="20"/>
                <w:szCs w:val="20"/>
                <w:lang w:eastAsia="en-US"/>
              </w:rPr>
              <w:t>07341 007842</w:t>
            </w:r>
          </w:p>
        </w:tc>
      </w:tr>
      <w:tr w:rsidR="00614256" w:rsidRPr="00701439" w14:paraId="724833CB" w14:textId="77777777">
        <w:trPr>
          <w:gridAfter w:val="1"/>
          <w:wAfter w:w="1062" w:type="dxa"/>
        </w:trPr>
        <w:tc>
          <w:tcPr>
            <w:tcW w:w="4253" w:type="dxa"/>
            <w:hideMark/>
          </w:tcPr>
          <w:p w14:paraId="566E7BBD" w14:textId="27624009" w:rsidR="00614256" w:rsidRPr="00701439" w:rsidRDefault="00614256" w:rsidP="00614256">
            <w:pPr>
              <w:ind w:left="-111"/>
              <w:jc w:val="both"/>
              <w:rPr>
                <w:rFonts w:ascii="Calibri" w:eastAsia="Calibri" w:hAnsi="Calibri"/>
                <w:sz w:val="20"/>
                <w:szCs w:val="20"/>
                <w:u w:val="single"/>
                <w:lang w:eastAsia="en-US"/>
              </w:rPr>
            </w:pPr>
            <w:r w:rsidRPr="0029571E">
              <w:rPr>
                <w:rFonts w:ascii="Calibri" w:eastAsia="Calibri" w:hAnsi="Calibri"/>
                <w:sz w:val="20"/>
                <w:szCs w:val="20"/>
                <w:u w:val="single"/>
                <w:lang w:eastAsia="en-US"/>
              </w:rPr>
              <w:t>Owen.jones@vanquisbankinggroup.com</w:t>
            </w:r>
            <w:r w:rsidRPr="0029571E">
              <w:rPr>
                <w:rFonts w:ascii="Calibri" w:eastAsia="Calibri" w:hAnsi="Calibri"/>
                <w:sz w:val="20"/>
                <w:szCs w:val="20"/>
                <w:lang w:eastAsia="en-US"/>
              </w:rPr>
              <w:t xml:space="preserve"> </w:t>
            </w:r>
          </w:p>
        </w:tc>
        <w:tc>
          <w:tcPr>
            <w:tcW w:w="774" w:type="dxa"/>
          </w:tcPr>
          <w:p w14:paraId="678DEB75" w14:textId="77777777" w:rsidR="00614256" w:rsidRPr="00701439" w:rsidRDefault="00614256" w:rsidP="00614256">
            <w:pPr>
              <w:jc w:val="both"/>
              <w:rPr>
                <w:rFonts w:ascii="Calibri" w:eastAsia="Calibri" w:hAnsi="Calibri"/>
                <w:sz w:val="20"/>
                <w:szCs w:val="20"/>
                <w:lang w:eastAsia="en-US"/>
              </w:rPr>
            </w:pPr>
          </w:p>
        </w:tc>
        <w:tc>
          <w:tcPr>
            <w:tcW w:w="1113" w:type="dxa"/>
          </w:tcPr>
          <w:p w14:paraId="4A8ED3A0" w14:textId="77777777" w:rsidR="00614256" w:rsidRPr="00701439" w:rsidRDefault="00614256" w:rsidP="00614256">
            <w:pPr>
              <w:jc w:val="both"/>
              <w:rPr>
                <w:rFonts w:ascii="Calibri" w:eastAsia="Calibri" w:hAnsi="Calibri"/>
                <w:sz w:val="20"/>
                <w:szCs w:val="20"/>
                <w:lang w:eastAsia="en-US"/>
              </w:rPr>
            </w:pPr>
          </w:p>
        </w:tc>
        <w:tc>
          <w:tcPr>
            <w:tcW w:w="269" w:type="dxa"/>
          </w:tcPr>
          <w:p w14:paraId="64597F15" w14:textId="77777777" w:rsidR="00614256" w:rsidRPr="00701439" w:rsidRDefault="00614256" w:rsidP="00614256">
            <w:pPr>
              <w:jc w:val="both"/>
              <w:rPr>
                <w:rFonts w:ascii="Calibri" w:eastAsia="Calibri" w:hAnsi="Calibri"/>
                <w:sz w:val="20"/>
                <w:szCs w:val="20"/>
                <w:lang w:eastAsia="en-US"/>
              </w:rPr>
            </w:pPr>
          </w:p>
        </w:tc>
        <w:tc>
          <w:tcPr>
            <w:tcW w:w="1555" w:type="dxa"/>
            <w:gridSpan w:val="2"/>
          </w:tcPr>
          <w:p w14:paraId="586D404A" w14:textId="77777777" w:rsidR="00614256" w:rsidRPr="00701439" w:rsidRDefault="00614256" w:rsidP="00614256">
            <w:pPr>
              <w:jc w:val="both"/>
              <w:rPr>
                <w:rFonts w:ascii="Calibri" w:eastAsia="Calibri" w:hAnsi="Calibri"/>
                <w:sz w:val="20"/>
                <w:szCs w:val="20"/>
                <w:lang w:eastAsia="en-US"/>
              </w:rPr>
            </w:pPr>
          </w:p>
        </w:tc>
      </w:tr>
      <w:tr w:rsidR="00614256" w:rsidRPr="00701439" w14:paraId="52E6D8BD" w14:textId="77777777">
        <w:trPr>
          <w:gridAfter w:val="1"/>
          <w:wAfter w:w="1062" w:type="dxa"/>
        </w:trPr>
        <w:tc>
          <w:tcPr>
            <w:tcW w:w="4253" w:type="dxa"/>
          </w:tcPr>
          <w:p w14:paraId="56F7D593" w14:textId="77777777" w:rsidR="00614256" w:rsidRPr="00701439" w:rsidRDefault="00614256" w:rsidP="00614256">
            <w:pPr>
              <w:ind w:left="-111"/>
              <w:jc w:val="both"/>
              <w:rPr>
                <w:rFonts w:ascii="Calibri" w:eastAsia="Calibri" w:hAnsi="Calibri"/>
                <w:sz w:val="20"/>
                <w:szCs w:val="20"/>
                <w:u w:val="single"/>
                <w:lang w:eastAsia="en-US"/>
              </w:rPr>
            </w:pPr>
          </w:p>
          <w:p w14:paraId="7CC958B7" w14:textId="77777777" w:rsidR="00614256" w:rsidRPr="00701439" w:rsidRDefault="00614256" w:rsidP="00614256">
            <w:pPr>
              <w:spacing w:after="160" w:line="256" w:lineRule="auto"/>
              <w:ind w:left="-110"/>
              <w:jc w:val="both"/>
              <w:rPr>
                <w:rFonts w:ascii="Calibri" w:hAnsi="Calibri" w:cs="Arial"/>
                <w:b/>
                <w:bCs/>
                <w:sz w:val="20"/>
                <w:szCs w:val="20"/>
              </w:rPr>
            </w:pPr>
            <w:r w:rsidRPr="0029571E">
              <w:rPr>
                <w:rFonts w:asciiTheme="minorHAnsi" w:hAnsiTheme="minorHAnsi" w:cs="Arial"/>
                <w:b/>
                <w:bCs/>
                <w:color w:val="4747FF"/>
                <w:sz w:val="22"/>
                <w:szCs w:val="22"/>
              </w:rPr>
              <w:t>Media:</w:t>
            </w:r>
          </w:p>
        </w:tc>
        <w:tc>
          <w:tcPr>
            <w:tcW w:w="774" w:type="dxa"/>
          </w:tcPr>
          <w:p w14:paraId="535D6F66" w14:textId="77777777" w:rsidR="00614256" w:rsidRPr="00701439" w:rsidRDefault="00614256" w:rsidP="00614256">
            <w:pPr>
              <w:jc w:val="both"/>
              <w:rPr>
                <w:rFonts w:ascii="Calibri" w:eastAsia="Calibri" w:hAnsi="Calibri"/>
                <w:sz w:val="20"/>
                <w:szCs w:val="20"/>
                <w:lang w:eastAsia="en-US"/>
              </w:rPr>
            </w:pPr>
          </w:p>
        </w:tc>
        <w:tc>
          <w:tcPr>
            <w:tcW w:w="1113" w:type="dxa"/>
          </w:tcPr>
          <w:p w14:paraId="42876CE7" w14:textId="77777777" w:rsidR="00614256" w:rsidRPr="00701439" w:rsidRDefault="00614256" w:rsidP="00614256">
            <w:pPr>
              <w:jc w:val="both"/>
              <w:rPr>
                <w:rFonts w:ascii="Calibri" w:eastAsia="Calibri" w:hAnsi="Calibri"/>
                <w:sz w:val="20"/>
                <w:szCs w:val="20"/>
                <w:lang w:eastAsia="en-US"/>
              </w:rPr>
            </w:pPr>
          </w:p>
        </w:tc>
        <w:tc>
          <w:tcPr>
            <w:tcW w:w="269" w:type="dxa"/>
          </w:tcPr>
          <w:p w14:paraId="6069B361" w14:textId="77777777" w:rsidR="00614256" w:rsidRPr="00701439" w:rsidRDefault="00614256" w:rsidP="00614256">
            <w:pPr>
              <w:jc w:val="both"/>
              <w:rPr>
                <w:rFonts w:ascii="Calibri" w:eastAsia="Calibri" w:hAnsi="Calibri"/>
                <w:sz w:val="20"/>
                <w:szCs w:val="20"/>
                <w:lang w:eastAsia="en-US"/>
              </w:rPr>
            </w:pPr>
          </w:p>
        </w:tc>
        <w:tc>
          <w:tcPr>
            <w:tcW w:w="1555" w:type="dxa"/>
            <w:gridSpan w:val="2"/>
          </w:tcPr>
          <w:p w14:paraId="52138BCB" w14:textId="77777777" w:rsidR="00614256" w:rsidRPr="00701439" w:rsidRDefault="00614256" w:rsidP="00614256">
            <w:pPr>
              <w:jc w:val="both"/>
              <w:rPr>
                <w:rFonts w:ascii="Calibri" w:eastAsia="Calibri" w:hAnsi="Calibri"/>
                <w:sz w:val="20"/>
                <w:szCs w:val="20"/>
                <w:lang w:eastAsia="en-US"/>
              </w:rPr>
            </w:pPr>
          </w:p>
        </w:tc>
      </w:tr>
      <w:tr w:rsidR="00614256" w:rsidRPr="00701439" w14:paraId="1A96BE1D" w14:textId="77777777">
        <w:trPr>
          <w:gridAfter w:val="1"/>
          <w:wAfter w:w="1062" w:type="dxa"/>
        </w:trPr>
        <w:tc>
          <w:tcPr>
            <w:tcW w:w="4253" w:type="dxa"/>
            <w:hideMark/>
          </w:tcPr>
          <w:p w14:paraId="7D15BD5F" w14:textId="77777777" w:rsidR="00614256" w:rsidRPr="00701439" w:rsidRDefault="00614256" w:rsidP="00614256">
            <w:pPr>
              <w:ind w:left="-111"/>
              <w:jc w:val="both"/>
              <w:rPr>
                <w:rFonts w:ascii="Calibri" w:eastAsia="Calibri" w:hAnsi="Calibri"/>
                <w:sz w:val="20"/>
                <w:szCs w:val="20"/>
                <w:lang w:eastAsia="en-US"/>
              </w:rPr>
            </w:pPr>
            <w:r w:rsidRPr="00701439">
              <w:rPr>
                <w:rFonts w:ascii="Calibri" w:eastAsia="Calibri" w:hAnsi="Calibri"/>
                <w:sz w:val="20"/>
                <w:szCs w:val="20"/>
                <w:lang w:eastAsia="en-US"/>
              </w:rPr>
              <w:t xml:space="preserve">Richard King, Vanquis Banking Group </w:t>
            </w:r>
          </w:p>
          <w:p w14:paraId="460EE93C" w14:textId="77777777" w:rsidR="00614256" w:rsidRPr="00701439" w:rsidRDefault="00614256" w:rsidP="00614256">
            <w:pPr>
              <w:ind w:left="-111"/>
              <w:jc w:val="both"/>
              <w:rPr>
                <w:rFonts w:ascii="Calibri" w:eastAsia="Calibri" w:hAnsi="Calibri"/>
                <w:sz w:val="20"/>
                <w:szCs w:val="20"/>
                <w:lang w:eastAsia="en-US"/>
              </w:rPr>
            </w:pPr>
          </w:p>
          <w:p w14:paraId="45168939" w14:textId="77777777" w:rsidR="00614256" w:rsidRPr="00701439" w:rsidRDefault="00614256" w:rsidP="00614256">
            <w:pPr>
              <w:ind w:left="-111"/>
              <w:jc w:val="both"/>
              <w:rPr>
                <w:rFonts w:ascii="Calibri" w:eastAsia="Calibri" w:hAnsi="Calibri"/>
                <w:sz w:val="20"/>
                <w:szCs w:val="20"/>
                <w:lang w:eastAsia="en-US"/>
              </w:rPr>
            </w:pPr>
          </w:p>
        </w:tc>
        <w:tc>
          <w:tcPr>
            <w:tcW w:w="774" w:type="dxa"/>
          </w:tcPr>
          <w:p w14:paraId="0C9B352A" w14:textId="77777777" w:rsidR="00614256" w:rsidRPr="00701439" w:rsidRDefault="00614256" w:rsidP="00614256">
            <w:pPr>
              <w:jc w:val="both"/>
              <w:rPr>
                <w:rFonts w:ascii="Calibri" w:eastAsia="Calibri" w:hAnsi="Calibri"/>
                <w:sz w:val="20"/>
                <w:szCs w:val="20"/>
                <w:lang w:eastAsia="en-US"/>
              </w:rPr>
            </w:pPr>
          </w:p>
        </w:tc>
        <w:tc>
          <w:tcPr>
            <w:tcW w:w="1113" w:type="dxa"/>
          </w:tcPr>
          <w:p w14:paraId="39533D7D" w14:textId="77777777" w:rsidR="00614256" w:rsidRPr="00701439" w:rsidRDefault="00614256" w:rsidP="00614256">
            <w:pPr>
              <w:jc w:val="both"/>
              <w:rPr>
                <w:rFonts w:ascii="Calibri" w:eastAsia="Calibri" w:hAnsi="Calibri"/>
                <w:sz w:val="20"/>
                <w:szCs w:val="20"/>
                <w:lang w:eastAsia="en-US"/>
              </w:rPr>
            </w:pPr>
          </w:p>
        </w:tc>
        <w:tc>
          <w:tcPr>
            <w:tcW w:w="269" w:type="dxa"/>
          </w:tcPr>
          <w:p w14:paraId="496AA4D9" w14:textId="77777777" w:rsidR="00614256" w:rsidRPr="00701439" w:rsidRDefault="00614256" w:rsidP="00614256">
            <w:pPr>
              <w:jc w:val="both"/>
              <w:rPr>
                <w:rFonts w:ascii="Calibri" w:eastAsia="Calibri" w:hAnsi="Calibri"/>
                <w:sz w:val="20"/>
                <w:szCs w:val="20"/>
                <w:lang w:eastAsia="en-US"/>
              </w:rPr>
            </w:pPr>
          </w:p>
        </w:tc>
        <w:tc>
          <w:tcPr>
            <w:tcW w:w="1555" w:type="dxa"/>
            <w:gridSpan w:val="2"/>
            <w:hideMark/>
          </w:tcPr>
          <w:p w14:paraId="1B42FAC4" w14:textId="77777777" w:rsidR="00614256" w:rsidRPr="00701439" w:rsidRDefault="00614256" w:rsidP="00614256">
            <w:pPr>
              <w:jc w:val="both"/>
              <w:rPr>
                <w:rFonts w:ascii="Calibri" w:eastAsia="Calibri" w:hAnsi="Calibri"/>
                <w:sz w:val="20"/>
                <w:szCs w:val="20"/>
                <w:lang w:eastAsia="en-US"/>
              </w:rPr>
            </w:pPr>
            <w:r w:rsidRPr="00701439">
              <w:rPr>
                <w:rFonts w:ascii="Calibri" w:eastAsia="Calibri" w:hAnsi="Calibri"/>
                <w:sz w:val="20"/>
                <w:szCs w:val="20"/>
                <w:lang w:eastAsia="en-US"/>
              </w:rPr>
              <w:t>07919 866876</w:t>
            </w:r>
          </w:p>
          <w:p w14:paraId="739AF430" w14:textId="77777777" w:rsidR="00614256" w:rsidRPr="00701439" w:rsidRDefault="00614256" w:rsidP="00614256">
            <w:pPr>
              <w:jc w:val="both"/>
              <w:rPr>
                <w:rFonts w:ascii="Calibri" w:eastAsia="Calibri" w:hAnsi="Calibri"/>
                <w:sz w:val="20"/>
                <w:szCs w:val="20"/>
                <w:lang w:eastAsia="en-US"/>
              </w:rPr>
            </w:pPr>
          </w:p>
        </w:tc>
      </w:tr>
      <w:tr w:rsidR="00614256" w:rsidRPr="00701439" w14:paraId="5149B7AB" w14:textId="77777777">
        <w:trPr>
          <w:gridAfter w:val="1"/>
          <w:wAfter w:w="1062" w:type="dxa"/>
        </w:trPr>
        <w:tc>
          <w:tcPr>
            <w:tcW w:w="4253" w:type="dxa"/>
            <w:hideMark/>
          </w:tcPr>
          <w:p w14:paraId="24082EEF" w14:textId="77777777" w:rsidR="00614256" w:rsidRPr="00701439" w:rsidRDefault="00614256" w:rsidP="00614256">
            <w:pPr>
              <w:ind w:left="-111"/>
              <w:jc w:val="both"/>
              <w:rPr>
                <w:rFonts w:ascii="Calibri" w:eastAsia="Calibri" w:hAnsi="Calibri"/>
                <w:sz w:val="20"/>
                <w:szCs w:val="20"/>
                <w:u w:val="single"/>
                <w:lang w:eastAsia="en-US"/>
              </w:rPr>
            </w:pPr>
            <w:r w:rsidRPr="00701439">
              <w:rPr>
                <w:rFonts w:ascii="Calibri" w:eastAsia="Calibri" w:hAnsi="Calibri"/>
                <w:sz w:val="20"/>
                <w:szCs w:val="20"/>
                <w:lang w:eastAsia="en-US"/>
              </w:rPr>
              <w:t xml:space="preserve">Nick Cosgrove/Simone Selzer, Brunswick </w:t>
            </w:r>
          </w:p>
        </w:tc>
        <w:tc>
          <w:tcPr>
            <w:tcW w:w="774" w:type="dxa"/>
          </w:tcPr>
          <w:p w14:paraId="68FD5CD7" w14:textId="77777777" w:rsidR="00614256" w:rsidRPr="00701439" w:rsidRDefault="00614256" w:rsidP="00614256">
            <w:pPr>
              <w:jc w:val="both"/>
              <w:rPr>
                <w:rFonts w:ascii="Calibri" w:eastAsia="Calibri" w:hAnsi="Calibri"/>
                <w:sz w:val="20"/>
                <w:szCs w:val="20"/>
                <w:lang w:eastAsia="en-US"/>
              </w:rPr>
            </w:pPr>
          </w:p>
        </w:tc>
        <w:tc>
          <w:tcPr>
            <w:tcW w:w="1113" w:type="dxa"/>
          </w:tcPr>
          <w:p w14:paraId="5ADF9206" w14:textId="77777777" w:rsidR="00614256" w:rsidRPr="00701439" w:rsidRDefault="00614256" w:rsidP="00614256">
            <w:pPr>
              <w:jc w:val="both"/>
              <w:rPr>
                <w:rFonts w:ascii="Calibri" w:eastAsia="Calibri" w:hAnsi="Calibri"/>
                <w:sz w:val="20"/>
                <w:szCs w:val="20"/>
                <w:lang w:eastAsia="en-US"/>
              </w:rPr>
            </w:pPr>
          </w:p>
        </w:tc>
        <w:tc>
          <w:tcPr>
            <w:tcW w:w="269" w:type="dxa"/>
          </w:tcPr>
          <w:p w14:paraId="4DF1DBED" w14:textId="77777777" w:rsidR="00614256" w:rsidRPr="00701439" w:rsidRDefault="00614256" w:rsidP="00614256">
            <w:pPr>
              <w:jc w:val="both"/>
              <w:rPr>
                <w:rFonts w:ascii="Calibri" w:eastAsia="Calibri" w:hAnsi="Calibri"/>
                <w:sz w:val="20"/>
                <w:szCs w:val="20"/>
                <w:lang w:eastAsia="en-US"/>
              </w:rPr>
            </w:pPr>
          </w:p>
        </w:tc>
        <w:tc>
          <w:tcPr>
            <w:tcW w:w="1555" w:type="dxa"/>
            <w:gridSpan w:val="2"/>
            <w:hideMark/>
          </w:tcPr>
          <w:p w14:paraId="528EF494" w14:textId="77777777" w:rsidR="00614256" w:rsidRPr="00701439" w:rsidRDefault="00614256" w:rsidP="00614256">
            <w:pPr>
              <w:jc w:val="both"/>
              <w:rPr>
                <w:rFonts w:ascii="Calibri" w:eastAsia="Calibri" w:hAnsi="Calibri"/>
                <w:sz w:val="20"/>
                <w:szCs w:val="20"/>
                <w:lang w:eastAsia="en-US"/>
              </w:rPr>
            </w:pPr>
            <w:r w:rsidRPr="00701439">
              <w:rPr>
                <w:rFonts w:ascii="Calibri" w:eastAsia="Calibri" w:hAnsi="Calibri"/>
                <w:sz w:val="20"/>
                <w:szCs w:val="20"/>
                <w:lang w:eastAsia="en-US"/>
              </w:rPr>
              <w:t>0207 4045959</w:t>
            </w:r>
          </w:p>
        </w:tc>
      </w:tr>
      <w:tr w:rsidR="00614256" w:rsidRPr="00701439" w14:paraId="199826F2" w14:textId="77777777">
        <w:tc>
          <w:tcPr>
            <w:tcW w:w="4253" w:type="dxa"/>
            <w:hideMark/>
          </w:tcPr>
          <w:p w14:paraId="1417F629" w14:textId="5292169F" w:rsidR="00614256" w:rsidRPr="0029571E" w:rsidRDefault="00614256" w:rsidP="00614256">
            <w:pPr>
              <w:spacing w:after="160" w:line="256" w:lineRule="auto"/>
              <w:ind w:left="-110"/>
              <w:rPr>
                <w:rFonts w:ascii="Calibri" w:eastAsia="Calibri" w:hAnsi="Calibri"/>
                <w:sz w:val="20"/>
                <w:szCs w:val="20"/>
              </w:rPr>
            </w:pPr>
            <w:r w:rsidRPr="0029571E">
              <w:rPr>
                <w:rFonts w:ascii="Calibri" w:hAnsi="Calibri"/>
                <w:sz w:val="20"/>
                <w:szCs w:val="20"/>
                <w:u w:val="single"/>
              </w:rPr>
              <w:t>vanquisbankinggroup@brunswickgroup.com</w:t>
            </w:r>
          </w:p>
          <w:p w14:paraId="764B50F8" w14:textId="77777777" w:rsidR="00614256" w:rsidRPr="00701439" w:rsidRDefault="00614256" w:rsidP="00614256">
            <w:pPr>
              <w:ind w:left="-111"/>
              <w:jc w:val="both"/>
              <w:rPr>
                <w:rFonts w:ascii="Calibri" w:eastAsia="Calibri" w:hAnsi="Calibri"/>
                <w:sz w:val="20"/>
                <w:szCs w:val="20"/>
                <w:u w:val="single"/>
                <w:lang w:eastAsia="en-US"/>
              </w:rPr>
            </w:pPr>
          </w:p>
        </w:tc>
        <w:tc>
          <w:tcPr>
            <w:tcW w:w="774" w:type="dxa"/>
          </w:tcPr>
          <w:p w14:paraId="426E1E46" w14:textId="77777777" w:rsidR="00614256" w:rsidRPr="00701439" w:rsidRDefault="00614256" w:rsidP="00614256">
            <w:pPr>
              <w:jc w:val="both"/>
              <w:rPr>
                <w:rFonts w:ascii="Calibri" w:eastAsia="Calibri" w:hAnsi="Calibri"/>
                <w:sz w:val="20"/>
                <w:szCs w:val="20"/>
                <w:lang w:eastAsia="en-US"/>
              </w:rPr>
            </w:pPr>
          </w:p>
        </w:tc>
        <w:tc>
          <w:tcPr>
            <w:tcW w:w="1113" w:type="dxa"/>
          </w:tcPr>
          <w:p w14:paraId="158C37BA" w14:textId="77777777" w:rsidR="00614256" w:rsidRPr="00701439" w:rsidRDefault="00614256" w:rsidP="00614256">
            <w:pPr>
              <w:jc w:val="both"/>
              <w:rPr>
                <w:rFonts w:ascii="Calibri" w:eastAsia="Calibri" w:hAnsi="Calibri"/>
                <w:sz w:val="20"/>
                <w:szCs w:val="20"/>
                <w:lang w:eastAsia="en-US"/>
              </w:rPr>
            </w:pPr>
          </w:p>
        </w:tc>
        <w:tc>
          <w:tcPr>
            <w:tcW w:w="1435" w:type="dxa"/>
            <w:gridSpan w:val="2"/>
          </w:tcPr>
          <w:p w14:paraId="3F429B4F" w14:textId="77777777" w:rsidR="00614256" w:rsidRPr="00701439" w:rsidRDefault="00614256" w:rsidP="00614256">
            <w:pPr>
              <w:jc w:val="both"/>
              <w:rPr>
                <w:rFonts w:ascii="Calibri" w:eastAsia="Calibri" w:hAnsi="Calibri"/>
                <w:sz w:val="20"/>
                <w:szCs w:val="20"/>
                <w:lang w:eastAsia="en-US"/>
              </w:rPr>
            </w:pPr>
          </w:p>
        </w:tc>
        <w:tc>
          <w:tcPr>
            <w:tcW w:w="1451" w:type="dxa"/>
            <w:gridSpan w:val="2"/>
          </w:tcPr>
          <w:p w14:paraId="794CFD23" w14:textId="77777777" w:rsidR="00614256" w:rsidRPr="00701439" w:rsidRDefault="00614256" w:rsidP="00614256">
            <w:pPr>
              <w:jc w:val="both"/>
              <w:rPr>
                <w:rFonts w:ascii="Calibri" w:eastAsia="Calibri" w:hAnsi="Calibri"/>
                <w:sz w:val="20"/>
                <w:szCs w:val="20"/>
                <w:lang w:eastAsia="en-US"/>
              </w:rPr>
            </w:pPr>
          </w:p>
        </w:tc>
      </w:tr>
    </w:tbl>
    <w:p w14:paraId="789B5B12" w14:textId="77777777" w:rsidR="00614256" w:rsidRPr="00701439" w:rsidRDefault="00614256" w:rsidP="00297293">
      <w:pPr>
        <w:pStyle w:val="NoSpacing"/>
        <w:jc w:val="both"/>
        <w:rPr>
          <w:rFonts w:cs="Arial"/>
          <w:i/>
          <w:sz w:val="20"/>
          <w:szCs w:val="20"/>
          <w:vertAlign w:val="superscript"/>
        </w:rPr>
      </w:pPr>
    </w:p>
    <w:p w14:paraId="746AE041" w14:textId="2D7AC8C8" w:rsidR="00A07A21" w:rsidRPr="00701439" w:rsidRDefault="00BA4DFA" w:rsidP="00B52887">
      <w:pPr>
        <w:pStyle w:val="NoSpacing"/>
        <w:ind w:left="284" w:hanging="284"/>
        <w:jc w:val="both"/>
        <w:rPr>
          <w:rFonts w:cs="Arial"/>
          <w:i/>
          <w:sz w:val="20"/>
          <w:szCs w:val="20"/>
        </w:rPr>
      </w:pPr>
      <w:r w:rsidRPr="00701439">
        <w:rPr>
          <w:rFonts w:cs="Arial"/>
          <w:i/>
          <w:sz w:val="20"/>
          <w:szCs w:val="20"/>
          <w:vertAlign w:val="superscript"/>
        </w:rPr>
        <w:t>1</w:t>
      </w:r>
      <w:r w:rsidR="00A07A21" w:rsidRPr="00701439">
        <w:rPr>
          <w:rFonts w:cs="Arial"/>
          <w:i/>
          <w:sz w:val="20"/>
          <w:szCs w:val="20"/>
          <w:vertAlign w:val="superscript"/>
        </w:rPr>
        <w:tab/>
      </w:r>
      <w:r w:rsidR="00B52887" w:rsidRPr="00701439">
        <w:rPr>
          <w:rFonts w:cs="Arial"/>
          <w:i/>
          <w:iCs/>
          <w:sz w:val="20"/>
          <w:szCs w:val="20"/>
        </w:rPr>
        <w:t>Adjusted profit before tax</w:t>
      </w:r>
      <w:r w:rsidR="00685ED0" w:rsidRPr="00701439">
        <w:rPr>
          <w:rFonts w:cs="Arial"/>
          <w:i/>
          <w:iCs/>
          <w:sz w:val="20"/>
          <w:szCs w:val="20"/>
        </w:rPr>
        <w:t xml:space="preserve">ation from </w:t>
      </w:r>
      <w:r w:rsidR="00B63BD2" w:rsidRPr="00701439">
        <w:rPr>
          <w:rFonts w:cs="Arial"/>
          <w:i/>
          <w:iCs/>
          <w:sz w:val="20"/>
          <w:szCs w:val="20"/>
        </w:rPr>
        <w:t>continuing operations</w:t>
      </w:r>
      <w:r w:rsidR="00B52887" w:rsidRPr="00701439">
        <w:rPr>
          <w:rFonts w:cs="Arial"/>
          <w:i/>
          <w:iCs/>
          <w:sz w:val="20"/>
          <w:szCs w:val="20"/>
        </w:rPr>
        <w:t xml:space="preserve"> is stated before amortisation in respect of acquisition intangibles established </w:t>
      </w:r>
      <w:r w:rsidR="00E23EDA" w:rsidRPr="00701439">
        <w:rPr>
          <w:rFonts w:cs="Arial"/>
          <w:i/>
          <w:iCs/>
          <w:sz w:val="20"/>
          <w:szCs w:val="20"/>
        </w:rPr>
        <w:t>as</w:t>
      </w:r>
      <w:r w:rsidR="00E06A3C" w:rsidRPr="00701439">
        <w:rPr>
          <w:rFonts w:cs="Arial"/>
          <w:i/>
          <w:iCs/>
          <w:sz w:val="20"/>
          <w:szCs w:val="20"/>
        </w:rPr>
        <w:t xml:space="preserve"> </w:t>
      </w:r>
      <w:r w:rsidR="00E23EDA" w:rsidRPr="00701439">
        <w:rPr>
          <w:rFonts w:cs="Arial"/>
          <w:i/>
          <w:iCs/>
          <w:sz w:val="20"/>
          <w:szCs w:val="20"/>
        </w:rPr>
        <w:t>part</w:t>
      </w:r>
      <w:r w:rsidR="00B52887" w:rsidRPr="00701439">
        <w:rPr>
          <w:rFonts w:cs="Arial"/>
          <w:i/>
          <w:iCs/>
          <w:sz w:val="20"/>
          <w:szCs w:val="20"/>
        </w:rPr>
        <w:t xml:space="preserve"> of the acquisition of Moneybarn in August 2014</w:t>
      </w:r>
      <w:r w:rsidR="00E23EDA" w:rsidRPr="00701439">
        <w:rPr>
          <w:rFonts w:cs="Arial"/>
          <w:i/>
          <w:iCs/>
          <w:sz w:val="20"/>
          <w:szCs w:val="20"/>
        </w:rPr>
        <w:t>;</w:t>
      </w:r>
      <w:r w:rsidR="00B52887" w:rsidRPr="00701439">
        <w:rPr>
          <w:rFonts w:cs="Arial"/>
          <w:i/>
          <w:iCs/>
          <w:sz w:val="20"/>
          <w:szCs w:val="20"/>
        </w:rPr>
        <w:t xml:space="preserve"> exceptional </w:t>
      </w:r>
      <w:r w:rsidR="00E23EDA" w:rsidRPr="00701439">
        <w:rPr>
          <w:rFonts w:cs="Arial"/>
          <w:i/>
          <w:iCs/>
          <w:sz w:val="20"/>
          <w:szCs w:val="20"/>
        </w:rPr>
        <w:t>items</w:t>
      </w:r>
      <w:r w:rsidR="00B52887" w:rsidRPr="00701439">
        <w:rPr>
          <w:rFonts w:cs="Arial"/>
          <w:i/>
          <w:iCs/>
          <w:sz w:val="20"/>
          <w:szCs w:val="20"/>
        </w:rPr>
        <w:t xml:space="preserve"> and </w:t>
      </w:r>
      <w:r w:rsidR="00E23EDA" w:rsidRPr="00701439">
        <w:rPr>
          <w:rFonts w:cs="Arial"/>
          <w:i/>
          <w:iCs/>
          <w:sz w:val="20"/>
          <w:szCs w:val="20"/>
        </w:rPr>
        <w:t>any losses incurred</w:t>
      </w:r>
      <w:r w:rsidR="00B52887" w:rsidRPr="00701439">
        <w:rPr>
          <w:rFonts w:cs="Arial"/>
          <w:i/>
          <w:iCs/>
          <w:sz w:val="20"/>
          <w:szCs w:val="20"/>
        </w:rPr>
        <w:t xml:space="preserve"> relating to CCD</w:t>
      </w:r>
      <w:r w:rsidR="009834BC" w:rsidRPr="00701439">
        <w:rPr>
          <w:rFonts w:cs="Arial"/>
          <w:i/>
          <w:sz w:val="20"/>
          <w:szCs w:val="20"/>
        </w:rPr>
        <w:t>.</w:t>
      </w:r>
    </w:p>
    <w:p w14:paraId="4F548569" w14:textId="777B1ED3" w:rsidR="00F01EC8" w:rsidRPr="00701439" w:rsidRDefault="0017392F" w:rsidP="00E534C5">
      <w:pPr>
        <w:pStyle w:val="NoSpacing"/>
        <w:ind w:left="284" w:hanging="284"/>
        <w:jc w:val="both"/>
        <w:rPr>
          <w:rFonts w:cs="Arial"/>
          <w:i/>
          <w:sz w:val="20"/>
          <w:szCs w:val="20"/>
        </w:rPr>
      </w:pPr>
      <w:r w:rsidRPr="00701439">
        <w:rPr>
          <w:rFonts w:cs="Arial"/>
          <w:i/>
          <w:sz w:val="20"/>
          <w:szCs w:val="20"/>
        </w:rPr>
        <w:t xml:space="preserve"> </w:t>
      </w:r>
      <w:r w:rsidR="00BA4DFA" w:rsidRPr="00701439">
        <w:rPr>
          <w:rFonts w:cs="Arial"/>
          <w:i/>
          <w:sz w:val="20"/>
          <w:szCs w:val="20"/>
          <w:vertAlign w:val="superscript"/>
        </w:rPr>
        <w:t>2</w:t>
      </w:r>
      <w:r w:rsidR="00F01EC8" w:rsidRPr="00701439">
        <w:rPr>
          <w:rFonts w:cs="Arial"/>
          <w:i/>
          <w:sz w:val="20"/>
          <w:szCs w:val="20"/>
          <w:vertAlign w:val="superscript"/>
        </w:rPr>
        <w:tab/>
      </w:r>
      <w:r w:rsidR="00282925" w:rsidRPr="00701439">
        <w:rPr>
          <w:i/>
          <w:iCs/>
          <w:sz w:val="20"/>
          <w:szCs w:val="20"/>
        </w:rPr>
        <w:t xml:space="preserve">Adjusted </w:t>
      </w:r>
      <w:proofErr w:type="gramStart"/>
      <w:r w:rsidR="00D54F1D" w:rsidRPr="00701439">
        <w:rPr>
          <w:i/>
          <w:iCs/>
          <w:sz w:val="20"/>
          <w:szCs w:val="20"/>
        </w:rPr>
        <w:t>return</w:t>
      </w:r>
      <w:proofErr w:type="gramEnd"/>
      <w:r w:rsidR="00D54F1D" w:rsidRPr="00701439">
        <w:rPr>
          <w:i/>
          <w:iCs/>
          <w:sz w:val="20"/>
          <w:szCs w:val="20"/>
        </w:rPr>
        <w:t xml:space="preserve"> on required equity</w:t>
      </w:r>
      <w:r w:rsidR="00E3258E" w:rsidRPr="00701439">
        <w:rPr>
          <w:i/>
          <w:iCs/>
          <w:sz w:val="20"/>
          <w:szCs w:val="20"/>
        </w:rPr>
        <w:t xml:space="preserve"> (RORE) </w:t>
      </w:r>
      <w:r w:rsidR="00B77A63" w:rsidRPr="00701439">
        <w:rPr>
          <w:i/>
          <w:iCs/>
          <w:sz w:val="20"/>
          <w:szCs w:val="20"/>
        </w:rPr>
        <w:t xml:space="preserve">is defined as </w:t>
      </w:r>
      <w:r w:rsidR="007F39A3" w:rsidRPr="00701439">
        <w:rPr>
          <w:i/>
          <w:iCs/>
          <w:sz w:val="20"/>
          <w:szCs w:val="20"/>
        </w:rPr>
        <w:t xml:space="preserve">adjusted profit after tax for the 12 months ended 31 December as a percentage of average adjusted tangible equity for the 13 months ended 31 December. Adjusted tangible equity is stated as equity after deducting the Group’s pension asset, net of deferred tax, the fair value of derivative financial instruments, net of deferred tax </w:t>
      </w:r>
      <w:proofErr w:type="gramStart"/>
      <w:r w:rsidR="007F39A3" w:rsidRPr="00701439">
        <w:rPr>
          <w:i/>
          <w:iCs/>
          <w:sz w:val="20"/>
          <w:szCs w:val="20"/>
        </w:rPr>
        <w:t>less</w:t>
      </w:r>
      <w:proofErr w:type="gramEnd"/>
      <w:r w:rsidR="007F39A3" w:rsidRPr="00701439">
        <w:rPr>
          <w:i/>
          <w:iCs/>
          <w:sz w:val="20"/>
          <w:szCs w:val="20"/>
        </w:rPr>
        <w:t xml:space="preserve"> intangible assets and goodwill</w:t>
      </w:r>
      <w:r w:rsidR="00B54670" w:rsidRPr="00701439">
        <w:rPr>
          <w:i/>
          <w:iCs/>
          <w:sz w:val="20"/>
          <w:szCs w:val="20"/>
        </w:rPr>
        <w:t>.</w:t>
      </w:r>
    </w:p>
    <w:p w14:paraId="393BB2AD" w14:textId="55EFC73A" w:rsidR="0001424D" w:rsidRPr="00701439" w:rsidRDefault="00ED458D" w:rsidP="002645D3">
      <w:pPr>
        <w:pStyle w:val="NoSpacing"/>
        <w:ind w:left="284" w:hanging="284"/>
        <w:jc w:val="both"/>
        <w:rPr>
          <w:i/>
          <w:sz w:val="20"/>
          <w:szCs w:val="20"/>
        </w:rPr>
      </w:pPr>
      <w:r w:rsidRPr="00701439">
        <w:rPr>
          <w:rFonts w:cs="Arial"/>
          <w:i/>
          <w:sz w:val="20"/>
          <w:szCs w:val="20"/>
          <w:vertAlign w:val="superscript"/>
        </w:rPr>
        <w:t xml:space="preserve">3 </w:t>
      </w:r>
      <w:r w:rsidR="00045876" w:rsidRPr="00701439">
        <w:rPr>
          <w:rFonts w:cs="Arial"/>
          <w:i/>
          <w:sz w:val="20"/>
          <w:szCs w:val="20"/>
          <w:vertAlign w:val="superscript"/>
        </w:rPr>
        <w:t xml:space="preserve">  </w:t>
      </w:r>
      <w:r w:rsidR="00F4154B" w:rsidRPr="00701439">
        <w:rPr>
          <w:rFonts w:cs="Arial"/>
          <w:i/>
          <w:sz w:val="20"/>
          <w:szCs w:val="20"/>
          <w:vertAlign w:val="superscript"/>
        </w:rPr>
        <w:t xml:space="preserve"> </w:t>
      </w:r>
      <w:r w:rsidR="00B022B9" w:rsidRPr="00701439">
        <w:rPr>
          <w:rFonts w:cs="Arial"/>
          <w:i/>
          <w:sz w:val="20"/>
          <w:szCs w:val="20"/>
          <w:vertAlign w:val="superscript"/>
        </w:rPr>
        <w:tab/>
      </w:r>
      <w:r w:rsidR="005D3FA1" w:rsidRPr="00701439">
        <w:rPr>
          <w:i/>
          <w:iCs/>
          <w:sz w:val="20"/>
          <w:szCs w:val="20"/>
        </w:rPr>
        <w:t xml:space="preserve">Adjusted </w:t>
      </w:r>
      <w:r w:rsidR="00707D7B" w:rsidRPr="00701439">
        <w:rPr>
          <w:i/>
          <w:iCs/>
          <w:sz w:val="20"/>
          <w:szCs w:val="20"/>
        </w:rPr>
        <w:t>basic EPS from continuing operations is defined as profit after tax stated before amortisation of acquisition intangibles</w:t>
      </w:r>
      <w:r w:rsidR="00A51813">
        <w:rPr>
          <w:i/>
          <w:iCs/>
          <w:sz w:val="20"/>
          <w:szCs w:val="20"/>
        </w:rPr>
        <w:t>,</w:t>
      </w:r>
      <w:r w:rsidR="00707D7B" w:rsidRPr="00701439">
        <w:rPr>
          <w:i/>
          <w:iCs/>
          <w:sz w:val="20"/>
          <w:szCs w:val="20"/>
        </w:rPr>
        <w:t xml:space="preserve"> exceptional items and any losses incurred relating to CCD. Basic EPS from continuing operations is defined as profit after tax before any losses incurred relating to CCD</w:t>
      </w:r>
      <w:r w:rsidR="00B54670" w:rsidRPr="00701439">
        <w:rPr>
          <w:i/>
          <w:iCs/>
          <w:sz w:val="20"/>
          <w:szCs w:val="20"/>
        </w:rPr>
        <w:t>.</w:t>
      </w:r>
    </w:p>
    <w:p w14:paraId="3CDCE74B" w14:textId="167ED2DC" w:rsidR="00DE1ED5" w:rsidRPr="00701439" w:rsidRDefault="00B54670" w:rsidP="002645D3">
      <w:pPr>
        <w:pStyle w:val="NoSpacing"/>
        <w:ind w:left="284" w:hanging="284"/>
        <w:jc w:val="both"/>
        <w:rPr>
          <w:rFonts w:cs="Arial"/>
          <w:i/>
          <w:iCs/>
          <w:sz w:val="18"/>
          <w:szCs w:val="18"/>
          <w:vertAlign w:val="superscript"/>
        </w:rPr>
      </w:pPr>
      <w:r w:rsidRPr="00701439">
        <w:rPr>
          <w:rFonts w:cs="Arial"/>
          <w:i/>
          <w:sz w:val="20"/>
          <w:szCs w:val="20"/>
          <w:vertAlign w:val="superscript"/>
        </w:rPr>
        <w:t xml:space="preserve">4    </w:t>
      </w:r>
      <w:r w:rsidRPr="00701439">
        <w:rPr>
          <w:rFonts w:cs="Arial"/>
          <w:i/>
          <w:sz w:val="20"/>
          <w:szCs w:val="20"/>
          <w:vertAlign w:val="superscript"/>
        </w:rPr>
        <w:tab/>
      </w:r>
      <w:r w:rsidRPr="00701439">
        <w:rPr>
          <w:i/>
          <w:iCs/>
          <w:sz w:val="20"/>
          <w:szCs w:val="20"/>
        </w:rPr>
        <w:t xml:space="preserve">Adjusted </w:t>
      </w:r>
      <w:r w:rsidR="00FB11EC" w:rsidRPr="00701439">
        <w:rPr>
          <w:i/>
          <w:iCs/>
          <w:sz w:val="20"/>
          <w:szCs w:val="20"/>
        </w:rPr>
        <w:t xml:space="preserve">continuing earnings </w:t>
      </w:r>
      <w:r w:rsidR="00615F8B" w:rsidRPr="00701439">
        <w:rPr>
          <w:i/>
          <w:iCs/>
          <w:sz w:val="20"/>
          <w:szCs w:val="20"/>
        </w:rPr>
        <w:t xml:space="preserve">is defined as profit after tax from continuing </w:t>
      </w:r>
      <w:r w:rsidR="00F814FF" w:rsidRPr="00701439">
        <w:rPr>
          <w:i/>
          <w:iCs/>
          <w:sz w:val="20"/>
          <w:szCs w:val="20"/>
        </w:rPr>
        <w:t>operations before amortisation of acquisition intangibles and any exceptional items including one</w:t>
      </w:r>
      <w:r w:rsidR="00C776CA" w:rsidRPr="00701439">
        <w:rPr>
          <w:i/>
          <w:iCs/>
          <w:sz w:val="20"/>
          <w:szCs w:val="20"/>
        </w:rPr>
        <w:t xml:space="preserve">-off provision </w:t>
      </w:r>
      <w:r w:rsidR="009E7AD9" w:rsidRPr="00701439">
        <w:rPr>
          <w:i/>
          <w:iCs/>
          <w:sz w:val="20"/>
          <w:szCs w:val="20"/>
        </w:rPr>
        <w:t>releases</w:t>
      </w:r>
      <w:r w:rsidRPr="00701439">
        <w:rPr>
          <w:i/>
          <w:iCs/>
          <w:sz w:val="20"/>
          <w:szCs w:val="20"/>
        </w:rPr>
        <w:t>.</w:t>
      </w:r>
    </w:p>
    <w:p w14:paraId="139D8B88" w14:textId="77777777" w:rsidR="0054747F" w:rsidRDefault="0054747F" w:rsidP="0002541E">
      <w:pPr>
        <w:spacing w:after="160"/>
        <w:ind w:left="-110"/>
        <w:jc w:val="both"/>
        <w:rPr>
          <w:rFonts w:asciiTheme="minorHAnsi" w:hAnsiTheme="minorHAnsi" w:cs="Arial"/>
          <w:b/>
          <w:bCs/>
          <w:color w:val="4747FF"/>
          <w:sz w:val="22"/>
          <w:szCs w:val="22"/>
        </w:rPr>
      </w:pPr>
    </w:p>
    <w:p w14:paraId="3F63E640" w14:textId="73AB7467" w:rsidR="00140E67" w:rsidRPr="00701439" w:rsidRDefault="00787E26" w:rsidP="0002541E">
      <w:pPr>
        <w:spacing w:after="160"/>
        <w:ind w:left="-110"/>
        <w:jc w:val="both"/>
        <w:rPr>
          <w:rFonts w:asciiTheme="minorHAnsi" w:hAnsiTheme="minorHAnsi" w:cstheme="minorBidi"/>
          <w:b/>
          <w:bCs/>
          <w:sz w:val="20"/>
          <w:szCs w:val="20"/>
        </w:rPr>
      </w:pPr>
      <w:r w:rsidRPr="00701439">
        <w:rPr>
          <w:rFonts w:asciiTheme="minorHAnsi" w:hAnsiTheme="minorHAnsi" w:cs="Arial"/>
          <w:b/>
          <w:bCs/>
          <w:color w:val="4747FF"/>
          <w:sz w:val="22"/>
          <w:szCs w:val="22"/>
        </w:rPr>
        <w:t>N</w:t>
      </w:r>
      <w:r w:rsidR="00F01EC8" w:rsidRPr="00701439">
        <w:rPr>
          <w:rFonts w:asciiTheme="minorHAnsi" w:hAnsiTheme="minorHAnsi" w:cs="Arial"/>
          <w:b/>
          <w:bCs/>
          <w:color w:val="4747FF"/>
          <w:sz w:val="22"/>
          <w:szCs w:val="22"/>
        </w:rPr>
        <w:t>ote</w:t>
      </w:r>
      <w:r w:rsidR="009F7058" w:rsidRPr="00701439">
        <w:rPr>
          <w:rFonts w:asciiTheme="minorHAnsi" w:hAnsiTheme="minorHAnsi" w:cstheme="minorBidi"/>
          <w:b/>
          <w:bCs/>
          <w:sz w:val="20"/>
          <w:szCs w:val="20"/>
        </w:rPr>
        <w:t>:</w:t>
      </w:r>
    </w:p>
    <w:p w14:paraId="47CE1817" w14:textId="6397E20C" w:rsidR="00E838F4" w:rsidRPr="00701439" w:rsidRDefault="0001424D" w:rsidP="00E534C5">
      <w:pPr>
        <w:pStyle w:val="NoSpacing"/>
        <w:jc w:val="both"/>
        <w:rPr>
          <w:rStyle w:val="Strong"/>
          <w:sz w:val="20"/>
          <w:szCs w:val="20"/>
        </w:rPr>
      </w:pPr>
      <w:r w:rsidRPr="00701439">
        <w:rPr>
          <w:sz w:val="20"/>
          <w:szCs w:val="20"/>
          <w:lang w:bidi="en-GB"/>
        </w:rPr>
        <w:t xml:space="preserve">This report may contain certain "forward looking statements" regarding the financial position, business strategy or plans for future operations of </w:t>
      </w:r>
      <w:r w:rsidR="00BB59E6" w:rsidRPr="00701439">
        <w:rPr>
          <w:sz w:val="20"/>
          <w:szCs w:val="20"/>
          <w:lang w:bidi="en-GB"/>
        </w:rPr>
        <w:t>Vanquis Banking Group</w:t>
      </w:r>
      <w:r w:rsidRPr="00701439">
        <w:rPr>
          <w:sz w:val="20"/>
          <w:szCs w:val="20"/>
          <w:lang w:bidi="en-GB"/>
        </w:rPr>
        <w:t xml:space="preserve">. All statements other than statements of historical fact included in this document may be forward looking statements. Forward looking statements also often use words such as "believe", "expect", "estimate", "intend", "anticipate" and words of a similar meaning. By their nature, forward looking statements involve risk and uncertainty that could cause actual results to differ from those suggested by them. Much of the risk and uncertainty relates to factors that are beyond </w:t>
      </w:r>
      <w:r w:rsidR="00BB59E6" w:rsidRPr="00701439">
        <w:rPr>
          <w:sz w:val="20"/>
          <w:szCs w:val="20"/>
          <w:lang w:bidi="en-GB"/>
        </w:rPr>
        <w:t xml:space="preserve">Vanquis Banking Group’s </w:t>
      </w:r>
      <w:r w:rsidRPr="00701439">
        <w:rPr>
          <w:sz w:val="20"/>
          <w:szCs w:val="20"/>
          <w:lang w:bidi="en-GB"/>
        </w:rPr>
        <w:t xml:space="preserve">ability to control or estimate precisely, such as future market conditions and the behaviours of other market participants, and therefore undue reliance should not be placed on such statements which speak only as at the date of this report. </w:t>
      </w:r>
      <w:r w:rsidR="00BB59E6" w:rsidRPr="00701439">
        <w:rPr>
          <w:sz w:val="20"/>
          <w:szCs w:val="20"/>
          <w:lang w:bidi="en-GB"/>
        </w:rPr>
        <w:t xml:space="preserve">Vanquis Banking Group </w:t>
      </w:r>
      <w:r w:rsidRPr="00701439">
        <w:rPr>
          <w:sz w:val="20"/>
          <w:szCs w:val="20"/>
          <w:lang w:bidi="en-GB"/>
        </w:rPr>
        <w:t xml:space="preserve">does not assume any obligation to, and does not intend to, </w:t>
      </w:r>
      <w:proofErr w:type="gramStart"/>
      <w:r w:rsidRPr="00701439">
        <w:rPr>
          <w:sz w:val="20"/>
          <w:szCs w:val="20"/>
          <w:lang w:bidi="en-GB"/>
        </w:rPr>
        <w:t>revise</w:t>
      </w:r>
      <w:proofErr w:type="gramEnd"/>
      <w:r w:rsidRPr="00701439">
        <w:rPr>
          <w:sz w:val="20"/>
          <w:szCs w:val="20"/>
          <w:lang w:bidi="en-GB"/>
        </w:rPr>
        <w:t xml:space="preserve"> or update these </w:t>
      </w:r>
      <w:r w:rsidR="007D46C8" w:rsidRPr="00701439">
        <w:rPr>
          <w:sz w:val="20"/>
          <w:szCs w:val="20"/>
          <w:lang w:bidi="en-GB"/>
        </w:rPr>
        <w:t>forward-looking</w:t>
      </w:r>
      <w:r w:rsidRPr="00701439">
        <w:rPr>
          <w:sz w:val="20"/>
          <w:szCs w:val="20"/>
          <w:lang w:bidi="en-GB"/>
        </w:rPr>
        <w:t xml:space="preserve"> statements, except as required pursuant to applicable law or regulation. No statement in this announcement is intended as a profit forecast or estimate for any period. No statement in this announcement should be interpreted to indicate a particular level of profit and, </w:t>
      </w:r>
      <w:proofErr w:type="gramStart"/>
      <w:r w:rsidRPr="00701439">
        <w:rPr>
          <w:sz w:val="20"/>
          <w:szCs w:val="20"/>
          <w:lang w:bidi="en-GB"/>
        </w:rPr>
        <w:t>as a consequence</w:t>
      </w:r>
      <w:proofErr w:type="gramEnd"/>
      <w:r w:rsidRPr="00701439">
        <w:rPr>
          <w:sz w:val="20"/>
          <w:szCs w:val="20"/>
          <w:lang w:bidi="en-GB"/>
        </w:rPr>
        <w:t>, it should not be possible to derive a profit figure for any future period from this report</w:t>
      </w:r>
      <w:r w:rsidR="002A41A1" w:rsidRPr="00701439">
        <w:rPr>
          <w:sz w:val="20"/>
          <w:szCs w:val="20"/>
          <w:lang w:bidi="en-GB"/>
        </w:rPr>
        <w:t>.</w:t>
      </w:r>
    </w:p>
    <w:p w14:paraId="4AC84FBC" w14:textId="67963D42" w:rsidR="00355169" w:rsidRPr="00701439" w:rsidRDefault="00355169" w:rsidP="00E534C5">
      <w:pPr>
        <w:jc w:val="both"/>
        <w:rPr>
          <w:rStyle w:val="Strong"/>
          <w:rFonts w:asciiTheme="minorHAnsi" w:eastAsiaTheme="minorHAnsi" w:hAnsiTheme="minorHAnsi" w:cstheme="minorBidi"/>
          <w:sz w:val="20"/>
          <w:szCs w:val="20"/>
          <w:lang w:eastAsia="en-US"/>
        </w:rPr>
      </w:pPr>
      <w:r w:rsidRPr="00701439">
        <w:rPr>
          <w:rStyle w:val="Strong"/>
          <w:rFonts w:asciiTheme="minorHAnsi" w:hAnsiTheme="minorHAnsi"/>
          <w:sz w:val="20"/>
          <w:szCs w:val="20"/>
        </w:rPr>
        <w:br w:type="page"/>
      </w:r>
    </w:p>
    <w:p w14:paraId="2C8E5817" w14:textId="229BB7D7" w:rsidR="00A75468" w:rsidRPr="00701439" w:rsidRDefault="00A75468" w:rsidP="00A75468">
      <w:pPr>
        <w:spacing w:after="160"/>
        <w:jc w:val="both"/>
        <w:rPr>
          <w:rStyle w:val="Strong"/>
          <w:rFonts w:asciiTheme="minorHAnsi" w:hAnsiTheme="minorHAnsi" w:cs="Arial"/>
          <w:color w:val="4747FF"/>
          <w:sz w:val="22"/>
          <w:szCs w:val="22"/>
        </w:rPr>
      </w:pPr>
      <w:bookmarkStart w:id="4" w:name="_Hlk71289001"/>
      <w:bookmarkStart w:id="5" w:name="_Hlk71289099"/>
      <w:r w:rsidRPr="00701439">
        <w:rPr>
          <w:rFonts w:asciiTheme="minorHAnsi" w:hAnsiTheme="minorHAnsi" w:cs="Arial"/>
          <w:b/>
          <w:bCs/>
          <w:color w:val="4747FF"/>
          <w:sz w:val="22"/>
          <w:szCs w:val="22"/>
        </w:rPr>
        <w:lastRenderedPageBreak/>
        <w:t>C</w:t>
      </w:r>
      <w:r w:rsidR="00F01EC8" w:rsidRPr="00701439">
        <w:rPr>
          <w:rFonts w:asciiTheme="minorHAnsi" w:hAnsiTheme="minorHAnsi" w:cs="Arial"/>
          <w:b/>
          <w:bCs/>
          <w:color w:val="4747FF"/>
          <w:sz w:val="22"/>
          <w:szCs w:val="22"/>
        </w:rPr>
        <w:t>hief Executive Officer’s revie</w:t>
      </w:r>
      <w:r w:rsidR="009262FD" w:rsidRPr="00701439">
        <w:rPr>
          <w:rFonts w:asciiTheme="minorHAnsi" w:hAnsiTheme="minorHAnsi" w:cs="Arial"/>
          <w:b/>
          <w:bCs/>
          <w:color w:val="4747FF"/>
          <w:sz w:val="22"/>
          <w:szCs w:val="22"/>
        </w:rPr>
        <w:t>w</w:t>
      </w:r>
    </w:p>
    <w:p w14:paraId="2DFC43B6" w14:textId="415E8000" w:rsidR="00F01EC8" w:rsidRPr="00701439" w:rsidRDefault="00F01EC8" w:rsidP="00A75468">
      <w:pPr>
        <w:spacing w:after="160"/>
        <w:jc w:val="both"/>
        <w:rPr>
          <w:rStyle w:val="Strong"/>
          <w:b w:val="0"/>
          <w:bCs w:val="0"/>
          <w:sz w:val="20"/>
          <w:szCs w:val="20"/>
        </w:rPr>
      </w:pPr>
      <w:r w:rsidRPr="00701439">
        <w:rPr>
          <w:rFonts w:asciiTheme="minorHAnsi" w:hAnsiTheme="minorHAnsi" w:cs="Arial"/>
          <w:b/>
          <w:bCs/>
          <w:color w:val="4747FF"/>
          <w:sz w:val="22"/>
          <w:szCs w:val="22"/>
        </w:rPr>
        <w:t>Introductio</w:t>
      </w:r>
      <w:r w:rsidR="009262FD" w:rsidRPr="00701439">
        <w:rPr>
          <w:rFonts w:asciiTheme="minorHAnsi" w:hAnsiTheme="minorHAnsi" w:cs="Arial"/>
          <w:b/>
          <w:bCs/>
          <w:color w:val="4747FF"/>
          <w:sz w:val="22"/>
          <w:szCs w:val="22"/>
        </w:rPr>
        <w:t>n</w:t>
      </w:r>
    </w:p>
    <w:p w14:paraId="10E076BF" w14:textId="704CA4CA" w:rsidR="00FB4CAB" w:rsidRPr="00701439" w:rsidRDefault="00FB4CAB" w:rsidP="00E534C5">
      <w:pPr>
        <w:pStyle w:val="NoSpacing"/>
        <w:jc w:val="both"/>
        <w:rPr>
          <w:bCs/>
          <w:sz w:val="20"/>
          <w:szCs w:val="20"/>
        </w:rPr>
      </w:pPr>
      <w:r w:rsidRPr="00701439">
        <w:rPr>
          <w:rStyle w:val="Strong"/>
          <w:b w:val="0"/>
          <w:sz w:val="20"/>
          <w:szCs w:val="20"/>
        </w:rPr>
        <w:t xml:space="preserve">2022 </w:t>
      </w:r>
      <w:r w:rsidR="00D81074" w:rsidRPr="00701439">
        <w:rPr>
          <w:rStyle w:val="Strong"/>
          <w:b w:val="0"/>
          <w:sz w:val="20"/>
          <w:szCs w:val="20"/>
        </w:rPr>
        <w:t xml:space="preserve">was another important year for the Group </w:t>
      </w:r>
      <w:r w:rsidR="00FF0A95" w:rsidRPr="00701439">
        <w:rPr>
          <w:rStyle w:val="Strong"/>
          <w:b w:val="0"/>
          <w:sz w:val="20"/>
          <w:szCs w:val="20"/>
        </w:rPr>
        <w:t xml:space="preserve">and one that </w:t>
      </w:r>
      <w:r w:rsidR="00FC6447" w:rsidRPr="00701439">
        <w:rPr>
          <w:rStyle w:val="Strong"/>
          <w:b w:val="0"/>
          <w:sz w:val="20"/>
          <w:szCs w:val="20"/>
        </w:rPr>
        <w:t>reinforced</w:t>
      </w:r>
      <w:r w:rsidR="00FF0A95" w:rsidRPr="00701439">
        <w:rPr>
          <w:rStyle w:val="Strong"/>
          <w:b w:val="0"/>
          <w:sz w:val="20"/>
          <w:szCs w:val="20"/>
        </w:rPr>
        <w:t xml:space="preserve"> </w:t>
      </w:r>
      <w:r w:rsidR="00E43025" w:rsidRPr="00701439">
        <w:rPr>
          <w:rStyle w:val="Strong"/>
          <w:b w:val="0"/>
          <w:sz w:val="20"/>
          <w:szCs w:val="20"/>
        </w:rPr>
        <w:t>its</w:t>
      </w:r>
      <w:r w:rsidR="00FC6447" w:rsidRPr="00701439">
        <w:rPr>
          <w:rStyle w:val="Strong"/>
          <w:b w:val="0"/>
          <w:sz w:val="20"/>
          <w:szCs w:val="20"/>
        </w:rPr>
        <w:t xml:space="preserve"> strategic advantages </w:t>
      </w:r>
      <w:r w:rsidR="00CD25F3" w:rsidRPr="00701439">
        <w:rPr>
          <w:rStyle w:val="Strong"/>
          <w:b w:val="0"/>
          <w:sz w:val="20"/>
          <w:szCs w:val="20"/>
        </w:rPr>
        <w:t xml:space="preserve">of a </w:t>
      </w:r>
      <w:r w:rsidR="00714436" w:rsidRPr="00701439">
        <w:rPr>
          <w:rStyle w:val="Strong"/>
          <w:b w:val="0"/>
          <w:sz w:val="20"/>
          <w:szCs w:val="20"/>
        </w:rPr>
        <w:t>well-capitalised</w:t>
      </w:r>
      <w:r w:rsidR="00CD25F3" w:rsidRPr="00701439">
        <w:rPr>
          <w:rStyle w:val="Strong"/>
          <w:b w:val="0"/>
          <w:sz w:val="20"/>
          <w:szCs w:val="20"/>
        </w:rPr>
        <w:t xml:space="preserve"> balance sheet, access to retail deposit funding and </w:t>
      </w:r>
      <w:r w:rsidR="00B5148E" w:rsidRPr="00701439">
        <w:rPr>
          <w:rStyle w:val="Strong"/>
          <w:b w:val="0"/>
          <w:sz w:val="20"/>
          <w:szCs w:val="20"/>
        </w:rPr>
        <w:t xml:space="preserve">a stable </w:t>
      </w:r>
      <w:r w:rsidR="00515799" w:rsidRPr="00701439">
        <w:rPr>
          <w:rStyle w:val="Strong"/>
          <w:b w:val="0"/>
          <w:sz w:val="20"/>
          <w:szCs w:val="20"/>
        </w:rPr>
        <w:t>net interest margin</w:t>
      </w:r>
      <w:r w:rsidR="001D0929" w:rsidRPr="00701439">
        <w:rPr>
          <w:rStyle w:val="Strong"/>
          <w:b w:val="0"/>
          <w:sz w:val="20"/>
          <w:szCs w:val="20"/>
        </w:rPr>
        <w:t xml:space="preserve">. </w:t>
      </w:r>
      <w:r w:rsidR="0095102E" w:rsidRPr="00701439">
        <w:rPr>
          <w:rStyle w:val="Strong"/>
          <w:b w:val="0"/>
          <w:sz w:val="20"/>
          <w:szCs w:val="20"/>
        </w:rPr>
        <w:t>The collective efforts of all people and teams across the organisation has enabled the Group to build on the strong foundations put in place previously and I would like to thank them all for their efforts during the year.</w:t>
      </w:r>
    </w:p>
    <w:p w14:paraId="49ECF886" w14:textId="23070F4A" w:rsidR="00E670DB" w:rsidRPr="00701439" w:rsidRDefault="00E670DB" w:rsidP="00E534C5">
      <w:pPr>
        <w:pStyle w:val="NoSpacing"/>
        <w:jc w:val="both"/>
        <w:rPr>
          <w:bCs/>
          <w:sz w:val="20"/>
          <w:szCs w:val="20"/>
        </w:rPr>
      </w:pPr>
    </w:p>
    <w:p w14:paraId="1F567395" w14:textId="02DBA6EF" w:rsidR="0063135A" w:rsidRPr="00701439" w:rsidRDefault="00897B72" w:rsidP="00E534C5">
      <w:pPr>
        <w:pStyle w:val="NoSpacing"/>
        <w:jc w:val="both"/>
        <w:rPr>
          <w:rStyle w:val="Strong"/>
          <w:b w:val="0"/>
          <w:sz w:val="20"/>
          <w:szCs w:val="20"/>
        </w:rPr>
      </w:pPr>
      <w:r w:rsidRPr="00701439">
        <w:rPr>
          <w:bCs/>
          <w:sz w:val="20"/>
          <w:szCs w:val="20"/>
        </w:rPr>
        <w:t xml:space="preserve">The continued focus of the Board and executive management team on repositioning the Group in the mid-cost and near-prime segments of the </w:t>
      </w:r>
      <w:r w:rsidR="000535EB" w:rsidRPr="00701439">
        <w:rPr>
          <w:bCs/>
          <w:sz w:val="20"/>
          <w:szCs w:val="20"/>
        </w:rPr>
        <w:t xml:space="preserve">credit </w:t>
      </w:r>
      <w:r w:rsidRPr="00701439">
        <w:rPr>
          <w:bCs/>
          <w:sz w:val="20"/>
          <w:szCs w:val="20"/>
        </w:rPr>
        <w:t xml:space="preserve">market </w:t>
      </w:r>
      <w:r w:rsidR="00E027DE" w:rsidRPr="00701439">
        <w:rPr>
          <w:bCs/>
          <w:sz w:val="20"/>
          <w:szCs w:val="20"/>
        </w:rPr>
        <w:t xml:space="preserve">has enabled the Group to commence growing its loan books meaningfully </w:t>
      </w:r>
      <w:r w:rsidR="00AE3624" w:rsidRPr="00701439">
        <w:rPr>
          <w:bCs/>
          <w:sz w:val="20"/>
          <w:szCs w:val="20"/>
        </w:rPr>
        <w:t>during</w:t>
      </w:r>
      <w:r w:rsidR="00E027DE" w:rsidRPr="00701439">
        <w:rPr>
          <w:bCs/>
          <w:sz w:val="20"/>
          <w:szCs w:val="20"/>
        </w:rPr>
        <w:t xml:space="preserve"> the year</w:t>
      </w:r>
      <w:r w:rsidR="00AF40A2" w:rsidRPr="00701439">
        <w:rPr>
          <w:bCs/>
          <w:sz w:val="20"/>
          <w:szCs w:val="20"/>
        </w:rPr>
        <w:t xml:space="preserve">, notwithstanding the more challenging macroeconomic backdrop. </w:t>
      </w:r>
      <w:r w:rsidR="00835530" w:rsidRPr="00701439">
        <w:rPr>
          <w:bCs/>
          <w:sz w:val="20"/>
          <w:szCs w:val="20"/>
        </w:rPr>
        <w:t>During 2022, credit card receivables grew by approximately 11%, vehicle finance by approximately 10% and t</w:t>
      </w:r>
      <w:r w:rsidR="00835530" w:rsidRPr="00701439">
        <w:rPr>
          <w:rStyle w:val="Strong"/>
          <w:b w:val="0"/>
          <w:sz w:val="20"/>
          <w:szCs w:val="20"/>
        </w:rPr>
        <w:t>he Group’s personal loans business grew its receivables by 1</w:t>
      </w:r>
      <w:r w:rsidR="00A155DD" w:rsidRPr="00701439">
        <w:rPr>
          <w:rStyle w:val="Strong"/>
          <w:b w:val="0"/>
          <w:sz w:val="20"/>
          <w:szCs w:val="20"/>
        </w:rPr>
        <w:t>70</w:t>
      </w:r>
      <w:r w:rsidR="00835530" w:rsidRPr="00701439">
        <w:rPr>
          <w:rStyle w:val="Strong"/>
          <w:b w:val="0"/>
          <w:sz w:val="20"/>
          <w:szCs w:val="20"/>
        </w:rPr>
        <w:t xml:space="preserve">% illustrating its strong competitive position and underlying demand for credit from its target customers. </w:t>
      </w:r>
    </w:p>
    <w:p w14:paraId="6763A2D0" w14:textId="77777777" w:rsidR="0063135A" w:rsidRPr="00701439" w:rsidRDefault="0063135A" w:rsidP="00E534C5">
      <w:pPr>
        <w:pStyle w:val="NoSpacing"/>
        <w:jc w:val="both"/>
        <w:rPr>
          <w:rStyle w:val="Strong"/>
          <w:b w:val="0"/>
          <w:sz w:val="20"/>
          <w:szCs w:val="20"/>
        </w:rPr>
      </w:pPr>
    </w:p>
    <w:p w14:paraId="0D3BBAAA" w14:textId="0096EA09" w:rsidR="00EE295C" w:rsidRPr="00701439" w:rsidRDefault="0056344F" w:rsidP="00E534C5">
      <w:pPr>
        <w:pStyle w:val="NoSpacing"/>
        <w:jc w:val="both"/>
        <w:rPr>
          <w:rStyle w:val="Strong"/>
          <w:b w:val="0"/>
          <w:sz w:val="20"/>
          <w:szCs w:val="20"/>
        </w:rPr>
      </w:pPr>
      <w:r w:rsidRPr="00701439">
        <w:rPr>
          <w:rStyle w:val="Strong"/>
          <w:b w:val="0"/>
          <w:sz w:val="20"/>
          <w:szCs w:val="20"/>
        </w:rPr>
        <w:t>The</w:t>
      </w:r>
      <w:r w:rsidR="00E25049" w:rsidRPr="00701439">
        <w:rPr>
          <w:rStyle w:val="Strong"/>
          <w:b w:val="0"/>
          <w:sz w:val="20"/>
          <w:szCs w:val="20"/>
        </w:rPr>
        <w:t xml:space="preserve"> FY’22 results</w:t>
      </w:r>
      <w:r w:rsidR="00A257D7" w:rsidRPr="00701439">
        <w:rPr>
          <w:rStyle w:val="Strong"/>
          <w:b w:val="0"/>
          <w:sz w:val="20"/>
          <w:szCs w:val="20"/>
        </w:rPr>
        <w:t xml:space="preserve"> represent my last set of </w:t>
      </w:r>
      <w:r w:rsidR="003A210F" w:rsidRPr="00701439">
        <w:rPr>
          <w:rStyle w:val="Strong"/>
          <w:b w:val="0"/>
          <w:sz w:val="20"/>
          <w:szCs w:val="20"/>
        </w:rPr>
        <w:t>full year</w:t>
      </w:r>
      <w:r w:rsidR="000B50DB" w:rsidRPr="00701439">
        <w:rPr>
          <w:rStyle w:val="Strong"/>
          <w:b w:val="0"/>
          <w:sz w:val="20"/>
          <w:szCs w:val="20"/>
        </w:rPr>
        <w:t xml:space="preserve"> accounts as CEO before I hand over to my successor, Ian McLaughlin, </w:t>
      </w:r>
      <w:r w:rsidR="00573C10" w:rsidRPr="00701439">
        <w:rPr>
          <w:rStyle w:val="Strong"/>
          <w:b w:val="0"/>
          <w:sz w:val="20"/>
          <w:szCs w:val="20"/>
        </w:rPr>
        <w:t>during</w:t>
      </w:r>
      <w:r w:rsidR="000B50DB" w:rsidRPr="00701439">
        <w:rPr>
          <w:rStyle w:val="Strong"/>
          <w:b w:val="0"/>
          <w:sz w:val="20"/>
          <w:szCs w:val="20"/>
        </w:rPr>
        <w:t xml:space="preserve"> the summer</w:t>
      </w:r>
      <w:r w:rsidR="003024A0" w:rsidRPr="00701439">
        <w:rPr>
          <w:rStyle w:val="Strong"/>
          <w:b w:val="0"/>
          <w:sz w:val="20"/>
          <w:szCs w:val="20"/>
        </w:rPr>
        <w:t>, subject to regulatory approval</w:t>
      </w:r>
      <w:r w:rsidR="000B50DB" w:rsidRPr="00701439">
        <w:rPr>
          <w:rStyle w:val="Strong"/>
          <w:b w:val="0"/>
          <w:sz w:val="20"/>
          <w:szCs w:val="20"/>
        </w:rPr>
        <w:t xml:space="preserve">. </w:t>
      </w:r>
      <w:r w:rsidR="00F740F7" w:rsidRPr="00701439">
        <w:rPr>
          <w:rStyle w:val="Strong"/>
          <w:b w:val="0"/>
          <w:sz w:val="20"/>
          <w:szCs w:val="20"/>
        </w:rPr>
        <w:t xml:space="preserve">I am immensely proud to have been </w:t>
      </w:r>
      <w:r w:rsidR="00053FD0" w:rsidRPr="00701439">
        <w:rPr>
          <w:rStyle w:val="Strong"/>
          <w:b w:val="0"/>
          <w:sz w:val="20"/>
          <w:szCs w:val="20"/>
        </w:rPr>
        <w:t xml:space="preserve">involved with </w:t>
      </w:r>
      <w:r w:rsidR="00182D23" w:rsidRPr="00701439">
        <w:rPr>
          <w:rStyle w:val="Strong"/>
          <w:b w:val="0"/>
          <w:sz w:val="20"/>
          <w:szCs w:val="20"/>
        </w:rPr>
        <w:t>the</w:t>
      </w:r>
      <w:r w:rsidR="00F5063D" w:rsidRPr="00701439">
        <w:rPr>
          <w:rStyle w:val="Strong"/>
          <w:b w:val="0"/>
          <w:sz w:val="20"/>
          <w:szCs w:val="20"/>
        </w:rPr>
        <w:t xml:space="preserve"> Group</w:t>
      </w:r>
      <w:r w:rsidR="00053FD0" w:rsidRPr="00701439">
        <w:rPr>
          <w:rStyle w:val="Strong"/>
          <w:b w:val="0"/>
          <w:sz w:val="20"/>
          <w:szCs w:val="20"/>
        </w:rPr>
        <w:t xml:space="preserve"> for the </w:t>
      </w:r>
      <w:r w:rsidR="00CA62D6" w:rsidRPr="00701439">
        <w:rPr>
          <w:rStyle w:val="Strong"/>
          <w:b w:val="0"/>
          <w:sz w:val="20"/>
          <w:szCs w:val="20"/>
        </w:rPr>
        <w:t>past</w:t>
      </w:r>
      <w:r w:rsidR="00053FD0" w:rsidRPr="00701439">
        <w:rPr>
          <w:rStyle w:val="Strong"/>
          <w:b w:val="0"/>
          <w:sz w:val="20"/>
          <w:szCs w:val="20"/>
        </w:rPr>
        <w:t xml:space="preserve"> nine years</w:t>
      </w:r>
      <w:r w:rsidR="00E62E9A" w:rsidRPr="00701439">
        <w:rPr>
          <w:rStyle w:val="Strong"/>
          <w:b w:val="0"/>
          <w:sz w:val="20"/>
          <w:szCs w:val="20"/>
        </w:rPr>
        <w:t>,</w:t>
      </w:r>
      <w:r w:rsidR="00053FD0" w:rsidRPr="00701439">
        <w:rPr>
          <w:rStyle w:val="Strong"/>
          <w:b w:val="0"/>
          <w:sz w:val="20"/>
          <w:szCs w:val="20"/>
        </w:rPr>
        <w:t xml:space="preserve"> </w:t>
      </w:r>
      <w:r w:rsidR="00D46A37" w:rsidRPr="00701439">
        <w:rPr>
          <w:rStyle w:val="Strong"/>
          <w:b w:val="0"/>
          <w:sz w:val="20"/>
          <w:szCs w:val="20"/>
        </w:rPr>
        <w:t xml:space="preserve">firstly </w:t>
      </w:r>
      <w:r w:rsidR="00570C5D" w:rsidRPr="00701439">
        <w:rPr>
          <w:rStyle w:val="Strong"/>
          <w:b w:val="0"/>
          <w:sz w:val="20"/>
          <w:szCs w:val="20"/>
        </w:rPr>
        <w:t xml:space="preserve">as </w:t>
      </w:r>
      <w:r w:rsidR="00915174" w:rsidRPr="00701439">
        <w:rPr>
          <w:rStyle w:val="Strong"/>
          <w:b w:val="0"/>
          <w:sz w:val="20"/>
          <w:szCs w:val="20"/>
        </w:rPr>
        <w:t xml:space="preserve">Independent </w:t>
      </w:r>
      <w:r w:rsidR="00F5063D" w:rsidRPr="00701439">
        <w:rPr>
          <w:rStyle w:val="Strong"/>
          <w:b w:val="0"/>
          <w:sz w:val="20"/>
          <w:szCs w:val="20"/>
        </w:rPr>
        <w:t>Non-</w:t>
      </w:r>
      <w:r w:rsidR="000D746A" w:rsidRPr="00701439">
        <w:rPr>
          <w:rStyle w:val="Strong"/>
          <w:b w:val="0"/>
          <w:sz w:val="20"/>
          <w:szCs w:val="20"/>
        </w:rPr>
        <w:t>Executive</w:t>
      </w:r>
      <w:r w:rsidR="00F5063D" w:rsidRPr="00701439">
        <w:rPr>
          <w:rStyle w:val="Strong"/>
          <w:b w:val="0"/>
          <w:sz w:val="20"/>
          <w:szCs w:val="20"/>
        </w:rPr>
        <w:t xml:space="preserve"> Director</w:t>
      </w:r>
      <w:r w:rsidR="00915174" w:rsidRPr="00701439">
        <w:rPr>
          <w:rStyle w:val="Strong"/>
          <w:b w:val="0"/>
          <w:sz w:val="20"/>
          <w:szCs w:val="20"/>
        </w:rPr>
        <w:t xml:space="preserve"> and </w:t>
      </w:r>
      <w:r w:rsidR="00F5063D" w:rsidRPr="00701439">
        <w:rPr>
          <w:rStyle w:val="Strong"/>
          <w:b w:val="0"/>
          <w:sz w:val="20"/>
          <w:szCs w:val="20"/>
        </w:rPr>
        <w:t>Executive Chair</w:t>
      </w:r>
      <w:r w:rsidR="00053FD0" w:rsidRPr="00701439">
        <w:rPr>
          <w:rStyle w:val="Strong"/>
          <w:b w:val="0"/>
          <w:sz w:val="20"/>
          <w:szCs w:val="20"/>
        </w:rPr>
        <w:t xml:space="preserve">, </w:t>
      </w:r>
      <w:r w:rsidR="00F5063D" w:rsidRPr="00701439">
        <w:rPr>
          <w:rStyle w:val="Strong"/>
          <w:b w:val="0"/>
          <w:sz w:val="20"/>
          <w:szCs w:val="20"/>
        </w:rPr>
        <w:t>before becoming</w:t>
      </w:r>
      <w:r w:rsidR="00053FD0" w:rsidRPr="00701439">
        <w:rPr>
          <w:rStyle w:val="Strong"/>
          <w:b w:val="0"/>
          <w:sz w:val="20"/>
          <w:szCs w:val="20"/>
        </w:rPr>
        <w:t xml:space="preserve"> CEO five years</w:t>
      </w:r>
      <w:r w:rsidR="00F5063D" w:rsidRPr="00701439">
        <w:rPr>
          <w:rStyle w:val="Strong"/>
          <w:b w:val="0"/>
          <w:sz w:val="20"/>
          <w:szCs w:val="20"/>
        </w:rPr>
        <w:t xml:space="preserve"> ago</w:t>
      </w:r>
      <w:r w:rsidR="00573E65" w:rsidRPr="00701439">
        <w:rPr>
          <w:rStyle w:val="Strong"/>
          <w:b w:val="0"/>
          <w:sz w:val="20"/>
          <w:szCs w:val="20"/>
        </w:rPr>
        <w:t xml:space="preserve">. </w:t>
      </w:r>
      <w:r w:rsidR="006C7474" w:rsidRPr="00701439">
        <w:rPr>
          <w:rStyle w:val="Strong"/>
          <w:b w:val="0"/>
          <w:sz w:val="20"/>
          <w:szCs w:val="20"/>
        </w:rPr>
        <w:t xml:space="preserve">I believe it to be a fantastic organisation with a real sense of purpose </w:t>
      </w:r>
      <w:r w:rsidR="00383BC6" w:rsidRPr="00701439">
        <w:rPr>
          <w:rStyle w:val="Strong"/>
          <w:b w:val="0"/>
          <w:sz w:val="20"/>
          <w:szCs w:val="20"/>
        </w:rPr>
        <w:t>and of</w:t>
      </w:r>
      <w:r w:rsidR="006C7474" w:rsidRPr="00701439">
        <w:rPr>
          <w:rStyle w:val="Strong"/>
          <w:b w:val="0"/>
          <w:sz w:val="20"/>
          <w:szCs w:val="20"/>
        </w:rPr>
        <w:t xml:space="preserve"> how we can best serve our customers on their path to a better financial future. I w</w:t>
      </w:r>
      <w:r w:rsidR="004B7D45" w:rsidRPr="00701439">
        <w:rPr>
          <w:rStyle w:val="Strong"/>
          <w:b w:val="0"/>
          <w:sz w:val="20"/>
          <w:szCs w:val="20"/>
        </w:rPr>
        <w:t>ould like to wish everyone across the Group, and Ian</w:t>
      </w:r>
      <w:r w:rsidR="004F7518" w:rsidRPr="00701439">
        <w:rPr>
          <w:rStyle w:val="Strong"/>
          <w:b w:val="0"/>
          <w:sz w:val="20"/>
          <w:szCs w:val="20"/>
        </w:rPr>
        <w:t xml:space="preserve"> when he joins</w:t>
      </w:r>
      <w:r w:rsidR="004B7D45" w:rsidRPr="00701439">
        <w:rPr>
          <w:rStyle w:val="Strong"/>
          <w:b w:val="0"/>
          <w:sz w:val="20"/>
          <w:szCs w:val="20"/>
        </w:rPr>
        <w:t xml:space="preserve">, </w:t>
      </w:r>
      <w:r w:rsidR="007C787D" w:rsidRPr="00701439">
        <w:rPr>
          <w:rStyle w:val="Strong"/>
          <w:b w:val="0"/>
          <w:sz w:val="20"/>
          <w:szCs w:val="20"/>
        </w:rPr>
        <w:t xml:space="preserve">all </w:t>
      </w:r>
      <w:r w:rsidR="004B7D45" w:rsidRPr="00701439">
        <w:rPr>
          <w:rStyle w:val="Strong"/>
          <w:b w:val="0"/>
          <w:sz w:val="20"/>
          <w:szCs w:val="20"/>
        </w:rPr>
        <w:t xml:space="preserve">the best for the future. </w:t>
      </w:r>
    </w:p>
    <w:p w14:paraId="37C67ECC" w14:textId="54FB3A6A" w:rsidR="004241A7" w:rsidRPr="00701439" w:rsidRDefault="004241A7" w:rsidP="00E534C5">
      <w:pPr>
        <w:pStyle w:val="NoSpacing"/>
        <w:jc w:val="both"/>
        <w:rPr>
          <w:rStyle w:val="Strong"/>
          <w:b w:val="0"/>
          <w:sz w:val="20"/>
          <w:szCs w:val="20"/>
        </w:rPr>
      </w:pPr>
    </w:p>
    <w:p w14:paraId="657EF977" w14:textId="54EB8169" w:rsidR="00F01EC8" w:rsidRPr="00701439" w:rsidRDefault="00F01EC8" w:rsidP="003E782F">
      <w:pPr>
        <w:spacing w:after="160"/>
        <w:jc w:val="both"/>
        <w:rPr>
          <w:rFonts w:asciiTheme="minorHAnsi" w:hAnsiTheme="minorHAnsi" w:cs="Arial"/>
          <w:b/>
          <w:bCs/>
          <w:color w:val="4747FF"/>
          <w:sz w:val="22"/>
          <w:szCs w:val="22"/>
        </w:rPr>
      </w:pPr>
      <w:r w:rsidRPr="00701439">
        <w:rPr>
          <w:rFonts w:asciiTheme="minorHAnsi" w:hAnsiTheme="minorHAnsi" w:cs="Arial"/>
          <w:b/>
          <w:bCs/>
          <w:color w:val="4747FF"/>
          <w:sz w:val="22"/>
          <w:szCs w:val="22"/>
        </w:rPr>
        <w:t>Group financial</w:t>
      </w:r>
      <w:r w:rsidR="002A41A1" w:rsidRPr="00701439">
        <w:rPr>
          <w:rFonts w:asciiTheme="minorHAnsi" w:hAnsiTheme="minorHAnsi" w:cs="Arial"/>
          <w:b/>
          <w:bCs/>
          <w:color w:val="4747FF"/>
          <w:sz w:val="22"/>
          <w:szCs w:val="22"/>
        </w:rPr>
        <w:t>s</w:t>
      </w:r>
    </w:p>
    <w:p w14:paraId="269D2325" w14:textId="3DFF3202" w:rsidR="00C946AE" w:rsidRPr="00701439" w:rsidRDefault="001C5D1E" w:rsidP="00E534C5">
      <w:pPr>
        <w:pStyle w:val="NoSpacing"/>
        <w:tabs>
          <w:tab w:val="left" w:pos="5529"/>
        </w:tabs>
        <w:jc w:val="both"/>
        <w:rPr>
          <w:sz w:val="20"/>
          <w:szCs w:val="20"/>
        </w:rPr>
      </w:pPr>
      <w:r w:rsidRPr="00701439">
        <w:rPr>
          <w:sz w:val="20"/>
          <w:szCs w:val="20"/>
        </w:rPr>
        <w:t xml:space="preserve">Turning to the financial results for 2022, the Group’s statutory profit before tax from continuing operations was £110.1m (FY’21: £142.2m) reflecting higher central cost items year-on-year. </w:t>
      </w:r>
      <w:r w:rsidR="00A54E20" w:rsidRPr="00701439">
        <w:rPr>
          <w:sz w:val="20"/>
          <w:szCs w:val="20"/>
        </w:rPr>
        <w:t>T</w:t>
      </w:r>
      <w:r w:rsidR="00F01EC8" w:rsidRPr="00701439">
        <w:rPr>
          <w:sz w:val="20"/>
          <w:szCs w:val="20"/>
        </w:rPr>
        <w:t xml:space="preserve">he Group reported an adjusted </w:t>
      </w:r>
      <w:r w:rsidR="00F84AF3" w:rsidRPr="00701439">
        <w:rPr>
          <w:sz w:val="20"/>
          <w:szCs w:val="20"/>
        </w:rPr>
        <w:t>profit</w:t>
      </w:r>
      <w:r w:rsidR="00F01EC8" w:rsidRPr="00701439">
        <w:rPr>
          <w:sz w:val="20"/>
          <w:szCs w:val="20"/>
        </w:rPr>
        <w:t xml:space="preserve"> before tax </w:t>
      </w:r>
      <w:r w:rsidR="00335761" w:rsidRPr="00701439">
        <w:rPr>
          <w:sz w:val="20"/>
          <w:szCs w:val="20"/>
        </w:rPr>
        <w:t xml:space="preserve">from continuing operations </w:t>
      </w:r>
      <w:r w:rsidR="00F01EC8" w:rsidRPr="00701439">
        <w:rPr>
          <w:sz w:val="20"/>
          <w:szCs w:val="20"/>
        </w:rPr>
        <w:t>of</w:t>
      </w:r>
      <w:r w:rsidR="00F84AF3" w:rsidRPr="00701439">
        <w:rPr>
          <w:sz w:val="20"/>
          <w:szCs w:val="20"/>
        </w:rPr>
        <w:t xml:space="preserve"> £1</w:t>
      </w:r>
      <w:r w:rsidR="00723C2A" w:rsidRPr="00701439">
        <w:rPr>
          <w:sz w:val="20"/>
          <w:szCs w:val="20"/>
        </w:rPr>
        <w:t>2</w:t>
      </w:r>
      <w:r w:rsidR="00A77EE8" w:rsidRPr="00701439">
        <w:rPr>
          <w:sz w:val="20"/>
          <w:szCs w:val="20"/>
        </w:rPr>
        <w:t>6.6</w:t>
      </w:r>
      <w:r w:rsidR="00F84AF3" w:rsidRPr="00701439">
        <w:rPr>
          <w:sz w:val="20"/>
          <w:szCs w:val="20"/>
        </w:rPr>
        <w:t>m (FY’2</w:t>
      </w:r>
      <w:r w:rsidR="0056735B" w:rsidRPr="00701439">
        <w:rPr>
          <w:sz w:val="20"/>
          <w:szCs w:val="20"/>
        </w:rPr>
        <w:t>1</w:t>
      </w:r>
      <w:r w:rsidR="00F84AF3" w:rsidRPr="00701439">
        <w:rPr>
          <w:sz w:val="20"/>
          <w:szCs w:val="20"/>
        </w:rPr>
        <w:t>:</w:t>
      </w:r>
      <w:r w:rsidR="00F01EC8" w:rsidRPr="00701439">
        <w:rPr>
          <w:sz w:val="20"/>
          <w:szCs w:val="20"/>
        </w:rPr>
        <w:t xml:space="preserve"> </w:t>
      </w:r>
      <w:r w:rsidR="00F84AF3" w:rsidRPr="00701439">
        <w:rPr>
          <w:sz w:val="20"/>
          <w:szCs w:val="20"/>
        </w:rPr>
        <w:t>£</w:t>
      </w:r>
      <w:r w:rsidR="0056735B" w:rsidRPr="00701439">
        <w:rPr>
          <w:sz w:val="20"/>
          <w:szCs w:val="20"/>
        </w:rPr>
        <w:t>16</w:t>
      </w:r>
      <w:r w:rsidR="00F84AF3" w:rsidRPr="00701439">
        <w:rPr>
          <w:sz w:val="20"/>
          <w:szCs w:val="20"/>
        </w:rPr>
        <w:t>7.8m)</w:t>
      </w:r>
      <w:r w:rsidR="00F01EC8" w:rsidRPr="00701439">
        <w:rPr>
          <w:sz w:val="20"/>
          <w:szCs w:val="20"/>
        </w:rPr>
        <w:t xml:space="preserve">, </w:t>
      </w:r>
      <w:r w:rsidR="00C117CD" w:rsidRPr="00701439">
        <w:rPr>
          <w:sz w:val="20"/>
          <w:szCs w:val="20"/>
        </w:rPr>
        <w:t>with strong receivables growth across credit cards, vehicle finance and personal loans.</w:t>
      </w:r>
      <w:r w:rsidR="00A51813">
        <w:rPr>
          <w:sz w:val="20"/>
          <w:szCs w:val="20"/>
        </w:rPr>
        <w:t xml:space="preserve"> </w:t>
      </w:r>
      <w:r w:rsidR="00C117CD" w:rsidRPr="00701439">
        <w:rPr>
          <w:sz w:val="20"/>
          <w:szCs w:val="20"/>
        </w:rPr>
        <w:t>Whilst total income remained stable relative to 2021, volume growth led to higher impairment charges year-on-year, and the continued investment in the Group’s IT, Operations and Change &amp; Transformation agenda inflated costs relative to 2021.</w:t>
      </w:r>
    </w:p>
    <w:p w14:paraId="4E637792" w14:textId="77777777" w:rsidR="00C209BE" w:rsidRPr="00701439" w:rsidRDefault="00C209BE" w:rsidP="00E534C5">
      <w:pPr>
        <w:pStyle w:val="NoSpacing"/>
        <w:tabs>
          <w:tab w:val="left" w:pos="5529"/>
        </w:tabs>
        <w:jc w:val="both"/>
        <w:rPr>
          <w:sz w:val="20"/>
          <w:szCs w:val="20"/>
        </w:rPr>
      </w:pPr>
    </w:p>
    <w:p w14:paraId="1E945F7F" w14:textId="48ED5F6E" w:rsidR="00C946AE" w:rsidRPr="00701439" w:rsidRDefault="00E724FD" w:rsidP="00E534C5">
      <w:pPr>
        <w:pStyle w:val="NoSpacing"/>
        <w:tabs>
          <w:tab w:val="left" w:pos="5529"/>
        </w:tabs>
        <w:jc w:val="both"/>
        <w:rPr>
          <w:sz w:val="20"/>
          <w:szCs w:val="20"/>
        </w:rPr>
      </w:pPr>
      <w:r w:rsidRPr="00701439">
        <w:rPr>
          <w:sz w:val="20"/>
          <w:szCs w:val="20"/>
        </w:rPr>
        <w:t xml:space="preserve">Group central costs increased </w:t>
      </w:r>
      <w:r w:rsidR="00681B82" w:rsidRPr="00701439">
        <w:rPr>
          <w:sz w:val="20"/>
          <w:szCs w:val="20"/>
        </w:rPr>
        <w:t xml:space="preserve">to £30m (FY’21: £18m) </w:t>
      </w:r>
      <w:r w:rsidRPr="00701439">
        <w:rPr>
          <w:sz w:val="20"/>
          <w:szCs w:val="20"/>
        </w:rPr>
        <w:t xml:space="preserve">during the period reflecting </w:t>
      </w:r>
      <w:r w:rsidR="00130A4A" w:rsidRPr="00701439">
        <w:rPr>
          <w:sz w:val="20"/>
          <w:szCs w:val="20"/>
        </w:rPr>
        <w:t>the roll out of the shared services model</w:t>
      </w:r>
      <w:r w:rsidR="00DC057E" w:rsidRPr="00701439">
        <w:rPr>
          <w:sz w:val="20"/>
          <w:szCs w:val="20"/>
        </w:rPr>
        <w:t xml:space="preserve">, </w:t>
      </w:r>
      <w:r w:rsidR="00E672C3" w:rsidRPr="00701439">
        <w:rPr>
          <w:sz w:val="20"/>
          <w:szCs w:val="20"/>
        </w:rPr>
        <w:t xml:space="preserve">transformation </w:t>
      </w:r>
      <w:r w:rsidR="00681B82" w:rsidRPr="00701439">
        <w:rPr>
          <w:sz w:val="20"/>
          <w:szCs w:val="20"/>
        </w:rPr>
        <w:t>&amp;</w:t>
      </w:r>
      <w:r w:rsidR="00E672C3" w:rsidRPr="00701439">
        <w:rPr>
          <w:sz w:val="20"/>
          <w:szCs w:val="20"/>
        </w:rPr>
        <w:t xml:space="preserve"> change spend</w:t>
      </w:r>
      <w:r w:rsidR="008F1342" w:rsidRPr="00701439">
        <w:rPr>
          <w:sz w:val="20"/>
          <w:szCs w:val="20"/>
        </w:rPr>
        <w:t xml:space="preserve"> </w:t>
      </w:r>
      <w:r w:rsidR="00681B82" w:rsidRPr="00701439">
        <w:rPr>
          <w:sz w:val="20"/>
          <w:szCs w:val="20"/>
        </w:rPr>
        <w:t>increased to</w:t>
      </w:r>
      <w:r w:rsidR="00E672C3" w:rsidRPr="00701439">
        <w:rPr>
          <w:sz w:val="20"/>
          <w:szCs w:val="20"/>
        </w:rPr>
        <w:t xml:space="preserve"> £</w:t>
      </w:r>
      <w:r w:rsidR="00B90E0E" w:rsidRPr="00701439">
        <w:rPr>
          <w:sz w:val="20"/>
          <w:szCs w:val="20"/>
        </w:rPr>
        <w:t>35</w:t>
      </w:r>
      <w:r w:rsidR="00E672C3" w:rsidRPr="00701439">
        <w:rPr>
          <w:sz w:val="20"/>
          <w:szCs w:val="20"/>
        </w:rPr>
        <w:t>m</w:t>
      </w:r>
      <w:r w:rsidR="00B7792A" w:rsidRPr="00701439">
        <w:rPr>
          <w:sz w:val="20"/>
          <w:szCs w:val="20"/>
        </w:rPr>
        <w:t xml:space="preserve"> </w:t>
      </w:r>
      <w:r w:rsidR="00681B82" w:rsidRPr="00701439">
        <w:rPr>
          <w:sz w:val="20"/>
          <w:szCs w:val="20"/>
        </w:rPr>
        <w:t xml:space="preserve">(FY’21: </w:t>
      </w:r>
      <w:r w:rsidR="00560E29" w:rsidRPr="00701439">
        <w:rPr>
          <w:sz w:val="20"/>
          <w:szCs w:val="20"/>
        </w:rPr>
        <w:t xml:space="preserve">£8m) </w:t>
      </w:r>
      <w:r w:rsidRPr="00701439">
        <w:rPr>
          <w:sz w:val="20"/>
          <w:szCs w:val="20"/>
        </w:rPr>
        <w:t xml:space="preserve">and </w:t>
      </w:r>
      <w:r w:rsidR="00023A1B" w:rsidRPr="00701439">
        <w:rPr>
          <w:sz w:val="20"/>
          <w:szCs w:val="20"/>
        </w:rPr>
        <w:t xml:space="preserve">bond interest payments increased to </w:t>
      </w:r>
      <w:r w:rsidR="007F3D01" w:rsidRPr="00701439">
        <w:rPr>
          <w:sz w:val="20"/>
          <w:szCs w:val="20"/>
        </w:rPr>
        <w:t>£1</w:t>
      </w:r>
      <w:r w:rsidR="00B90E0E" w:rsidRPr="00701439">
        <w:rPr>
          <w:sz w:val="20"/>
          <w:szCs w:val="20"/>
        </w:rPr>
        <w:t>0</w:t>
      </w:r>
      <w:r w:rsidR="007F3D01" w:rsidRPr="00701439">
        <w:rPr>
          <w:sz w:val="20"/>
          <w:szCs w:val="20"/>
        </w:rPr>
        <w:t>m</w:t>
      </w:r>
      <w:r w:rsidR="00560E29" w:rsidRPr="00701439">
        <w:rPr>
          <w:sz w:val="20"/>
          <w:szCs w:val="20"/>
        </w:rPr>
        <w:t xml:space="preserve"> (FY’21: £nil)</w:t>
      </w:r>
      <w:r w:rsidR="0043667B" w:rsidRPr="00701439">
        <w:rPr>
          <w:sz w:val="20"/>
          <w:szCs w:val="20"/>
        </w:rPr>
        <w:t>,</w:t>
      </w:r>
      <w:r w:rsidR="007F3D01" w:rsidRPr="00701439">
        <w:rPr>
          <w:sz w:val="20"/>
          <w:szCs w:val="20"/>
        </w:rPr>
        <w:t xml:space="preserve"> </w:t>
      </w:r>
      <w:r w:rsidR="00560E29" w:rsidRPr="00701439">
        <w:rPr>
          <w:sz w:val="20"/>
          <w:szCs w:val="20"/>
        </w:rPr>
        <w:t>which includes</w:t>
      </w:r>
      <w:r w:rsidRPr="00701439">
        <w:rPr>
          <w:sz w:val="20"/>
          <w:szCs w:val="20"/>
        </w:rPr>
        <w:t xml:space="preserve"> the first full 12 months of Tier 2 interest. </w:t>
      </w:r>
      <w:r w:rsidR="00941FE6" w:rsidRPr="00701439">
        <w:rPr>
          <w:sz w:val="20"/>
          <w:szCs w:val="20"/>
        </w:rPr>
        <w:t>This</w:t>
      </w:r>
      <w:r w:rsidRPr="00701439">
        <w:rPr>
          <w:sz w:val="20"/>
          <w:szCs w:val="20"/>
        </w:rPr>
        <w:t xml:space="preserve"> strategic investment and centralisation</w:t>
      </w:r>
      <w:r w:rsidR="009A38DE" w:rsidRPr="00701439">
        <w:rPr>
          <w:sz w:val="20"/>
          <w:szCs w:val="20"/>
        </w:rPr>
        <w:t xml:space="preserve"> of functions</w:t>
      </w:r>
      <w:r w:rsidRPr="00701439">
        <w:rPr>
          <w:sz w:val="20"/>
          <w:szCs w:val="20"/>
        </w:rPr>
        <w:t xml:space="preserve"> is designed to make the Group’s future cost base more </w:t>
      </w:r>
      <w:r w:rsidR="00D55EE5" w:rsidRPr="00701439">
        <w:rPr>
          <w:sz w:val="20"/>
          <w:szCs w:val="20"/>
        </w:rPr>
        <w:t>scalable</w:t>
      </w:r>
      <w:r w:rsidRPr="00701439">
        <w:rPr>
          <w:sz w:val="20"/>
          <w:szCs w:val="20"/>
        </w:rPr>
        <w:t xml:space="preserve"> and better able to capture the benefits of operational leverage. </w:t>
      </w:r>
      <w:r w:rsidR="003636AA" w:rsidRPr="00701439">
        <w:rPr>
          <w:sz w:val="20"/>
          <w:szCs w:val="20"/>
        </w:rPr>
        <w:t xml:space="preserve">The investments are also designed </w:t>
      </w:r>
      <w:r w:rsidR="00F814F3" w:rsidRPr="00701439">
        <w:rPr>
          <w:sz w:val="20"/>
          <w:szCs w:val="20"/>
        </w:rPr>
        <w:t>to</w:t>
      </w:r>
      <w:r w:rsidR="003636AA" w:rsidRPr="00701439">
        <w:rPr>
          <w:sz w:val="20"/>
          <w:szCs w:val="20"/>
        </w:rPr>
        <w:t xml:space="preserve"> </w:t>
      </w:r>
      <w:r w:rsidR="00AF42F6" w:rsidRPr="00701439">
        <w:rPr>
          <w:sz w:val="20"/>
          <w:szCs w:val="20"/>
        </w:rPr>
        <w:t xml:space="preserve">enhance the Group’s strategic competitive positioning </w:t>
      </w:r>
      <w:r w:rsidR="00071E2A" w:rsidRPr="00701439">
        <w:rPr>
          <w:sz w:val="20"/>
          <w:szCs w:val="20"/>
        </w:rPr>
        <w:t xml:space="preserve">through new IT platforms and improved customer journeys. </w:t>
      </w:r>
      <w:r w:rsidRPr="00701439">
        <w:rPr>
          <w:sz w:val="20"/>
          <w:szCs w:val="20"/>
        </w:rPr>
        <w:t xml:space="preserve">Total Group costs of £288m (FY’21: £264m) were within the indicated range </w:t>
      </w:r>
      <w:r w:rsidR="00214412" w:rsidRPr="00701439">
        <w:rPr>
          <w:sz w:val="20"/>
          <w:szCs w:val="20"/>
        </w:rPr>
        <w:t>set out</w:t>
      </w:r>
      <w:r w:rsidRPr="00701439">
        <w:rPr>
          <w:sz w:val="20"/>
          <w:szCs w:val="20"/>
        </w:rPr>
        <w:t xml:space="preserve"> </w:t>
      </w:r>
      <w:r w:rsidR="00C53B5A" w:rsidRPr="00701439">
        <w:rPr>
          <w:sz w:val="20"/>
          <w:szCs w:val="20"/>
        </w:rPr>
        <w:t xml:space="preserve">in </w:t>
      </w:r>
      <w:r w:rsidRPr="00701439">
        <w:rPr>
          <w:sz w:val="20"/>
          <w:szCs w:val="20"/>
        </w:rPr>
        <w:t xml:space="preserve">the </w:t>
      </w:r>
      <w:r w:rsidR="007B280E" w:rsidRPr="00701439">
        <w:rPr>
          <w:sz w:val="20"/>
          <w:szCs w:val="20"/>
        </w:rPr>
        <w:t xml:space="preserve">Group’s </w:t>
      </w:r>
      <w:r w:rsidRPr="00701439">
        <w:rPr>
          <w:sz w:val="20"/>
          <w:szCs w:val="20"/>
        </w:rPr>
        <w:t xml:space="preserve">H1’22 results. </w:t>
      </w:r>
    </w:p>
    <w:p w14:paraId="4A94DDA5" w14:textId="6D0F155D" w:rsidR="00181DDD" w:rsidRPr="00701439" w:rsidRDefault="00181DDD" w:rsidP="00E534C5">
      <w:pPr>
        <w:pStyle w:val="NoSpacing"/>
        <w:tabs>
          <w:tab w:val="left" w:pos="5529"/>
        </w:tabs>
        <w:jc w:val="both"/>
        <w:rPr>
          <w:sz w:val="20"/>
          <w:szCs w:val="20"/>
        </w:rPr>
      </w:pPr>
    </w:p>
    <w:p w14:paraId="2DBFB3DE" w14:textId="02F9226E" w:rsidR="00F071C2" w:rsidRPr="00701439" w:rsidRDefault="00F4414B" w:rsidP="00F071C2">
      <w:pPr>
        <w:pStyle w:val="NoSpacing"/>
        <w:tabs>
          <w:tab w:val="left" w:pos="5529"/>
        </w:tabs>
        <w:jc w:val="both"/>
        <w:rPr>
          <w:sz w:val="20"/>
          <w:szCs w:val="20"/>
        </w:rPr>
      </w:pPr>
      <w:r w:rsidRPr="00701439">
        <w:rPr>
          <w:sz w:val="20"/>
          <w:szCs w:val="20"/>
        </w:rPr>
        <w:t>N</w:t>
      </w:r>
      <w:r w:rsidR="00F071C2" w:rsidRPr="00701439">
        <w:rPr>
          <w:sz w:val="20"/>
          <w:szCs w:val="20"/>
        </w:rPr>
        <w:t xml:space="preserve">ew customer bookings </w:t>
      </w:r>
      <w:r w:rsidR="00E01F21" w:rsidRPr="00701439">
        <w:rPr>
          <w:sz w:val="20"/>
          <w:szCs w:val="20"/>
        </w:rPr>
        <w:t xml:space="preserve">across credit cards, vehicle finance and personal loans </w:t>
      </w:r>
      <w:r w:rsidR="00B362E6" w:rsidRPr="00701439">
        <w:rPr>
          <w:sz w:val="20"/>
          <w:szCs w:val="20"/>
        </w:rPr>
        <w:t>for FY’22 amounted to</w:t>
      </w:r>
      <w:r w:rsidR="00F071C2" w:rsidRPr="00701439">
        <w:rPr>
          <w:sz w:val="20"/>
          <w:szCs w:val="20"/>
        </w:rPr>
        <w:t xml:space="preserve"> 2</w:t>
      </w:r>
      <w:r w:rsidR="00EC61AD" w:rsidRPr="00701439">
        <w:rPr>
          <w:sz w:val="20"/>
          <w:szCs w:val="20"/>
        </w:rPr>
        <w:t>94</w:t>
      </w:r>
      <w:r w:rsidR="00F071C2" w:rsidRPr="00701439">
        <w:rPr>
          <w:sz w:val="20"/>
          <w:szCs w:val="20"/>
        </w:rPr>
        <w:t>k (FY’2</w:t>
      </w:r>
      <w:r w:rsidR="00CA075A" w:rsidRPr="00701439">
        <w:rPr>
          <w:sz w:val="20"/>
          <w:szCs w:val="20"/>
        </w:rPr>
        <w:t>1</w:t>
      </w:r>
      <w:r w:rsidR="00F071C2" w:rsidRPr="00701439">
        <w:rPr>
          <w:sz w:val="20"/>
          <w:szCs w:val="20"/>
        </w:rPr>
        <w:t>: 2</w:t>
      </w:r>
      <w:r w:rsidR="00CA075A" w:rsidRPr="00701439">
        <w:rPr>
          <w:sz w:val="20"/>
          <w:szCs w:val="20"/>
        </w:rPr>
        <w:t>49</w:t>
      </w:r>
      <w:r w:rsidR="00F071C2" w:rsidRPr="00701439">
        <w:rPr>
          <w:sz w:val="20"/>
          <w:szCs w:val="20"/>
        </w:rPr>
        <w:t>k)</w:t>
      </w:r>
      <w:r w:rsidR="00865354" w:rsidRPr="00701439">
        <w:rPr>
          <w:sz w:val="20"/>
          <w:szCs w:val="20"/>
        </w:rPr>
        <w:t xml:space="preserve"> and, as a result, </w:t>
      </w:r>
      <w:r w:rsidR="00F071C2" w:rsidRPr="00701439">
        <w:rPr>
          <w:sz w:val="20"/>
          <w:szCs w:val="20"/>
        </w:rPr>
        <w:t>the Group had 1,6</w:t>
      </w:r>
      <w:r w:rsidR="002834A4" w:rsidRPr="00701439">
        <w:rPr>
          <w:sz w:val="20"/>
          <w:szCs w:val="20"/>
        </w:rPr>
        <w:t>7</w:t>
      </w:r>
      <w:r w:rsidR="00F071C2" w:rsidRPr="00701439">
        <w:rPr>
          <w:sz w:val="20"/>
          <w:szCs w:val="20"/>
        </w:rPr>
        <w:t>5k customers (FY’2</w:t>
      </w:r>
      <w:r w:rsidR="00CA075A" w:rsidRPr="00701439">
        <w:rPr>
          <w:sz w:val="20"/>
          <w:szCs w:val="20"/>
        </w:rPr>
        <w:t>1</w:t>
      </w:r>
      <w:r w:rsidR="00F071C2" w:rsidRPr="00701439">
        <w:rPr>
          <w:sz w:val="20"/>
          <w:szCs w:val="20"/>
        </w:rPr>
        <w:t>: 1,</w:t>
      </w:r>
      <w:r w:rsidR="00CA075A" w:rsidRPr="00701439">
        <w:rPr>
          <w:sz w:val="20"/>
          <w:szCs w:val="20"/>
        </w:rPr>
        <w:t>6</w:t>
      </w:r>
      <w:r w:rsidR="00EF771E" w:rsidRPr="00701439">
        <w:rPr>
          <w:sz w:val="20"/>
          <w:szCs w:val="20"/>
        </w:rPr>
        <w:t>5</w:t>
      </w:r>
      <w:r w:rsidR="00CA075A" w:rsidRPr="00701439">
        <w:rPr>
          <w:sz w:val="20"/>
          <w:szCs w:val="20"/>
        </w:rPr>
        <w:t>5</w:t>
      </w:r>
      <w:r w:rsidR="00F071C2" w:rsidRPr="00701439">
        <w:rPr>
          <w:sz w:val="20"/>
          <w:szCs w:val="20"/>
        </w:rPr>
        <w:t>k</w:t>
      </w:r>
      <w:r w:rsidR="00865354" w:rsidRPr="00701439">
        <w:rPr>
          <w:sz w:val="20"/>
          <w:szCs w:val="20"/>
        </w:rPr>
        <w:t xml:space="preserve">) at the end of </w:t>
      </w:r>
      <w:r w:rsidR="00AB47C0" w:rsidRPr="00701439">
        <w:rPr>
          <w:sz w:val="20"/>
          <w:szCs w:val="20"/>
        </w:rPr>
        <w:t xml:space="preserve">31 </w:t>
      </w:r>
      <w:r w:rsidR="00865354" w:rsidRPr="00701439">
        <w:rPr>
          <w:sz w:val="20"/>
          <w:szCs w:val="20"/>
        </w:rPr>
        <w:t>December</w:t>
      </w:r>
      <w:r w:rsidR="00F071C2" w:rsidRPr="00701439">
        <w:rPr>
          <w:sz w:val="20"/>
          <w:szCs w:val="20"/>
        </w:rPr>
        <w:t xml:space="preserve">. </w:t>
      </w:r>
      <w:bookmarkStart w:id="6" w:name="_Hlk99533320"/>
      <w:r w:rsidR="00F327CE" w:rsidRPr="00701439">
        <w:rPr>
          <w:sz w:val="20"/>
          <w:szCs w:val="20"/>
        </w:rPr>
        <w:t>T</w:t>
      </w:r>
      <w:r w:rsidR="00F071C2" w:rsidRPr="00701439">
        <w:rPr>
          <w:sz w:val="20"/>
          <w:szCs w:val="20"/>
        </w:rPr>
        <w:t xml:space="preserve">he Group saw positive momentum in its </w:t>
      </w:r>
      <w:r w:rsidR="006F764F" w:rsidRPr="00701439">
        <w:rPr>
          <w:sz w:val="20"/>
          <w:szCs w:val="20"/>
        </w:rPr>
        <w:t>loan</w:t>
      </w:r>
      <w:r w:rsidR="00F071C2" w:rsidRPr="00701439">
        <w:rPr>
          <w:sz w:val="20"/>
          <w:szCs w:val="20"/>
        </w:rPr>
        <w:t xml:space="preserve"> book</w:t>
      </w:r>
      <w:r w:rsidR="006F764F" w:rsidRPr="00701439">
        <w:rPr>
          <w:sz w:val="20"/>
          <w:szCs w:val="20"/>
        </w:rPr>
        <w:t>s</w:t>
      </w:r>
      <w:r w:rsidR="00F071C2" w:rsidRPr="00701439">
        <w:rPr>
          <w:sz w:val="20"/>
          <w:szCs w:val="20"/>
        </w:rPr>
        <w:t xml:space="preserve"> during the second half of the year</w:t>
      </w:r>
      <w:r w:rsidR="006F764F" w:rsidRPr="00701439">
        <w:rPr>
          <w:sz w:val="20"/>
          <w:szCs w:val="20"/>
        </w:rPr>
        <w:t>, particularly in vehicle finance and personal loans and,</w:t>
      </w:r>
      <w:r w:rsidR="00F071C2" w:rsidRPr="00701439">
        <w:rPr>
          <w:sz w:val="20"/>
          <w:szCs w:val="20"/>
        </w:rPr>
        <w:t xml:space="preserve"> </w:t>
      </w:r>
      <w:r w:rsidR="006F764F" w:rsidRPr="00701439">
        <w:rPr>
          <w:sz w:val="20"/>
          <w:szCs w:val="20"/>
        </w:rPr>
        <w:t>a</w:t>
      </w:r>
      <w:r w:rsidR="00F071C2" w:rsidRPr="00701439">
        <w:rPr>
          <w:sz w:val="20"/>
          <w:szCs w:val="20"/>
        </w:rPr>
        <w:t>s a result, total receivables stood at £1,</w:t>
      </w:r>
      <w:r w:rsidR="001A609A" w:rsidRPr="00701439">
        <w:rPr>
          <w:sz w:val="20"/>
          <w:szCs w:val="20"/>
        </w:rPr>
        <w:t>904</w:t>
      </w:r>
      <w:r w:rsidR="00F071C2" w:rsidRPr="00701439">
        <w:rPr>
          <w:sz w:val="20"/>
          <w:szCs w:val="20"/>
        </w:rPr>
        <w:t>m (FY’2</w:t>
      </w:r>
      <w:r w:rsidR="003D3881" w:rsidRPr="00701439">
        <w:rPr>
          <w:sz w:val="20"/>
          <w:szCs w:val="20"/>
        </w:rPr>
        <w:t>1</w:t>
      </w:r>
      <w:r w:rsidR="00F071C2" w:rsidRPr="00701439">
        <w:rPr>
          <w:sz w:val="20"/>
          <w:szCs w:val="20"/>
        </w:rPr>
        <w:t>: £1,6</w:t>
      </w:r>
      <w:r w:rsidR="003D3881" w:rsidRPr="00701439">
        <w:rPr>
          <w:sz w:val="20"/>
          <w:szCs w:val="20"/>
        </w:rPr>
        <w:t>78</w:t>
      </w:r>
      <w:r w:rsidR="00F071C2" w:rsidRPr="00701439">
        <w:rPr>
          <w:sz w:val="20"/>
          <w:szCs w:val="20"/>
        </w:rPr>
        <w:t>m) at the end of December.</w:t>
      </w:r>
    </w:p>
    <w:p w14:paraId="2E640E1C" w14:textId="77777777" w:rsidR="00F071C2" w:rsidRPr="00701439" w:rsidRDefault="00F071C2" w:rsidP="00F071C2">
      <w:pPr>
        <w:pStyle w:val="NoSpacing"/>
        <w:tabs>
          <w:tab w:val="left" w:pos="5529"/>
        </w:tabs>
        <w:jc w:val="both"/>
        <w:rPr>
          <w:sz w:val="20"/>
          <w:szCs w:val="20"/>
        </w:rPr>
      </w:pPr>
    </w:p>
    <w:bookmarkEnd w:id="6"/>
    <w:p w14:paraId="3870DFC7" w14:textId="0F88C1C5" w:rsidR="00F071C2" w:rsidRPr="00701439" w:rsidRDefault="002A0CBD" w:rsidP="00F071C2">
      <w:pPr>
        <w:pStyle w:val="NoSpacing"/>
        <w:jc w:val="both"/>
        <w:rPr>
          <w:sz w:val="20"/>
          <w:szCs w:val="20"/>
        </w:rPr>
      </w:pPr>
      <w:r w:rsidRPr="00701439">
        <w:rPr>
          <w:sz w:val="20"/>
          <w:szCs w:val="20"/>
        </w:rPr>
        <w:t>At the end of December 2022, the Group’s capital position remained robust with regulatory capital of £67</w:t>
      </w:r>
      <w:r w:rsidR="003A196E" w:rsidRPr="00701439">
        <w:rPr>
          <w:sz w:val="20"/>
          <w:szCs w:val="20"/>
        </w:rPr>
        <w:t>9</w:t>
      </w:r>
      <w:r w:rsidRPr="00701439">
        <w:rPr>
          <w:sz w:val="20"/>
          <w:szCs w:val="20"/>
        </w:rPr>
        <w:t>m (FY’21: £707m), equating to a total capital ratio of 37.</w:t>
      </w:r>
      <w:r w:rsidR="00396357" w:rsidRPr="00701439">
        <w:rPr>
          <w:sz w:val="20"/>
          <w:szCs w:val="20"/>
        </w:rPr>
        <w:t>5</w:t>
      </w:r>
      <w:r w:rsidRPr="00701439">
        <w:rPr>
          <w:sz w:val="20"/>
          <w:szCs w:val="20"/>
        </w:rPr>
        <w:t>% (FY’21: 40.6%). This equates to a surplus of £28</w:t>
      </w:r>
      <w:r w:rsidR="00394D0D" w:rsidRPr="00701439">
        <w:rPr>
          <w:sz w:val="20"/>
          <w:szCs w:val="20"/>
        </w:rPr>
        <w:t>4</w:t>
      </w:r>
      <w:r w:rsidRPr="00701439">
        <w:rPr>
          <w:sz w:val="20"/>
          <w:szCs w:val="20"/>
        </w:rPr>
        <w:t xml:space="preserve">m (FY’21: £344m) </w:t>
      </w:r>
      <w:proofErr w:type="gramStart"/>
      <w:r w:rsidR="00BB3AE8" w:rsidRPr="00701439">
        <w:rPr>
          <w:sz w:val="20"/>
          <w:szCs w:val="20"/>
        </w:rPr>
        <w:t>pre C</w:t>
      </w:r>
      <w:proofErr w:type="gramEnd"/>
      <w:r w:rsidR="00BB3AE8" w:rsidRPr="00701439">
        <w:rPr>
          <w:sz w:val="20"/>
          <w:szCs w:val="20"/>
        </w:rPr>
        <w:t>-SREP release of capital above the Group’s TCR and regulatory combined buffer</w:t>
      </w:r>
      <w:r w:rsidR="00F071C2" w:rsidRPr="00701439">
        <w:rPr>
          <w:sz w:val="20"/>
          <w:szCs w:val="20"/>
        </w:rPr>
        <w:t>.</w:t>
      </w:r>
    </w:p>
    <w:p w14:paraId="245254C0" w14:textId="77777777" w:rsidR="00786DAE" w:rsidRPr="00701439" w:rsidRDefault="00786DAE" w:rsidP="00F071C2">
      <w:pPr>
        <w:pStyle w:val="NoSpacing"/>
        <w:jc w:val="both"/>
        <w:rPr>
          <w:sz w:val="20"/>
          <w:szCs w:val="20"/>
        </w:rPr>
      </w:pPr>
    </w:p>
    <w:p w14:paraId="1CF4C704" w14:textId="107405AA" w:rsidR="00786DAE" w:rsidRPr="00701439" w:rsidRDefault="00786DAE" w:rsidP="00C52562">
      <w:pPr>
        <w:spacing w:after="160"/>
        <w:jc w:val="both"/>
        <w:rPr>
          <w:rFonts w:asciiTheme="minorHAnsi" w:hAnsiTheme="minorHAnsi" w:cs="Arial"/>
          <w:b/>
          <w:bCs/>
          <w:color w:val="4747FF"/>
          <w:sz w:val="22"/>
          <w:szCs w:val="22"/>
        </w:rPr>
      </w:pPr>
      <w:r w:rsidRPr="00701439">
        <w:rPr>
          <w:rFonts w:asciiTheme="minorHAnsi" w:hAnsiTheme="minorHAnsi" w:cs="Arial"/>
          <w:b/>
          <w:bCs/>
          <w:color w:val="4747FF"/>
          <w:sz w:val="22"/>
          <w:szCs w:val="22"/>
        </w:rPr>
        <w:t>CEO Succession</w:t>
      </w:r>
    </w:p>
    <w:p w14:paraId="2FA0FFB9" w14:textId="684483D4" w:rsidR="00A23E80" w:rsidRPr="00701439" w:rsidRDefault="00A23E80" w:rsidP="00F071C2">
      <w:pPr>
        <w:pStyle w:val="NoSpacing"/>
        <w:jc w:val="both"/>
        <w:rPr>
          <w:sz w:val="20"/>
          <w:szCs w:val="20"/>
        </w:rPr>
      </w:pPr>
      <w:r w:rsidRPr="00701439">
        <w:rPr>
          <w:sz w:val="20"/>
          <w:szCs w:val="20"/>
        </w:rPr>
        <w:t>The Group announced that Ian McLaughlin</w:t>
      </w:r>
      <w:r w:rsidR="00E41A59" w:rsidRPr="00701439">
        <w:rPr>
          <w:sz w:val="20"/>
          <w:szCs w:val="20"/>
        </w:rPr>
        <w:t>, currently CEO of Bank of Ireland UK,</w:t>
      </w:r>
      <w:r w:rsidRPr="00701439">
        <w:rPr>
          <w:sz w:val="20"/>
          <w:szCs w:val="20"/>
        </w:rPr>
        <w:t xml:space="preserve"> would succeed </w:t>
      </w:r>
      <w:r w:rsidR="00365B13" w:rsidRPr="00701439">
        <w:rPr>
          <w:sz w:val="20"/>
          <w:szCs w:val="20"/>
        </w:rPr>
        <w:t>me</w:t>
      </w:r>
      <w:r w:rsidRPr="00701439">
        <w:rPr>
          <w:sz w:val="20"/>
          <w:szCs w:val="20"/>
        </w:rPr>
        <w:t xml:space="preserve"> as CEO</w:t>
      </w:r>
      <w:r w:rsidR="006E5574" w:rsidRPr="00701439">
        <w:rPr>
          <w:sz w:val="20"/>
          <w:szCs w:val="20"/>
        </w:rPr>
        <w:t xml:space="preserve"> after a handover period during </w:t>
      </w:r>
      <w:r w:rsidR="00D31F14" w:rsidRPr="00701439">
        <w:rPr>
          <w:sz w:val="20"/>
          <w:szCs w:val="20"/>
        </w:rPr>
        <w:t>the summer</w:t>
      </w:r>
      <w:r w:rsidR="003B3E5D" w:rsidRPr="00701439">
        <w:rPr>
          <w:sz w:val="20"/>
          <w:szCs w:val="20"/>
        </w:rPr>
        <w:t>, subject to regulatory approval</w:t>
      </w:r>
      <w:r w:rsidR="00D31F14" w:rsidRPr="00701439">
        <w:rPr>
          <w:sz w:val="20"/>
          <w:szCs w:val="20"/>
        </w:rPr>
        <w:t xml:space="preserve">. </w:t>
      </w:r>
      <w:r w:rsidR="00E30377" w:rsidRPr="00701439">
        <w:rPr>
          <w:sz w:val="20"/>
          <w:szCs w:val="20"/>
        </w:rPr>
        <w:t>Ian is a highly experience</w:t>
      </w:r>
      <w:r w:rsidR="004344BA" w:rsidRPr="00701439">
        <w:rPr>
          <w:sz w:val="20"/>
          <w:szCs w:val="20"/>
        </w:rPr>
        <w:t>d</w:t>
      </w:r>
      <w:r w:rsidR="00E30377" w:rsidRPr="00701439">
        <w:rPr>
          <w:sz w:val="20"/>
          <w:szCs w:val="20"/>
        </w:rPr>
        <w:t xml:space="preserve"> banking CEO</w:t>
      </w:r>
      <w:r w:rsidR="002E5F41" w:rsidRPr="00701439">
        <w:rPr>
          <w:sz w:val="20"/>
          <w:szCs w:val="20"/>
        </w:rPr>
        <w:t xml:space="preserve"> who has a strong track record of delivering growth through improving customer service </w:t>
      </w:r>
      <w:r w:rsidR="00232D5A" w:rsidRPr="00701439">
        <w:rPr>
          <w:sz w:val="20"/>
          <w:szCs w:val="20"/>
        </w:rPr>
        <w:t>and enhancing distribution.</w:t>
      </w:r>
      <w:r w:rsidR="002351EA" w:rsidRPr="00701439">
        <w:rPr>
          <w:sz w:val="20"/>
          <w:szCs w:val="20"/>
        </w:rPr>
        <w:t xml:space="preserve"> </w:t>
      </w:r>
      <w:r w:rsidR="004E23A9" w:rsidRPr="00701439">
        <w:rPr>
          <w:sz w:val="20"/>
          <w:szCs w:val="20"/>
        </w:rPr>
        <w:t>He has in</w:t>
      </w:r>
      <w:r w:rsidR="00313AFD" w:rsidRPr="00701439">
        <w:rPr>
          <w:sz w:val="20"/>
          <w:szCs w:val="20"/>
        </w:rPr>
        <w:t>-</w:t>
      </w:r>
      <w:r w:rsidR="004E23A9" w:rsidRPr="00701439">
        <w:rPr>
          <w:sz w:val="20"/>
          <w:szCs w:val="20"/>
        </w:rPr>
        <w:t>depth experience across</w:t>
      </w:r>
      <w:r w:rsidR="00A64D0C" w:rsidRPr="00701439">
        <w:rPr>
          <w:sz w:val="20"/>
          <w:szCs w:val="20"/>
        </w:rPr>
        <w:t xml:space="preserve"> consumer finance,</w:t>
      </w:r>
      <w:r w:rsidR="00982E3C" w:rsidRPr="00701439">
        <w:rPr>
          <w:sz w:val="20"/>
          <w:szCs w:val="20"/>
        </w:rPr>
        <w:t xml:space="preserve"> motor finance</w:t>
      </w:r>
      <w:r w:rsidR="00CA47E3" w:rsidRPr="00701439">
        <w:rPr>
          <w:sz w:val="20"/>
          <w:szCs w:val="20"/>
        </w:rPr>
        <w:t xml:space="preserve">, </w:t>
      </w:r>
      <w:r w:rsidR="00267AEA" w:rsidRPr="00701439">
        <w:rPr>
          <w:sz w:val="20"/>
          <w:szCs w:val="20"/>
        </w:rPr>
        <w:t>savings</w:t>
      </w:r>
      <w:r w:rsidR="00777484" w:rsidRPr="00701439">
        <w:rPr>
          <w:sz w:val="20"/>
          <w:szCs w:val="20"/>
        </w:rPr>
        <w:t xml:space="preserve">, </w:t>
      </w:r>
      <w:r w:rsidR="00267AEA" w:rsidRPr="00701439">
        <w:rPr>
          <w:sz w:val="20"/>
          <w:szCs w:val="20"/>
        </w:rPr>
        <w:t>SME finance</w:t>
      </w:r>
      <w:r w:rsidR="00777484" w:rsidRPr="00701439">
        <w:rPr>
          <w:sz w:val="20"/>
          <w:szCs w:val="20"/>
        </w:rPr>
        <w:t xml:space="preserve"> and mortgages</w:t>
      </w:r>
      <w:r w:rsidR="00267AEA" w:rsidRPr="00701439">
        <w:rPr>
          <w:sz w:val="20"/>
          <w:szCs w:val="20"/>
        </w:rPr>
        <w:t xml:space="preserve">. </w:t>
      </w:r>
      <w:r w:rsidR="00CA50A0" w:rsidRPr="00701439">
        <w:rPr>
          <w:sz w:val="20"/>
          <w:szCs w:val="20"/>
        </w:rPr>
        <w:t>Prior to his current role at Bank of Ireland UK, Ian</w:t>
      </w:r>
      <w:r w:rsidR="00214801" w:rsidRPr="00701439">
        <w:rPr>
          <w:sz w:val="20"/>
          <w:szCs w:val="20"/>
        </w:rPr>
        <w:t xml:space="preserve"> spent </w:t>
      </w:r>
      <w:r w:rsidR="00E406E8" w:rsidRPr="00701439">
        <w:rPr>
          <w:sz w:val="20"/>
          <w:szCs w:val="20"/>
        </w:rPr>
        <w:t>nearly 15 years working in senior positions at NatWest and Lloyds Banking Group.</w:t>
      </w:r>
    </w:p>
    <w:p w14:paraId="6CD68223" w14:textId="77777777" w:rsidR="0028684A" w:rsidRPr="00701439" w:rsidRDefault="0028684A" w:rsidP="00F071C2">
      <w:pPr>
        <w:pStyle w:val="NoSpacing"/>
        <w:jc w:val="both"/>
        <w:rPr>
          <w:sz w:val="20"/>
          <w:szCs w:val="20"/>
        </w:rPr>
      </w:pPr>
    </w:p>
    <w:p w14:paraId="2F52B629" w14:textId="77777777" w:rsidR="000F43A0" w:rsidRDefault="000F43A0" w:rsidP="0028684A">
      <w:pPr>
        <w:pStyle w:val="NoSpacing"/>
        <w:rPr>
          <w:rFonts w:eastAsia="Times New Roman" w:cs="Arial"/>
          <w:b/>
          <w:bCs/>
          <w:color w:val="4747FF"/>
          <w:lang w:eastAsia="en-GB"/>
        </w:rPr>
      </w:pPr>
    </w:p>
    <w:p w14:paraId="43B379BF" w14:textId="77777777" w:rsidR="000F43A0" w:rsidRDefault="000F43A0" w:rsidP="0028684A">
      <w:pPr>
        <w:pStyle w:val="NoSpacing"/>
        <w:rPr>
          <w:rFonts w:eastAsia="Times New Roman" w:cs="Arial"/>
          <w:b/>
          <w:bCs/>
          <w:color w:val="4747FF"/>
          <w:lang w:eastAsia="en-GB"/>
        </w:rPr>
      </w:pPr>
    </w:p>
    <w:p w14:paraId="10E5728A" w14:textId="77777777" w:rsidR="000F43A0" w:rsidRDefault="000F43A0" w:rsidP="0028684A">
      <w:pPr>
        <w:pStyle w:val="NoSpacing"/>
        <w:rPr>
          <w:rFonts w:eastAsia="Times New Roman" w:cs="Arial"/>
          <w:b/>
          <w:bCs/>
          <w:color w:val="4747FF"/>
          <w:lang w:eastAsia="en-GB"/>
        </w:rPr>
      </w:pPr>
    </w:p>
    <w:p w14:paraId="2D2B33C3" w14:textId="0A1F3210" w:rsidR="0028684A" w:rsidRPr="00701439" w:rsidRDefault="0028684A" w:rsidP="0028684A">
      <w:pPr>
        <w:pStyle w:val="NoSpacing"/>
        <w:rPr>
          <w:rFonts w:eastAsia="Times New Roman" w:cs="Arial"/>
          <w:b/>
          <w:bCs/>
          <w:color w:val="4747FF"/>
          <w:lang w:eastAsia="en-GB"/>
        </w:rPr>
      </w:pPr>
      <w:r w:rsidRPr="00701439">
        <w:rPr>
          <w:rFonts w:eastAsia="Times New Roman" w:cs="Arial"/>
          <w:b/>
          <w:bCs/>
          <w:color w:val="4747FF"/>
          <w:lang w:eastAsia="en-GB"/>
        </w:rPr>
        <w:lastRenderedPageBreak/>
        <w:t xml:space="preserve">Group name change </w:t>
      </w:r>
    </w:p>
    <w:p w14:paraId="6D6D9DF3" w14:textId="77777777" w:rsidR="0028684A" w:rsidRPr="00701439" w:rsidRDefault="0028684A" w:rsidP="0028684A">
      <w:pPr>
        <w:pStyle w:val="NoSpacing"/>
        <w:rPr>
          <w:sz w:val="20"/>
          <w:szCs w:val="20"/>
        </w:rPr>
      </w:pPr>
    </w:p>
    <w:p w14:paraId="73EF5DC5" w14:textId="5A2EB0FD" w:rsidR="0028684A" w:rsidRPr="00701439" w:rsidRDefault="0028684A" w:rsidP="00F071C2">
      <w:pPr>
        <w:pStyle w:val="NoSpacing"/>
        <w:jc w:val="both"/>
        <w:rPr>
          <w:sz w:val="20"/>
          <w:szCs w:val="20"/>
        </w:rPr>
      </w:pPr>
      <w:r w:rsidRPr="00701439">
        <w:rPr>
          <w:sz w:val="20"/>
          <w:szCs w:val="20"/>
        </w:rPr>
        <w:t xml:space="preserve">In recent years, the Group has evolved how, and to which customers, it provides credit. This has resulted in credit quality across the Group improving significantly, as illustrated by the Group’s current average credit risk </w:t>
      </w:r>
      <w:r w:rsidR="009D3812" w:rsidRPr="00701439">
        <w:rPr>
          <w:sz w:val="20"/>
          <w:szCs w:val="20"/>
        </w:rPr>
        <w:t xml:space="preserve">profile </w:t>
      </w:r>
      <w:r w:rsidRPr="00701439">
        <w:rPr>
          <w:sz w:val="20"/>
          <w:szCs w:val="20"/>
        </w:rPr>
        <w:t xml:space="preserve">more than halving since 2019. During 2021, the Group’s evolution continued and involved the closure of its home collected credit business, which carried the ‘Provident’ brand. The Group chose to focus on its credit cards, vehicle finance and personal loans operations in the mid-cost and near-prime parts of the market. Accordingly, the Group decided to change its name to Vanquis Banking Group plc in recognition of its new and future mix of lending products and its repositioning as a specialist banking group. The change of name from Provident Financial plc to Vanquis Banking Group plc </w:t>
      </w:r>
      <w:r w:rsidR="000C69CE" w:rsidRPr="00701439">
        <w:rPr>
          <w:sz w:val="20"/>
          <w:szCs w:val="20"/>
        </w:rPr>
        <w:t>became</w:t>
      </w:r>
      <w:r w:rsidRPr="00701439">
        <w:rPr>
          <w:sz w:val="20"/>
          <w:szCs w:val="20"/>
        </w:rPr>
        <w:t xml:space="preserve"> effective </w:t>
      </w:r>
      <w:r w:rsidR="000C69CE" w:rsidRPr="00701439">
        <w:rPr>
          <w:sz w:val="20"/>
          <w:szCs w:val="20"/>
        </w:rPr>
        <w:t xml:space="preserve">on </w:t>
      </w:r>
      <w:r w:rsidR="00894D2A" w:rsidRPr="00701439">
        <w:rPr>
          <w:sz w:val="20"/>
          <w:szCs w:val="20"/>
        </w:rPr>
        <w:t>2</w:t>
      </w:r>
      <w:r w:rsidRPr="00701439">
        <w:rPr>
          <w:sz w:val="20"/>
          <w:szCs w:val="20"/>
        </w:rPr>
        <w:t xml:space="preserve"> March 2023</w:t>
      </w:r>
      <w:r w:rsidR="000C69CE" w:rsidRPr="00701439">
        <w:rPr>
          <w:sz w:val="20"/>
          <w:szCs w:val="20"/>
        </w:rPr>
        <w:t xml:space="preserve"> and</w:t>
      </w:r>
      <w:r w:rsidRPr="00701439">
        <w:rPr>
          <w:sz w:val="20"/>
          <w:szCs w:val="20"/>
        </w:rPr>
        <w:t xml:space="preserve"> </w:t>
      </w:r>
      <w:r w:rsidR="000C69CE" w:rsidRPr="00701439">
        <w:rPr>
          <w:sz w:val="20"/>
          <w:szCs w:val="20"/>
        </w:rPr>
        <w:t>t</w:t>
      </w:r>
      <w:r w:rsidRPr="00701439">
        <w:rPr>
          <w:sz w:val="20"/>
          <w:szCs w:val="20"/>
        </w:rPr>
        <w:t xml:space="preserve">he Group’s stock ticker on the LSE </w:t>
      </w:r>
      <w:r w:rsidR="000C69CE" w:rsidRPr="00701439">
        <w:rPr>
          <w:sz w:val="20"/>
          <w:szCs w:val="20"/>
        </w:rPr>
        <w:t>is</w:t>
      </w:r>
      <w:r w:rsidR="00C503DB" w:rsidRPr="00701439">
        <w:rPr>
          <w:sz w:val="20"/>
          <w:szCs w:val="20"/>
        </w:rPr>
        <w:t xml:space="preserve"> now</w:t>
      </w:r>
      <w:r w:rsidRPr="00701439">
        <w:rPr>
          <w:sz w:val="20"/>
          <w:szCs w:val="20"/>
        </w:rPr>
        <w:t xml:space="preserve"> VAN</w:t>
      </w:r>
      <w:r w:rsidR="00E579FB" w:rsidRPr="00701439">
        <w:rPr>
          <w:sz w:val="20"/>
          <w:szCs w:val="20"/>
        </w:rPr>
        <w:t>Q.</w:t>
      </w:r>
    </w:p>
    <w:p w14:paraId="5DD1D2BD" w14:textId="6EF003A0" w:rsidR="00F01EC8" w:rsidRPr="00701439" w:rsidRDefault="00F01EC8" w:rsidP="00E534C5">
      <w:pPr>
        <w:pStyle w:val="NoSpacing"/>
        <w:jc w:val="both"/>
        <w:rPr>
          <w:sz w:val="20"/>
          <w:szCs w:val="20"/>
        </w:rPr>
      </w:pPr>
    </w:p>
    <w:p w14:paraId="62BAF65D" w14:textId="738F51E6" w:rsidR="00E47BFC" w:rsidRPr="00701439" w:rsidRDefault="00E47BFC" w:rsidP="00C52562">
      <w:pPr>
        <w:spacing w:after="160"/>
        <w:jc w:val="both"/>
        <w:rPr>
          <w:rFonts w:asciiTheme="minorHAnsi" w:hAnsiTheme="minorHAnsi" w:cs="Arial"/>
          <w:b/>
          <w:bCs/>
          <w:color w:val="4747FF"/>
          <w:sz w:val="22"/>
          <w:szCs w:val="22"/>
        </w:rPr>
      </w:pPr>
      <w:r w:rsidRPr="00701439">
        <w:rPr>
          <w:rFonts w:asciiTheme="minorHAnsi" w:hAnsiTheme="minorHAnsi" w:cs="Arial"/>
          <w:b/>
          <w:bCs/>
          <w:color w:val="4747FF"/>
          <w:sz w:val="22"/>
          <w:szCs w:val="22"/>
        </w:rPr>
        <w:t>Product update</w:t>
      </w:r>
    </w:p>
    <w:p w14:paraId="6B348BD3" w14:textId="16385E35" w:rsidR="00D82F3E" w:rsidRPr="00701439" w:rsidRDefault="009F5797" w:rsidP="00AE6002">
      <w:pPr>
        <w:pStyle w:val="NoSpacing"/>
        <w:jc w:val="both"/>
        <w:rPr>
          <w:bCs/>
          <w:sz w:val="20"/>
          <w:szCs w:val="20"/>
        </w:rPr>
      </w:pPr>
      <w:r w:rsidRPr="00701439">
        <w:rPr>
          <w:sz w:val="20"/>
          <w:szCs w:val="20"/>
        </w:rPr>
        <w:t>In January 2022, the Group</w:t>
      </w:r>
      <w:r w:rsidR="007E5E45" w:rsidRPr="00701439">
        <w:rPr>
          <w:sz w:val="20"/>
          <w:szCs w:val="20"/>
        </w:rPr>
        <w:t xml:space="preserve"> announced </w:t>
      </w:r>
      <w:r w:rsidR="00F54765" w:rsidRPr="00701439">
        <w:rPr>
          <w:sz w:val="20"/>
          <w:szCs w:val="20"/>
        </w:rPr>
        <w:t xml:space="preserve">that </w:t>
      </w:r>
      <w:r w:rsidRPr="00701439">
        <w:rPr>
          <w:sz w:val="20"/>
          <w:szCs w:val="20"/>
        </w:rPr>
        <w:t>it</w:t>
      </w:r>
      <w:r w:rsidR="00F54765" w:rsidRPr="00701439">
        <w:rPr>
          <w:sz w:val="20"/>
          <w:szCs w:val="20"/>
        </w:rPr>
        <w:t xml:space="preserve"> had launched a pilot phase for </w:t>
      </w:r>
      <w:r w:rsidR="00BA2061" w:rsidRPr="00701439">
        <w:rPr>
          <w:sz w:val="20"/>
          <w:szCs w:val="20"/>
        </w:rPr>
        <w:t>a</w:t>
      </w:r>
      <w:r w:rsidR="00F54765" w:rsidRPr="00701439">
        <w:rPr>
          <w:sz w:val="20"/>
          <w:szCs w:val="20"/>
        </w:rPr>
        <w:t xml:space="preserve"> personal loans business</w:t>
      </w:r>
      <w:r w:rsidR="00F968BD" w:rsidRPr="00701439">
        <w:rPr>
          <w:sz w:val="20"/>
          <w:szCs w:val="20"/>
        </w:rPr>
        <w:t xml:space="preserve">. </w:t>
      </w:r>
      <w:r w:rsidR="00233A76" w:rsidRPr="00701439">
        <w:rPr>
          <w:sz w:val="20"/>
          <w:szCs w:val="20"/>
        </w:rPr>
        <w:t xml:space="preserve">Then, with the </w:t>
      </w:r>
      <w:r w:rsidR="00F54765" w:rsidRPr="00701439">
        <w:rPr>
          <w:sz w:val="20"/>
          <w:szCs w:val="20"/>
        </w:rPr>
        <w:t>H1’22 results,</w:t>
      </w:r>
      <w:r w:rsidR="00233A76" w:rsidRPr="00701439">
        <w:rPr>
          <w:sz w:val="20"/>
          <w:szCs w:val="20"/>
        </w:rPr>
        <w:t xml:space="preserve"> it</w:t>
      </w:r>
      <w:r w:rsidR="00F54765" w:rsidRPr="00701439">
        <w:rPr>
          <w:sz w:val="20"/>
          <w:szCs w:val="20"/>
        </w:rPr>
        <w:t xml:space="preserve"> announced th</w:t>
      </w:r>
      <w:r w:rsidR="00D57F66" w:rsidRPr="00701439">
        <w:rPr>
          <w:sz w:val="20"/>
          <w:szCs w:val="20"/>
        </w:rPr>
        <w:t xml:space="preserve">at the personal loans business would be taken forward as a separately reported product. </w:t>
      </w:r>
      <w:r w:rsidR="00A42757" w:rsidRPr="00701439">
        <w:rPr>
          <w:sz w:val="20"/>
          <w:szCs w:val="20"/>
        </w:rPr>
        <w:t>Since launch, the business has performed extremely well and has grown its receivables to approximately £7</w:t>
      </w:r>
      <w:r w:rsidR="002A40A3" w:rsidRPr="00701439">
        <w:rPr>
          <w:sz w:val="20"/>
          <w:szCs w:val="20"/>
        </w:rPr>
        <w:t>6</w:t>
      </w:r>
      <w:r w:rsidR="00A42757" w:rsidRPr="00701439">
        <w:rPr>
          <w:sz w:val="20"/>
          <w:szCs w:val="20"/>
        </w:rPr>
        <w:t xml:space="preserve">m as of 31 December 2022 and grown its customer numbers to approximately 34k. </w:t>
      </w:r>
      <w:r w:rsidR="006F75B2" w:rsidRPr="00701439">
        <w:rPr>
          <w:sz w:val="20"/>
          <w:szCs w:val="20"/>
        </w:rPr>
        <w:t xml:space="preserve">This progress illustrates the success of the product itself and the hard work of all the people </w:t>
      </w:r>
      <w:r w:rsidR="00660A6B" w:rsidRPr="00701439">
        <w:rPr>
          <w:sz w:val="20"/>
          <w:szCs w:val="20"/>
        </w:rPr>
        <w:t>behind the scenes who have helped to deliver the product for our customers</w:t>
      </w:r>
      <w:r w:rsidR="00660A6B" w:rsidRPr="00701439">
        <w:rPr>
          <w:bCs/>
          <w:sz w:val="20"/>
          <w:szCs w:val="20"/>
        </w:rPr>
        <w:t xml:space="preserve">. </w:t>
      </w:r>
    </w:p>
    <w:p w14:paraId="1875A602" w14:textId="77777777" w:rsidR="00D82F3E" w:rsidRPr="00701439" w:rsidRDefault="00D82F3E" w:rsidP="00AE6002">
      <w:pPr>
        <w:pStyle w:val="NoSpacing"/>
        <w:jc w:val="both"/>
        <w:rPr>
          <w:rStyle w:val="Strong"/>
          <w:b w:val="0"/>
          <w:sz w:val="20"/>
          <w:szCs w:val="20"/>
        </w:rPr>
      </w:pPr>
    </w:p>
    <w:p w14:paraId="55816AD0" w14:textId="00ECF490" w:rsidR="00BB3F76" w:rsidRPr="00701439" w:rsidRDefault="0054333D" w:rsidP="00BB3F76">
      <w:pPr>
        <w:pStyle w:val="NoSpacing"/>
        <w:jc w:val="both"/>
        <w:rPr>
          <w:sz w:val="20"/>
          <w:szCs w:val="20"/>
        </w:rPr>
      </w:pPr>
      <w:r w:rsidRPr="00701439">
        <w:rPr>
          <w:sz w:val="20"/>
          <w:szCs w:val="20"/>
        </w:rPr>
        <w:t>As recently announced,</w:t>
      </w:r>
      <w:r w:rsidR="00FB21AC" w:rsidRPr="00701439">
        <w:rPr>
          <w:sz w:val="20"/>
          <w:szCs w:val="20"/>
        </w:rPr>
        <w:t xml:space="preserve"> the Group has launched a</w:t>
      </w:r>
      <w:r w:rsidR="00660A6B" w:rsidRPr="00701439">
        <w:rPr>
          <w:sz w:val="20"/>
          <w:szCs w:val="20"/>
        </w:rPr>
        <w:t>nother</w:t>
      </w:r>
      <w:r w:rsidR="00FB21AC" w:rsidRPr="00701439">
        <w:rPr>
          <w:sz w:val="20"/>
          <w:szCs w:val="20"/>
        </w:rPr>
        <w:t xml:space="preserve"> pilot phase for a new secured product offering of second charge mortgages. During the pilot phase, the Group will acquire existing second charge mortgage loans on a forward flow basis and will recognise the loans on its balance sheet as customer receivables. If the pilot phase is successful, the Group intends to start to originate its own flow of new loans directly to new and existing customers. </w:t>
      </w:r>
      <w:r w:rsidR="008D1425" w:rsidRPr="00701439">
        <w:rPr>
          <w:sz w:val="20"/>
          <w:szCs w:val="20"/>
        </w:rPr>
        <w:t>The second charge mortgage market</w:t>
      </w:r>
      <w:r w:rsidR="00B056BA" w:rsidRPr="00701439">
        <w:rPr>
          <w:sz w:val="20"/>
          <w:szCs w:val="20"/>
        </w:rPr>
        <w:t xml:space="preserve"> in the UK</w:t>
      </w:r>
      <w:r w:rsidR="008D1425" w:rsidRPr="00701439">
        <w:rPr>
          <w:sz w:val="20"/>
          <w:szCs w:val="20"/>
        </w:rPr>
        <w:t xml:space="preserve"> is a large and growing market, estimated at </w:t>
      </w:r>
      <w:r w:rsidR="004B2F5E" w:rsidRPr="00701439">
        <w:rPr>
          <w:sz w:val="20"/>
          <w:szCs w:val="20"/>
        </w:rPr>
        <w:t>approximately £1.3bn</w:t>
      </w:r>
      <w:r w:rsidR="00507C21" w:rsidRPr="00701439">
        <w:rPr>
          <w:sz w:val="20"/>
          <w:szCs w:val="20"/>
        </w:rPr>
        <w:t xml:space="preserve"> and growing by between 15% and 17% per annum (Source: LEK). </w:t>
      </w:r>
      <w:r w:rsidR="00FB21AC" w:rsidRPr="00701439">
        <w:rPr>
          <w:sz w:val="20"/>
          <w:szCs w:val="20"/>
        </w:rPr>
        <w:t>Second charge mortgages have the potential to improve customer outcomes and to promote financial inclusion, consistent with the Group’s purpose and mission, whilst enabling the Group to provide attractive and sustainable returns to its shareholders.</w:t>
      </w:r>
    </w:p>
    <w:p w14:paraId="1CECA67A" w14:textId="77777777" w:rsidR="00BB3F76" w:rsidRPr="00701439" w:rsidRDefault="00BB3F76" w:rsidP="00BB3F76">
      <w:pPr>
        <w:pStyle w:val="NoSpacing"/>
        <w:jc w:val="both"/>
        <w:rPr>
          <w:sz w:val="20"/>
          <w:szCs w:val="20"/>
        </w:rPr>
      </w:pPr>
    </w:p>
    <w:p w14:paraId="5203B43D" w14:textId="3FAFB5AE" w:rsidR="00BB3F76" w:rsidRPr="00701439" w:rsidRDefault="002D06F2" w:rsidP="00FB21AC">
      <w:pPr>
        <w:pStyle w:val="NoSpacing"/>
        <w:jc w:val="both"/>
        <w:rPr>
          <w:rFonts w:eastAsia="Times New Roman" w:cs="Arial"/>
          <w:b/>
          <w:bCs/>
          <w:color w:val="4747FF"/>
          <w:lang w:eastAsia="en-GB"/>
        </w:rPr>
      </w:pPr>
      <w:r w:rsidRPr="00701439">
        <w:rPr>
          <w:rFonts w:eastAsia="Times New Roman" w:cs="Arial"/>
          <w:b/>
          <w:bCs/>
          <w:color w:val="4747FF"/>
          <w:lang w:eastAsia="en-GB"/>
        </w:rPr>
        <w:t xml:space="preserve">Updated capital </w:t>
      </w:r>
      <w:proofErr w:type="gramStart"/>
      <w:r w:rsidRPr="00701439">
        <w:rPr>
          <w:rFonts w:eastAsia="Times New Roman" w:cs="Arial"/>
          <w:b/>
          <w:bCs/>
          <w:color w:val="4747FF"/>
          <w:lang w:eastAsia="en-GB"/>
        </w:rPr>
        <w:t>requirements</w:t>
      </w:r>
      <w:proofErr w:type="gramEnd"/>
    </w:p>
    <w:p w14:paraId="081A5239" w14:textId="77777777" w:rsidR="002D06F2" w:rsidRPr="00701439" w:rsidRDefault="002D06F2" w:rsidP="00FB21AC">
      <w:pPr>
        <w:pStyle w:val="NoSpacing"/>
        <w:jc w:val="both"/>
        <w:rPr>
          <w:sz w:val="20"/>
          <w:szCs w:val="20"/>
        </w:rPr>
      </w:pPr>
    </w:p>
    <w:p w14:paraId="1EFA2DB4" w14:textId="147E91F3" w:rsidR="00D0589B" w:rsidRPr="00701439" w:rsidRDefault="00417A77" w:rsidP="0002541E">
      <w:pPr>
        <w:pStyle w:val="NoSpacing"/>
        <w:jc w:val="both"/>
        <w:rPr>
          <w:sz w:val="20"/>
          <w:szCs w:val="20"/>
        </w:rPr>
      </w:pPr>
      <w:r w:rsidRPr="00701439">
        <w:rPr>
          <w:sz w:val="20"/>
          <w:szCs w:val="20"/>
        </w:rPr>
        <w:t>Shortly after the period end, the Group was notified that t</w:t>
      </w:r>
      <w:r w:rsidR="00D0589B" w:rsidRPr="00701439">
        <w:rPr>
          <w:sz w:val="20"/>
          <w:szCs w:val="20"/>
        </w:rPr>
        <w:t>he Prudential Regulation Authority (PRA) ha</w:t>
      </w:r>
      <w:r w:rsidRPr="00701439">
        <w:rPr>
          <w:sz w:val="20"/>
          <w:szCs w:val="20"/>
        </w:rPr>
        <w:t>d</w:t>
      </w:r>
      <w:r w:rsidR="00D0589B" w:rsidRPr="00701439">
        <w:rPr>
          <w:sz w:val="20"/>
          <w:szCs w:val="20"/>
        </w:rPr>
        <w:t xml:space="preserve"> concluded its Capital Supervisory Review </w:t>
      </w:r>
      <w:r w:rsidR="00274A68" w:rsidRPr="00701439">
        <w:rPr>
          <w:sz w:val="20"/>
          <w:szCs w:val="20"/>
        </w:rPr>
        <w:t>and Evaluation</w:t>
      </w:r>
      <w:r w:rsidR="00D0589B" w:rsidRPr="00701439">
        <w:rPr>
          <w:sz w:val="20"/>
          <w:szCs w:val="20"/>
        </w:rPr>
        <w:t xml:space="preserve"> Process (C-SREP) of the Group’s capital requirements, based on the Internal Capital Adequacy Assessment Process (ICAAP) undertaken during 2022. </w:t>
      </w:r>
      <w:r w:rsidR="00240138" w:rsidRPr="00701439">
        <w:rPr>
          <w:sz w:val="20"/>
          <w:szCs w:val="20"/>
        </w:rPr>
        <w:t xml:space="preserve">The outcome is that the TCR has reduced by more than a third, from 18.3% to 11.9%. Including the current regulatory combined buffer of 3.5% (capital conservation buffer of 2.5% and countercyclical </w:t>
      </w:r>
      <w:r w:rsidR="00BE5704" w:rsidRPr="00701439">
        <w:rPr>
          <w:sz w:val="20"/>
          <w:szCs w:val="20"/>
        </w:rPr>
        <w:t xml:space="preserve">capital </w:t>
      </w:r>
      <w:r w:rsidR="00240138" w:rsidRPr="00701439">
        <w:rPr>
          <w:sz w:val="20"/>
          <w:szCs w:val="20"/>
        </w:rPr>
        <w:t>buffer of 1.0%), the Group’s overall capital requirement has reduced by 6.4% from 21.8% to 15.4%</w:t>
      </w:r>
      <w:r w:rsidR="00C92A33" w:rsidRPr="00701439">
        <w:rPr>
          <w:sz w:val="20"/>
          <w:szCs w:val="20"/>
        </w:rPr>
        <w:t xml:space="preserve">, which excludes confidential </w:t>
      </w:r>
      <w:r w:rsidR="00D0197B" w:rsidRPr="00701439">
        <w:rPr>
          <w:sz w:val="20"/>
          <w:szCs w:val="20"/>
        </w:rPr>
        <w:t xml:space="preserve">buffers set by the PRA </w:t>
      </w:r>
      <w:r w:rsidR="00C92A33" w:rsidRPr="00701439">
        <w:rPr>
          <w:sz w:val="20"/>
          <w:szCs w:val="20"/>
        </w:rPr>
        <w:t xml:space="preserve">and </w:t>
      </w:r>
      <w:r w:rsidR="00D0197B" w:rsidRPr="00701439">
        <w:rPr>
          <w:sz w:val="20"/>
          <w:szCs w:val="20"/>
        </w:rPr>
        <w:t>internal</w:t>
      </w:r>
      <w:r w:rsidR="00C92A33" w:rsidRPr="00701439">
        <w:rPr>
          <w:sz w:val="20"/>
          <w:szCs w:val="20"/>
        </w:rPr>
        <w:t xml:space="preserve"> management buffers.</w:t>
      </w:r>
    </w:p>
    <w:p w14:paraId="7EB80DE1" w14:textId="77777777" w:rsidR="00D0589B" w:rsidRPr="00701439" w:rsidRDefault="00D0589B" w:rsidP="0002541E">
      <w:pPr>
        <w:pStyle w:val="NoSpacing"/>
        <w:jc w:val="both"/>
        <w:rPr>
          <w:sz w:val="20"/>
          <w:szCs w:val="20"/>
        </w:rPr>
      </w:pPr>
    </w:p>
    <w:p w14:paraId="4FA7F552" w14:textId="2917517E" w:rsidR="00DF2527" w:rsidRPr="00701439" w:rsidRDefault="00DF2527" w:rsidP="00DF2527">
      <w:pPr>
        <w:pStyle w:val="NoSpacing"/>
        <w:jc w:val="both"/>
        <w:rPr>
          <w:sz w:val="20"/>
          <w:szCs w:val="20"/>
        </w:rPr>
      </w:pPr>
      <w:r w:rsidRPr="00701439">
        <w:rPr>
          <w:sz w:val="20"/>
          <w:szCs w:val="20"/>
        </w:rPr>
        <w:t xml:space="preserve">The reduction in capital requirements will support the Group’s focus on organic loan book growth, which is further supported by the receipt of a large </w:t>
      </w:r>
      <w:r w:rsidR="00F4005E" w:rsidRPr="00701439">
        <w:rPr>
          <w:sz w:val="20"/>
          <w:szCs w:val="20"/>
        </w:rPr>
        <w:t xml:space="preserve">exposure </w:t>
      </w:r>
      <w:r w:rsidRPr="00701439">
        <w:rPr>
          <w:sz w:val="20"/>
          <w:szCs w:val="20"/>
        </w:rPr>
        <w:t xml:space="preserve">waiver from the PRA in November 2022, enabling </w:t>
      </w:r>
      <w:r w:rsidR="001D2201" w:rsidRPr="00701439">
        <w:rPr>
          <w:sz w:val="20"/>
          <w:szCs w:val="20"/>
        </w:rPr>
        <w:t>Moneybarn to acce</w:t>
      </w:r>
      <w:r w:rsidR="00212082" w:rsidRPr="00701439">
        <w:rPr>
          <w:sz w:val="20"/>
          <w:szCs w:val="20"/>
        </w:rPr>
        <w:t>ss</w:t>
      </w:r>
      <w:r w:rsidRPr="00701439">
        <w:rPr>
          <w:sz w:val="20"/>
          <w:szCs w:val="20"/>
        </w:rPr>
        <w:t xml:space="preserve"> retail deposit funding </w:t>
      </w:r>
      <w:r w:rsidR="00212082" w:rsidRPr="00701439">
        <w:rPr>
          <w:sz w:val="20"/>
          <w:szCs w:val="20"/>
        </w:rPr>
        <w:t>via Vanquis Bank</w:t>
      </w:r>
      <w:r w:rsidRPr="00701439">
        <w:rPr>
          <w:sz w:val="20"/>
          <w:szCs w:val="20"/>
        </w:rPr>
        <w:t>.</w:t>
      </w:r>
    </w:p>
    <w:p w14:paraId="48CE8A6D" w14:textId="77777777" w:rsidR="0054333D" w:rsidRPr="00701439" w:rsidRDefault="0054333D" w:rsidP="00FB21AC">
      <w:pPr>
        <w:pStyle w:val="NoSpacing"/>
        <w:jc w:val="both"/>
        <w:rPr>
          <w:sz w:val="20"/>
          <w:szCs w:val="20"/>
        </w:rPr>
      </w:pPr>
    </w:p>
    <w:p w14:paraId="63CD6199" w14:textId="4B1F01AD" w:rsidR="00BA69E1" w:rsidRPr="00701439" w:rsidRDefault="00720726" w:rsidP="00E534C5">
      <w:pPr>
        <w:pStyle w:val="NoSpacing"/>
        <w:jc w:val="both"/>
        <w:rPr>
          <w:b/>
          <w:sz w:val="20"/>
          <w:szCs w:val="20"/>
        </w:rPr>
      </w:pPr>
      <w:bookmarkStart w:id="7" w:name="_Hlk95487177"/>
      <w:r w:rsidRPr="00701439">
        <w:rPr>
          <w:rFonts w:eastAsia="Times New Roman" w:cs="Arial"/>
          <w:b/>
          <w:bCs/>
          <w:color w:val="4747FF"/>
          <w:lang w:eastAsia="en-GB"/>
        </w:rPr>
        <w:t>Environmental, Social and Corporate Governance (ESG)</w:t>
      </w:r>
    </w:p>
    <w:p w14:paraId="1EC1B567" w14:textId="366E24D5" w:rsidR="00720726" w:rsidRPr="00701439" w:rsidRDefault="00720726" w:rsidP="00E534C5">
      <w:pPr>
        <w:pStyle w:val="NoSpacing"/>
        <w:jc w:val="both"/>
        <w:rPr>
          <w:rStyle w:val="Strong"/>
          <w:sz w:val="20"/>
          <w:szCs w:val="20"/>
        </w:rPr>
      </w:pPr>
    </w:p>
    <w:bookmarkEnd w:id="7"/>
    <w:p w14:paraId="636052CA" w14:textId="49FA1DFC" w:rsidR="001D0D56" w:rsidRPr="00701439" w:rsidRDefault="001D0D56" w:rsidP="001D0D56">
      <w:pPr>
        <w:pStyle w:val="NoSpacing"/>
        <w:jc w:val="both"/>
        <w:rPr>
          <w:sz w:val="20"/>
          <w:szCs w:val="20"/>
        </w:rPr>
      </w:pPr>
      <w:proofErr w:type="gramStart"/>
      <w:r w:rsidRPr="00701439">
        <w:rPr>
          <w:sz w:val="20"/>
          <w:szCs w:val="20"/>
        </w:rPr>
        <w:t>During the course of</w:t>
      </w:r>
      <w:proofErr w:type="gramEnd"/>
      <w:r w:rsidRPr="00701439">
        <w:rPr>
          <w:sz w:val="20"/>
          <w:szCs w:val="20"/>
        </w:rPr>
        <w:t xml:space="preserve"> 2022, the Group redefined its Mission and refreshed its Strategic Priorities. Vanquis Banking Group will work towards its Mission by focusing on the three strategic priorities of People and Culture, Customers and Community, and Growth and Sustainabil</w:t>
      </w:r>
      <w:r w:rsidR="00E104A7" w:rsidRPr="00701439">
        <w:rPr>
          <w:sz w:val="20"/>
          <w:szCs w:val="20"/>
        </w:rPr>
        <w:t>i</w:t>
      </w:r>
      <w:r w:rsidRPr="00701439">
        <w:rPr>
          <w:sz w:val="20"/>
          <w:szCs w:val="20"/>
        </w:rPr>
        <w:t>ty. These priorities underline the commitment to continue responding to the needs of our key stakeholders and managing our ESG performance. For further details of our approach to managing and reporting our ESG performance, please refer to our 2022 Corporate Responsibility report.</w:t>
      </w:r>
    </w:p>
    <w:p w14:paraId="01550AB8" w14:textId="77777777" w:rsidR="001D0D56" w:rsidRPr="00701439" w:rsidRDefault="001D0D56" w:rsidP="001D0D56">
      <w:pPr>
        <w:pStyle w:val="NoSpacing"/>
        <w:jc w:val="both"/>
        <w:rPr>
          <w:sz w:val="20"/>
          <w:szCs w:val="20"/>
        </w:rPr>
      </w:pPr>
      <w:r w:rsidRPr="00701439">
        <w:rPr>
          <w:sz w:val="20"/>
          <w:szCs w:val="20"/>
        </w:rPr>
        <w:t> </w:t>
      </w:r>
    </w:p>
    <w:p w14:paraId="3688E792" w14:textId="2B5911EF" w:rsidR="001D0D56" w:rsidRPr="00701439" w:rsidRDefault="001D0D56" w:rsidP="001D0D56">
      <w:pPr>
        <w:pStyle w:val="NoSpacing"/>
        <w:jc w:val="both"/>
        <w:rPr>
          <w:sz w:val="20"/>
          <w:szCs w:val="20"/>
        </w:rPr>
      </w:pPr>
      <w:r w:rsidRPr="00701439">
        <w:rPr>
          <w:sz w:val="20"/>
          <w:szCs w:val="20"/>
        </w:rPr>
        <w:t xml:space="preserve">During 2022, the Group continued to deliver on its commitment to tackle climate change and its net zero by 2040 ambition. This includes the Group accounting for all its </w:t>
      </w:r>
      <w:r w:rsidR="00DB3CEC" w:rsidRPr="00701439">
        <w:rPr>
          <w:sz w:val="20"/>
          <w:szCs w:val="20"/>
        </w:rPr>
        <w:t xml:space="preserve">material </w:t>
      </w:r>
      <w:r w:rsidRPr="00701439">
        <w:rPr>
          <w:sz w:val="20"/>
          <w:szCs w:val="20"/>
        </w:rPr>
        <w:t>Scope 3 greenhouse gas (GHG) emissions and business activities and making good progress in agreeing carbon reduction targets which will be verified by the Science Based Target initiative by September 2023.</w:t>
      </w:r>
    </w:p>
    <w:p w14:paraId="3D28A4C1" w14:textId="77777777" w:rsidR="001D0D56" w:rsidRDefault="001D0D56" w:rsidP="001D0D56">
      <w:pPr>
        <w:pStyle w:val="NoSpacing"/>
        <w:rPr>
          <w:sz w:val="20"/>
          <w:szCs w:val="20"/>
        </w:rPr>
      </w:pPr>
    </w:p>
    <w:p w14:paraId="3347BFCF" w14:textId="77777777" w:rsidR="007B1749" w:rsidRDefault="007B1749" w:rsidP="001D0D56">
      <w:pPr>
        <w:pStyle w:val="NoSpacing"/>
        <w:rPr>
          <w:sz w:val="20"/>
          <w:szCs w:val="20"/>
        </w:rPr>
      </w:pPr>
    </w:p>
    <w:p w14:paraId="387ED62B" w14:textId="77777777" w:rsidR="007B1749" w:rsidRDefault="007B1749" w:rsidP="001D0D56">
      <w:pPr>
        <w:pStyle w:val="NoSpacing"/>
        <w:rPr>
          <w:sz w:val="20"/>
          <w:szCs w:val="20"/>
        </w:rPr>
      </w:pPr>
    </w:p>
    <w:p w14:paraId="440778FB" w14:textId="77777777" w:rsidR="007B1749" w:rsidRPr="00701439" w:rsidRDefault="007B1749" w:rsidP="001D0D56">
      <w:pPr>
        <w:pStyle w:val="NoSpacing"/>
        <w:rPr>
          <w:sz w:val="20"/>
          <w:szCs w:val="20"/>
        </w:rPr>
      </w:pPr>
    </w:p>
    <w:p w14:paraId="5B4567D0" w14:textId="60656C53" w:rsidR="001D0D56" w:rsidRPr="00701439" w:rsidRDefault="001D0D56" w:rsidP="001D0D56">
      <w:pPr>
        <w:pStyle w:val="NoSpacing"/>
        <w:jc w:val="both"/>
        <w:rPr>
          <w:sz w:val="20"/>
          <w:szCs w:val="20"/>
        </w:rPr>
      </w:pPr>
      <w:r w:rsidRPr="00701439">
        <w:rPr>
          <w:sz w:val="20"/>
          <w:szCs w:val="20"/>
        </w:rPr>
        <w:lastRenderedPageBreak/>
        <w:t xml:space="preserve">The Group remains committed to investing in the communities in which it operates and to do this is launching the Vanquis Banking Group Foundation in May 2023 with </w:t>
      </w:r>
      <w:r w:rsidR="006C63BF" w:rsidRPr="00701439">
        <w:rPr>
          <w:sz w:val="20"/>
          <w:szCs w:val="20"/>
        </w:rPr>
        <w:t xml:space="preserve">approximately </w:t>
      </w:r>
      <w:r w:rsidRPr="00701439">
        <w:rPr>
          <w:sz w:val="20"/>
          <w:szCs w:val="20"/>
        </w:rPr>
        <w:t>£</w:t>
      </w:r>
      <w:r w:rsidR="00FD0781" w:rsidRPr="00701439">
        <w:rPr>
          <w:sz w:val="20"/>
          <w:szCs w:val="20"/>
        </w:rPr>
        <w:t>2.5</w:t>
      </w:r>
      <w:r w:rsidRPr="00701439">
        <w:rPr>
          <w:sz w:val="20"/>
          <w:szCs w:val="20"/>
        </w:rPr>
        <w:t xml:space="preserve">m of funding. This will aim to improve the lives of children and young people by providing them with access to education, social and financial inclusion, and economic development opportunities. In 2022, Vanquis Banking Group started work on a new project to help families with the cost-of-living crisis in Bradford, Liverpool, </w:t>
      </w:r>
      <w:proofErr w:type="gramStart"/>
      <w:r w:rsidRPr="00701439">
        <w:rPr>
          <w:sz w:val="20"/>
          <w:szCs w:val="20"/>
        </w:rPr>
        <w:t>Manchester</w:t>
      </w:r>
      <w:proofErr w:type="gramEnd"/>
      <w:r w:rsidRPr="00701439">
        <w:rPr>
          <w:sz w:val="20"/>
          <w:szCs w:val="20"/>
        </w:rPr>
        <w:t xml:space="preserve"> and Blackpool. Working with longstanding community partners School-Home Support and the Dixons Academies Trust, the Group </w:t>
      </w:r>
      <w:r w:rsidR="006C2E46" w:rsidRPr="00701439">
        <w:rPr>
          <w:sz w:val="20"/>
          <w:szCs w:val="20"/>
        </w:rPr>
        <w:t>has allocated</w:t>
      </w:r>
      <w:r w:rsidRPr="00701439">
        <w:rPr>
          <w:sz w:val="20"/>
          <w:szCs w:val="20"/>
        </w:rPr>
        <w:t xml:space="preserve"> £100,000</w:t>
      </w:r>
      <w:r w:rsidR="006C2E46" w:rsidRPr="00701439">
        <w:rPr>
          <w:sz w:val="20"/>
          <w:szCs w:val="20"/>
        </w:rPr>
        <w:t xml:space="preserve"> of funding which has to date supported</w:t>
      </w:r>
      <w:r w:rsidRPr="00701439">
        <w:rPr>
          <w:sz w:val="20"/>
          <w:szCs w:val="20"/>
        </w:rPr>
        <w:t xml:space="preserve"> 1,000 school pupils with items of uniform including blazers, shoes, </w:t>
      </w:r>
      <w:proofErr w:type="gramStart"/>
      <w:r w:rsidRPr="00701439">
        <w:rPr>
          <w:sz w:val="20"/>
          <w:szCs w:val="20"/>
        </w:rPr>
        <w:t>coats</w:t>
      </w:r>
      <w:proofErr w:type="gramEnd"/>
      <w:r w:rsidRPr="00701439">
        <w:rPr>
          <w:sz w:val="20"/>
          <w:szCs w:val="20"/>
        </w:rPr>
        <w:t xml:space="preserve"> and PE kits. </w:t>
      </w:r>
    </w:p>
    <w:p w14:paraId="10AC7F64" w14:textId="77777777" w:rsidR="001D0D56" w:rsidRPr="00701439" w:rsidRDefault="001D0D56" w:rsidP="001D0D56">
      <w:pPr>
        <w:pStyle w:val="NoSpacing"/>
        <w:rPr>
          <w:sz w:val="20"/>
          <w:szCs w:val="20"/>
        </w:rPr>
      </w:pPr>
      <w:r w:rsidRPr="00701439">
        <w:rPr>
          <w:sz w:val="20"/>
          <w:szCs w:val="20"/>
        </w:rPr>
        <w:t> </w:t>
      </w:r>
    </w:p>
    <w:p w14:paraId="7606FACB" w14:textId="2D17FC5B" w:rsidR="001D0D56" w:rsidRPr="00701439" w:rsidRDefault="001D0D56" w:rsidP="001D0D56">
      <w:pPr>
        <w:pStyle w:val="NoSpacing"/>
        <w:jc w:val="both"/>
        <w:rPr>
          <w:sz w:val="20"/>
          <w:szCs w:val="20"/>
        </w:rPr>
      </w:pPr>
      <w:r w:rsidRPr="00701439">
        <w:rPr>
          <w:sz w:val="20"/>
          <w:szCs w:val="20"/>
        </w:rPr>
        <w:t xml:space="preserve">Finally, I’m proud that we were able to support Bradford in its quest to be named the UK City of Culture in 2025. Vanquis Banking Group was named as the first official delivery partner for Bradford </w:t>
      </w:r>
      <w:proofErr w:type="gramStart"/>
      <w:r w:rsidRPr="00701439">
        <w:rPr>
          <w:sz w:val="20"/>
          <w:szCs w:val="20"/>
        </w:rPr>
        <w:t>2025</w:t>
      </w:r>
      <w:proofErr w:type="gramEnd"/>
      <w:r w:rsidRPr="00701439">
        <w:rPr>
          <w:sz w:val="20"/>
          <w:szCs w:val="20"/>
        </w:rPr>
        <w:t xml:space="preserve"> and this will see the Group support the development of the cultural programme and ensure that it leaves a legacy for years to come.</w:t>
      </w:r>
    </w:p>
    <w:p w14:paraId="216C8D54" w14:textId="77777777" w:rsidR="00F01EC8" w:rsidRPr="00701439" w:rsidRDefault="00F01EC8" w:rsidP="00E534C5">
      <w:pPr>
        <w:pStyle w:val="NoSpacing"/>
        <w:jc w:val="both"/>
        <w:rPr>
          <w:b/>
          <w:sz w:val="20"/>
          <w:szCs w:val="20"/>
        </w:rPr>
      </w:pPr>
    </w:p>
    <w:p w14:paraId="5C7692E0" w14:textId="41CB8F43" w:rsidR="00F01EC8" w:rsidRPr="00701439" w:rsidRDefault="00F01EC8" w:rsidP="00C52562">
      <w:pPr>
        <w:spacing w:after="160"/>
        <w:jc w:val="both"/>
        <w:rPr>
          <w:rFonts w:asciiTheme="minorHAnsi" w:hAnsiTheme="minorHAnsi" w:cs="Arial"/>
          <w:b/>
          <w:bCs/>
          <w:color w:val="4747FF"/>
          <w:sz w:val="22"/>
          <w:szCs w:val="22"/>
        </w:rPr>
      </w:pPr>
      <w:bookmarkStart w:id="8" w:name="_Hlk69987941"/>
      <w:r w:rsidRPr="00701439">
        <w:rPr>
          <w:rFonts w:asciiTheme="minorHAnsi" w:hAnsiTheme="minorHAnsi" w:cs="Arial"/>
          <w:b/>
          <w:bCs/>
          <w:color w:val="4747FF"/>
          <w:sz w:val="22"/>
          <w:szCs w:val="22"/>
        </w:rPr>
        <w:t>Outloo</w:t>
      </w:r>
      <w:r w:rsidR="004E391A" w:rsidRPr="00701439">
        <w:rPr>
          <w:rFonts w:asciiTheme="minorHAnsi" w:hAnsiTheme="minorHAnsi" w:cs="Arial"/>
          <w:b/>
          <w:bCs/>
          <w:color w:val="4747FF"/>
          <w:sz w:val="22"/>
          <w:szCs w:val="22"/>
        </w:rPr>
        <w:t>k</w:t>
      </w:r>
    </w:p>
    <w:p w14:paraId="1EF8149D" w14:textId="2024D239" w:rsidR="00DA25BB" w:rsidRPr="00701439" w:rsidRDefault="00B576C1" w:rsidP="00E534C5">
      <w:pPr>
        <w:pStyle w:val="NoSpacing"/>
        <w:jc w:val="both"/>
        <w:rPr>
          <w:bCs/>
          <w:sz w:val="20"/>
          <w:szCs w:val="20"/>
        </w:rPr>
      </w:pPr>
      <w:r w:rsidRPr="00701439">
        <w:rPr>
          <w:bCs/>
          <w:sz w:val="20"/>
          <w:szCs w:val="20"/>
        </w:rPr>
        <w:t>Vanquis Banking Group</w:t>
      </w:r>
      <w:r w:rsidR="008A1A78" w:rsidRPr="00701439">
        <w:rPr>
          <w:bCs/>
          <w:sz w:val="20"/>
          <w:szCs w:val="20"/>
        </w:rPr>
        <w:t xml:space="preserve"> demonstrated </w:t>
      </w:r>
      <w:r w:rsidR="00FA6356" w:rsidRPr="00701439">
        <w:rPr>
          <w:bCs/>
          <w:sz w:val="20"/>
          <w:szCs w:val="20"/>
        </w:rPr>
        <w:t>strong momentum across its loan books during the fourth quarter of 2022</w:t>
      </w:r>
      <w:r w:rsidR="005E2E7B" w:rsidRPr="00701439">
        <w:rPr>
          <w:bCs/>
          <w:sz w:val="20"/>
          <w:szCs w:val="20"/>
        </w:rPr>
        <w:t xml:space="preserve">. </w:t>
      </w:r>
      <w:r w:rsidR="00E13018" w:rsidRPr="00701439">
        <w:rPr>
          <w:bCs/>
          <w:sz w:val="20"/>
          <w:szCs w:val="20"/>
        </w:rPr>
        <w:t xml:space="preserve">This </w:t>
      </w:r>
      <w:r w:rsidR="001A3436" w:rsidRPr="00701439">
        <w:rPr>
          <w:rStyle w:val="Strong"/>
          <w:b w:val="0"/>
          <w:bCs w:val="0"/>
          <w:sz w:val="20"/>
          <w:szCs w:val="20"/>
        </w:rPr>
        <w:t xml:space="preserve">positive momentum has continued </w:t>
      </w:r>
      <w:r w:rsidR="00CE6F33" w:rsidRPr="00701439">
        <w:rPr>
          <w:rStyle w:val="Strong"/>
          <w:b w:val="0"/>
          <w:bCs w:val="0"/>
          <w:sz w:val="20"/>
          <w:szCs w:val="20"/>
        </w:rPr>
        <w:t>for the first two months</w:t>
      </w:r>
      <w:r w:rsidR="00E13018" w:rsidRPr="00701439">
        <w:rPr>
          <w:rStyle w:val="Strong"/>
          <w:b w:val="0"/>
          <w:bCs w:val="0"/>
          <w:sz w:val="20"/>
          <w:szCs w:val="20"/>
        </w:rPr>
        <w:t xml:space="preserve"> of 2023</w:t>
      </w:r>
      <w:r w:rsidR="002D1077" w:rsidRPr="00701439">
        <w:rPr>
          <w:rStyle w:val="Strong"/>
          <w:b w:val="0"/>
          <w:bCs w:val="0"/>
          <w:sz w:val="20"/>
          <w:szCs w:val="20"/>
        </w:rPr>
        <w:t>, especially within</w:t>
      </w:r>
      <w:r w:rsidR="001A3436" w:rsidRPr="00701439">
        <w:rPr>
          <w:rStyle w:val="Strong"/>
          <w:b w:val="0"/>
          <w:bCs w:val="0"/>
          <w:sz w:val="20"/>
          <w:szCs w:val="20"/>
        </w:rPr>
        <w:t xml:space="preserve"> vehicle finance and </w:t>
      </w:r>
      <w:r w:rsidR="002D1077" w:rsidRPr="00701439">
        <w:rPr>
          <w:rStyle w:val="Strong"/>
          <w:b w:val="0"/>
          <w:bCs w:val="0"/>
          <w:sz w:val="20"/>
          <w:szCs w:val="20"/>
        </w:rPr>
        <w:t xml:space="preserve">personal </w:t>
      </w:r>
      <w:r w:rsidR="001A3436" w:rsidRPr="00701439">
        <w:rPr>
          <w:rStyle w:val="Strong"/>
          <w:b w:val="0"/>
          <w:bCs w:val="0"/>
          <w:sz w:val="20"/>
          <w:szCs w:val="20"/>
        </w:rPr>
        <w:t xml:space="preserve">loans. In the credit card business, customer bookings tracked </w:t>
      </w:r>
      <w:r w:rsidR="00B3571F" w:rsidRPr="00701439">
        <w:rPr>
          <w:rStyle w:val="Strong"/>
          <w:b w:val="0"/>
          <w:bCs w:val="0"/>
          <w:sz w:val="20"/>
          <w:szCs w:val="20"/>
        </w:rPr>
        <w:t>in-line</w:t>
      </w:r>
      <w:r w:rsidR="00454886" w:rsidRPr="00701439">
        <w:rPr>
          <w:rStyle w:val="Strong"/>
          <w:b w:val="0"/>
          <w:bCs w:val="0"/>
          <w:sz w:val="20"/>
          <w:szCs w:val="20"/>
        </w:rPr>
        <w:t xml:space="preserve"> with management</w:t>
      </w:r>
      <w:r w:rsidR="001A3436" w:rsidRPr="00701439">
        <w:rPr>
          <w:rStyle w:val="Strong"/>
          <w:b w:val="0"/>
          <w:bCs w:val="0"/>
          <w:sz w:val="20"/>
          <w:szCs w:val="20"/>
        </w:rPr>
        <w:t xml:space="preserve"> expectations and delinquency trends remained consistent with the trend reported throughout 2022. The vehicle finance business delivered </w:t>
      </w:r>
      <w:r w:rsidR="00257ED9" w:rsidRPr="00701439">
        <w:rPr>
          <w:rStyle w:val="Strong"/>
          <w:b w:val="0"/>
          <w:bCs w:val="0"/>
          <w:sz w:val="20"/>
          <w:szCs w:val="20"/>
        </w:rPr>
        <w:t xml:space="preserve">strong </w:t>
      </w:r>
      <w:r w:rsidR="001A3436" w:rsidRPr="00701439">
        <w:rPr>
          <w:rStyle w:val="Strong"/>
          <w:b w:val="0"/>
          <w:bCs w:val="0"/>
          <w:sz w:val="20"/>
          <w:szCs w:val="20"/>
        </w:rPr>
        <w:t>new business volumes in January</w:t>
      </w:r>
      <w:r w:rsidR="00257ED9" w:rsidRPr="00701439">
        <w:rPr>
          <w:rStyle w:val="Strong"/>
          <w:b w:val="0"/>
          <w:bCs w:val="0"/>
          <w:sz w:val="20"/>
          <w:szCs w:val="20"/>
        </w:rPr>
        <w:t xml:space="preserve"> and February</w:t>
      </w:r>
      <w:r w:rsidR="001A3436" w:rsidRPr="00701439">
        <w:rPr>
          <w:rStyle w:val="Strong"/>
          <w:b w:val="0"/>
          <w:bCs w:val="0"/>
          <w:sz w:val="20"/>
          <w:szCs w:val="20"/>
        </w:rPr>
        <w:t>, with no change to underwriting standards, and with stable arrears levels. Similarly, the personal loans business</w:t>
      </w:r>
      <w:r w:rsidR="00467C01" w:rsidRPr="00701439">
        <w:rPr>
          <w:rStyle w:val="Strong"/>
          <w:b w:val="0"/>
          <w:bCs w:val="0"/>
          <w:sz w:val="20"/>
          <w:szCs w:val="20"/>
        </w:rPr>
        <w:t xml:space="preserve"> has</w:t>
      </w:r>
      <w:r w:rsidR="001A3436" w:rsidRPr="00701439">
        <w:rPr>
          <w:rStyle w:val="Strong"/>
          <w:b w:val="0"/>
          <w:bCs w:val="0"/>
          <w:sz w:val="20"/>
          <w:szCs w:val="20"/>
        </w:rPr>
        <w:t xml:space="preserve"> had a strong </w:t>
      </w:r>
      <w:r w:rsidR="004861D7" w:rsidRPr="00701439">
        <w:rPr>
          <w:rStyle w:val="Strong"/>
          <w:b w:val="0"/>
          <w:bCs w:val="0"/>
          <w:sz w:val="20"/>
          <w:szCs w:val="20"/>
        </w:rPr>
        <w:t>start to the year</w:t>
      </w:r>
      <w:r w:rsidR="001A3436" w:rsidRPr="00701439">
        <w:rPr>
          <w:rStyle w:val="Strong"/>
          <w:b w:val="0"/>
          <w:bCs w:val="0"/>
          <w:sz w:val="20"/>
          <w:szCs w:val="20"/>
        </w:rPr>
        <w:t xml:space="preserve"> with new business volumes up </w:t>
      </w:r>
      <w:r w:rsidR="00FA1F13" w:rsidRPr="00701439">
        <w:rPr>
          <w:rStyle w:val="Strong"/>
          <w:b w:val="0"/>
          <w:bCs w:val="0"/>
          <w:sz w:val="20"/>
          <w:szCs w:val="20"/>
        </w:rPr>
        <w:t>significantly</w:t>
      </w:r>
      <w:r w:rsidR="001A3436" w:rsidRPr="00701439">
        <w:rPr>
          <w:rStyle w:val="Strong"/>
          <w:b w:val="0"/>
          <w:bCs w:val="0"/>
          <w:sz w:val="20"/>
          <w:szCs w:val="20"/>
        </w:rPr>
        <w:t xml:space="preserve"> year-on-</w:t>
      </w:r>
      <w:r w:rsidR="00181DDD" w:rsidRPr="00701439">
        <w:rPr>
          <w:rStyle w:val="Strong"/>
          <w:b w:val="0"/>
          <w:bCs w:val="0"/>
          <w:sz w:val="20"/>
          <w:szCs w:val="20"/>
        </w:rPr>
        <w:t>year.</w:t>
      </w:r>
      <w:r w:rsidR="00181DDD" w:rsidRPr="00701439">
        <w:rPr>
          <w:bCs/>
          <w:sz w:val="20"/>
          <w:szCs w:val="20"/>
        </w:rPr>
        <w:t xml:space="preserve"> </w:t>
      </w:r>
    </w:p>
    <w:p w14:paraId="4C838D53" w14:textId="77777777" w:rsidR="00DA25BB" w:rsidRPr="00701439" w:rsidRDefault="00DA25BB" w:rsidP="00E534C5">
      <w:pPr>
        <w:pStyle w:val="NoSpacing"/>
        <w:jc w:val="both"/>
        <w:rPr>
          <w:bCs/>
          <w:sz w:val="20"/>
          <w:szCs w:val="20"/>
        </w:rPr>
      </w:pPr>
    </w:p>
    <w:p w14:paraId="17DFE39D" w14:textId="4110B4B5" w:rsidR="00B502FE" w:rsidRPr="00701439" w:rsidRDefault="00B42132" w:rsidP="00E534C5">
      <w:pPr>
        <w:pStyle w:val="NoSpacing"/>
        <w:jc w:val="both"/>
        <w:rPr>
          <w:bCs/>
          <w:sz w:val="20"/>
          <w:szCs w:val="20"/>
        </w:rPr>
      </w:pPr>
      <w:r w:rsidRPr="00701439">
        <w:rPr>
          <w:bCs/>
          <w:sz w:val="20"/>
          <w:szCs w:val="20"/>
        </w:rPr>
        <w:t xml:space="preserve">The Group </w:t>
      </w:r>
      <w:r w:rsidR="00861724" w:rsidRPr="00701439">
        <w:rPr>
          <w:bCs/>
          <w:sz w:val="20"/>
          <w:szCs w:val="20"/>
        </w:rPr>
        <w:t xml:space="preserve">plans to </w:t>
      </w:r>
      <w:r w:rsidR="00256B55" w:rsidRPr="00701439">
        <w:rPr>
          <w:bCs/>
          <w:sz w:val="20"/>
          <w:szCs w:val="20"/>
        </w:rPr>
        <w:t>accelera</w:t>
      </w:r>
      <w:r w:rsidR="00861724" w:rsidRPr="00701439">
        <w:rPr>
          <w:bCs/>
          <w:sz w:val="20"/>
          <w:szCs w:val="20"/>
        </w:rPr>
        <w:t>te</w:t>
      </w:r>
      <w:r w:rsidR="00256B55" w:rsidRPr="00701439">
        <w:rPr>
          <w:bCs/>
          <w:sz w:val="20"/>
          <w:szCs w:val="20"/>
        </w:rPr>
        <w:t xml:space="preserve"> i</w:t>
      </w:r>
      <w:r w:rsidR="00861724" w:rsidRPr="00701439">
        <w:rPr>
          <w:bCs/>
          <w:sz w:val="20"/>
          <w:szCs w:val="20"/>
        </w:rPr>
        <w:t>ts</w:t>
      </w:r>
      <w:r w:rsidR="00256B55" w:rsidRPr="00701439">
        <w:rPr>
          <w:bCs/>
          <w:sz w:val="20"/>
          <w:szCs w:val="20"/>
        </w:rPr>
        <w:t xml:space="preserve"> receivables</w:t>
      </w:r>
      <w:r w:rsidR="007B2821" w:rsidRPr="00701439">
        <w:rPr>
          <w:bCs/>
          <w:sz w:val="20"/>
          <w:szCs w:val="20"/>
        </w:rPr>
        <w:t xml:space="preserve"> </w:t>
      </w:r>
      <w:r w:rsidR="00256B55" w:rsidRPr="00701439">
        <w:rPr>
          <w:bCs/>
          <w:sz w:val="20"/>
          <w:szCs w:val="20"/>
        </w:rPr>
        <w:t>growth</w:t>
      </w:r>
      <w:r w:rsidR="00861724" w:rsidRPr="00701439">
        <w:rPr>
          <w:bCs/>
          <w:sz w:val="20"/>
          <w:szCs w:val="20"/>
        </w:rPr>
        <w:t xml:space="preserve"> </w:t>
      </w:r>
      <w:r w:rsidR="007B2821" w:rsidRPr="00701439">
        <w:rPr>
          <w:bCs/>
          <w:sz w:val="20"/>
          <w:szCs w:val="20"/>
        </w:rPr>
        <w:t xml:space="preserve">during </w:t>
      </w:r>
      <w:r w:rsidR="00861724" w:rsidRPr="00701439">
        <w:rPr>
          <w:bCs/>
          <w:sz w:val="20"/>
          <w:szCs w:val="20"/>
        </w:rPr>
        <w:t>FY’23 versus FY’2</w:t>
      </w:r>
      <w:r w:rsidR="005A1993" w:rsidRPr="00701439">
        <w:rPr>
          <w:bCs/>
          <w:sz w:val="20"/>
          <w:szCs w:val="20"/>
        </w:rPr>
        <w:t>2</w:t>
      </w:r>
      <w:r w:rsidR="00E234F0" w:rsidRPr="00701439">
        <w:rPr>
          <w:bCs/>
          <w:sz w:val="20"/>
          <w:szCs w:val="20"/>
        </w:rPr>
        <w:t>, notwithstanding the challenging macroeconomic backdrop</w:t>
      </w:r>
      <w:r w:rsidR="00AD16CF" w:rsidRPr="00701439">
        <w:rPr>
          <w:bCs/>
          <w:sz w:val="20"/>
          <w:szCs w:val="20"/>
        </w:rPr>
        <w:t>, supported by its strong competitive position</w:t>
      </w:r>
      <w:r w:rsidR="00246AC6" w:rsidRPr="00701439">
        <w:rPr>
          <w:bCs/>
          <w:sz w:val="20"/>
          <w:szCs w:val="20"/>
        </w:rPr>
        <w:t xml:space="preserve">, </w:t>
      </w:r>
      <w:r w:rsidR="00AD16CF" w:rsidRPr="00701439">
        <w:rPr>
          <w:bCs/>
          <w:sz w:val="20"/>
          <w:szCs w:val="20"/>
        </w:rPr>
        <w:t>well capitalised balance sheet</w:t>
      </w:r>
      <w:r w:rsidR="00246AC6" w:rsidRPr="00701439">
        <w:rPr>
          <w:bCs/>
          <w:sz w:val="20"/>
          <w:szCs w:val="20"/>
        </w:rPr>
        <w:t xml:space="preserve"> and access to retail deposit funding</w:t>
      </w:r>
      <w:r w:rsidR="00E7663D" w:rsidRPr="00701439">
        <w:rPr>
          <w:bCs/>
          <w:sz w:val="20"/>
          <w:szCs w:val="20"/>
        </w:rPr>
        <w:t>.</w:t>
      </w:r>
      <w:r w:rsidR="003B788D" w:rsidRPr="00701439">
        <w:rPr>
          <w:bCs/>
          <w:sz w:val="20"/>
          <w:szCs w:val="20"/>
        </w:rPr>
        <w:t xml:space="preserve"> The Group also plans to deliver a stable NIM profile in FY’23</w:t>
      </w:r>
      <w:r w:rsidR="00B022E9" w:rsidRPr="00701439">
        <w:rPr>
          <w:bCs/>
          <w:sz w:val="20"/>
          <w:szCs w:val="20"/>
        </w:rPr>
        <w:t>,</w:t>
      </w:r>
      <w:r w:rsidR="003B788D" w:rsidRPr="00701439">
        <w:rPr>
          <w:bCs/>
          <w:sz w:val="20"/>
          <w:szCs w:val="20"/>
        </w:rPr>
        <w:t xml:space="preserve"> versus FY’22</w:t>
      </w:r>
      <w:r w:rsidR="00B022E9" w:rsidRPr="00701439">
        <w:rPr>
          <w:bCs/>
          <w:sz w:val="20"/>
          <w:szCs w:val="20"/>
        </w:rPr>
        <w:t xml:space="preserve">, </w:t>
      </w:r>
      <w:r w:rsidR="003B788D" w:rsidRPr="00701439">
        <w:rPr>
          <w:bCs/>
          <w:sz w:val="20"/>
          <w:szCs w:val="20"/>
        </w:rPr>
        <w:t xml:space="preserve">as more expensive legacy funding is replaced by lower cost retail deposit funding. </w:t>
      </w:r>
    </w:p>
    <w:p w14:paraId="7B99B5A1" w14:textId="77777777" w:rsidR="00B36BE3" w:rsidRPr="00701439" w:rsidRDefault="00B36BE3" w:rsidP="00E534C5">
      <w:pPr>
        <w:pStyle w:val="NoSpacing"/>
        <w:jc w:val="both"/>
        <w:rPr>
          <w:bCs/>
          <w:sz w:val="20"/>
          <w:szCs w:val="20"/>
        </w:rPr>
      </w:pPr>
    </w:p>
    <w:p w14:paraId="7F1060D0" w14:textId="62A3EE7C" w:rsidR="007C5DF7" w:rsidRPr="00701439" w:rsidRDefault="00E41B3C" w:rsidP="00E534C5">
      <w:pPr>
        <w:pStyle w:val="NoSpacing"/>
        <w:jc w:val="both"/>
        <w:rPr>
          <w:bCs/>
          <w:sz w:val="20"/>
          <w:szCs w:val="20"/>
        </w:rPr>
      </w:pPr>
      <w:proofErr w:type="gramStart"/>
      <w:r w:rsidRPr="00701439">
        <w:rPr>
          <w:bCs/>
          <w:sz w:val="20"/>
          <w:szCs w:val="20"/>
        </w:rPr>
        <w:t>In order</w:t>
      </w:r>
      <w:r w:rsidR="00CE71F1" w:rsidRPr="00701439">
        <w:rPr>
          <w:bCs/>
          <w:sz w:val="20"/>
          <w:szCs w:val="20"/>
        </w:rPr>
        <w:t xml:space="preserve"> to</w:t>
      </w:r>
      <w:proofErr w:type="gramEnd"/>
      <w:r w:rsidR="00CE71F1" w:rsidRPr="00701439">
        <w:rPr>
          <w:bCs/>
          <w:sz w:val="20"/>
          <w:szCs w:val="20"/>
        </w:rPr>
        <w:t xml:space="preserve"> </w:t>
      </w:r>
      <w:r w:rsidR="001D1BBB" w:rsidRPr="00701439">
        <w:rPr>
          <w:bCs/>
          <w:sz w:val="20"/>
          <w:szCs w:val="20"/>
        </w:rPr>
        <w:t>achieve</w:t>
      </w:r>
      <w:r w:rsidR="00B95B4F" w:rsidRPr="00701439">
        <w:rPr>
          <w:bCs/>
          <w:sz w:val="20"/>
          <w:szCs w:val="20"/>
        </w:rPr>
        <w:t xml:space="preserve"> sustainable growth in the future, </w:t>
      </w:r>
      <w:r w:rsidR="00D2424A" w:rsidRPr="00701439">
        <w:rPr>
          <w:bCs/>
          <w:sz w:val="20"/>
          <w:szCs w:val="20"/>
        </w:rPr>
        <w:t xml:space="preserve">the Group will continue </w:t>
      </w:r>
      <w:r w:rsidR="00EA4951" w:rsidRPr="00701439">
        <w:rPr>
          <w:bCs/>
          <w:sz w:val="20"/>
          <w:szCs w:val="20"/>
        </w:rPr>
        <w:t xml:space="preserve">to invest in its technological capabilities </w:t>
      </w:r>
      <w:r w:rsidR="00E43036" w:rsidRPr="00701439">
        <w:rPr>
          <w:bCs/>
          <w:sz w:val="20"/>
          <w:szCs w:val="20"/>
        </w:rPr>
        <w:t>and</w:t>
      </w:r>
      <w:r w:rsidR="0029061E" w:rsidRPr="00701439">
        <w:rPr>
          <w:bCs/>
          <w:sz w:val="20"/>
          <w:szCs w:val="20"/>
        </w:rPr>
        <w:t xml:space="preserve"> </w:t>
      </w:r>
      <w:r w:rsidR="00E43036" w:rsidRPr="00701439">
        <w:rPr>
          <w:bCs/>
          <w:sz w:val="20"/>
          <w:szCs w:val="20"/>
        </w:rPr>
        <w:t xml:space="preserve">plans to </w:t>
      </w:r>
      <w:r w:rsidR="005B2FC7" w:rsidRPr="00701439">
        <w:rPr>
          <w:bCs/>
          <w:sz w:val="20"/>
          <w:szCs w:val="20"/>
        </w:rPr>
        <w:t>invest</w:t>
      </w:r>
      <w:r w:rsidR="00E43036" w:rsidRPr="00701439">
        <w:rPr>
          <w:bCs/>
          <w:sz w:val="20"/>
          <w:szCs w:val="20"/>
        </w:rPr>
        <w:t xml:space="preserve"> a similar amount</w:t>
      </w:r>
      <w:r w:rsidR="0029061E" w:rsidRPr="00701439">
        <w:rPr>
          <w:bCs/>
          <w:sz w:val="20"/>
          <w:szCs w:val="20"/>
        </w:rPr>
        <w:t xml:space="preserve"> in FY’23 as it did in FY’22</w:t>
      </w:r>
      <w:r w:rsidR="00E43036" w:rsidRPr="00701439">
        <w:rPr>
          <w:bCs/>
          <w:sz w:val="20"/>
          <w:szCs w:val="20"/>
        </w:rPr>
        <w:t xml:space="preserve"> in areas such as </w:t>
      </w:r>
      <w:r w:rsidR="0029061E" w:rsidRPr="00701439">
        <w:rPr>
          <w:bCs/>
          <w:sz w:val="20"/>
          <w:szCs w:val="20"/>
        </w:rPr>
        <w:t xml:space="preserve">its new </w:t>
      </w:r>
      <w:r w:rsidR="00E43036" w:rsidRPr="00701439">
        <w:rPr>
          <w:bCs/>
          <w:sz w:val="20"/>
          <w:szCs w:val="20"/>
        </w:rPr>
        <w:t>IT platform</w:t>
      </w:r>
      <w:r w:rsidR="00F21F6A" w:rsidRPr="00701439">
        <w:rPr>
          <w:bCs/>
          <w:sz w:val="20"/>
          <w:szCs w:val="20"/>
        </w:rPr>
        <w:t>s</w:t>
      </w:r>
      <w:r w:rsidR="00E43036" w:rsidRPr="00701439">
        <w:rPr>
          <w:bCs/>
          <w:sz w:val="20"/>
          <w:szCs w:val="20"/>
        </w:rPr>
        <w:t xml:space="preserve"> and enhancements to customer experiences and journeys</w:t>
      </w:r>
      <w:r w:rsidR="00175465" w:rsidRPr="00701439">
        <w:rPr>
          <w:bCs/>
          <w:sz w:val="20"/>
          <w:szCs w:val="20"/>
        </w:rPr>
        <w:t>.</w:t>
      </w:r>
      <w:r w:rsidR="00DE6DBD" w:rsidRPr="00701439">
        <w:rPr>
          <w:bCs/>
          <w:sz w:val="20"/>
          <w:szCs w:val="20"/>
        </w:rPr>
        <w:t xml:space="preserve"> As a result, the Group plans to </w:t>
      </w:r>
      <w:r w:rsidR="002D1457" w:rsidRPr="00701439">
        <w:rPr>
          <w:bCs/>
          <w:sz w:val="20"/>
          <w:szCs w:val="20"/>
        </w:rPr>
        <w:t>incur</w:t>
      </w:r>
      <w:r w:rsidR="00DE6DBD" w:rsidRPr="00701439">
        <w:rPr>
          <w:bCs/>
          <w:sz w:val="20"/>
          <w:szCs w:val="20"/>
        </w:rPr>
        <w:t xml:space="preserve"> total costs in FY’23 that are broadly flat year-on-year.</w:t>
      </w:r>
      <w:r w:rsidR="00175465" w:rsidRPr="00701439">
        <w:rPr>
          <w:bCs/>
          <w:sz w:val="20"/>
          <w:szCs w:val="20"/>
        </w:rPr>
        <w:t xml:space="preserve"> </w:t>
      </w:r>
      <w:r w:rsidR="00BC7BD0" w:rsidRPr="00701439">
        <w:rPr>
          <w:bCs/>
          <w:sz w:val="20"/>
          <w:szCs w:val="20"/>
        </w:rPr>
        <w:t xml:space="preserve">However, </w:t>
      </w:r>
      <w:r w:rsidR="003F1CE6" w:rsidRPr="00701439">
        <w:rPr>
          <w:bCs/>
          <w:sz w:val="20"/>
          <w:szCs w:val="20"/>
        </w:rPr>
        <w:t xml:space="preserve">in part </w:t>
      </w:r>
      <w:r w:rsidR="00BC7BD0" w:rsidRPr="00701439">
        <w:rPr>
          <w:bCs/>
          <w:sz w:val="20"/>
          <w:szCs w:val="20"/>
        </w:rPr>
        <w:t>reflecting the</w:t>
      </w:r>
      <w:r w:rsidR="00CE4A3B" w:rsidRPr="00701439">
        <w:rPr>
          <w:bCs/>
          <w:sz w:val="20"/>
          <w:szCs w:val="20"/>
        </w:rPr>
        <w:t xml:space="preserve"> benefits of loan book growth, the Group expects its </w:t>
      </w:r>
      <w:r w:rsidR="000B7BF7" w:rsidRPr="00701439">
        <w:rPr>
          <w:bCs/>
          <w:sz w:val="20"/>
          <w:szCs w:val="20"/>
        </w:rPr>
        <w:t xml:space="preserve">underlying </w:t>
      </w:r>
      <w:r w:rsidR="00CE4A3B" w:rsidRPr="00701439">
        <w:rPr>
          <w:bCs/>
          <w:sz w:val="20"/>
          <w:szCs w:val="20"/>
        </w:rPr>
        <w:t xml:space="preserve">cost income ratio to improve </w:t>
      </w:r>
      <w:r w:rsidR="00767EE4" w:rsidRPr="00701439">
        <w:rPr>
          <w:bCs/>
          <w:sz w:val="20"/>
          <w:szCs w:val="20"/>
        </w:rPr>
        <w:t xml:space="preserve">during </w:t>
      </w:r>
      <w:r w:rsidR="00385816" w:rsidRPr="00701439">
        <w:rPr>
          <w:bCs/>
          <w:sz w:val="20"/>
          <w:szCs w:val="20"/>
        </w:rPr>
        <w:t xml:space="preserve">FY’23 </w:t>
      </w:r>
      <w:r w:rsidR="00CE4A3B" w:rsidRPr="00701439">
        <w:rPr>
          <w:bCs/>
          <w:sz w:val="20"/>
          <w:szCs w:val="20"/>
        </w:rPr>
        <w:t xml:space="preserve">towards its </w:t>
      </w:r>
      <w:r w:rsidR="00EA213A" w:rsidRPr="00701439">
        <w:rPr>
          <w:bCs/>
          <w:sz w:val="20"/>
          <w:szCs w:val="20"/>
        </w:rPr>
        <w:t xml:space="preserve">target of </w:t>
      </w:r>
      <w:r w:rsidR="00CE4A3B" w:rsidRPr="00701439">
        <w:rPr>
          <w:bCs/>
          <w:sz w:val="20"/>
          <w:szCs w:val="20"/>
        </w:rPr>
        <w:t xml:space="preserve">40% </w:t>
      </w:r>
      <w:r w:rsidR="005840B2" w:rsidRPr="00701439">
        <w:rPr>
          <w:bCs/>
          <w:sz w:val="20"/>
          <w:szCs w:val="20"/>
        </w:rPr>
        <w:t xml:space="preserve">in </w:t>
      </w:r>
      <w:r w:rsidR="00385816" w:rsidRPr="00701439">
        <w:rPr>
          <w:bCs/>
          <w:sz w:val="20"/>
          <w:szCs w:val="20"/>
        </w:rPr>
        <w:t>FY’24</w:t>
      </w:r>
      <w:r w:rsidR="00B344FA" w:rsidRPr="00701439">
        <w:rPr>
          <w:bCs/>
          <w:sz w:val="20"/>
          <w:szCs w:val="20"/>
        </w:rPr>
        <w:t>,</w:t>
      </w:r>
      <w:r w:rsidR="006C726A" w:rsidRPr="00701439">
        <w:rPr>
          <w:bCs/>
          <w:sz w:val="20"/>
          <w:szCs w:val="20"/>
        </w:rPr>
        <w:t xml:space="preserve"> notwithstanding </w:t>
      </w:r>
      <w:r w:rsidR="00CC4B16" w:rsidRPr="00701439">
        <w:rPr>
          <w:bCs/>
          <w:sz w:val="20"/>
          <w:szCs w:val="20"/>
        </w:rPr>
        <w:t xml:space="preserve">the </w:t>
      </w:r>
      <w:r w:rsidR="00F2360C" w:rsidRPr="00701439">
        <w:rPr>
          <w:bCs/>
          <w:sz w:val="20"/>
          <w:szCs w:val="20"/>
        </w:rPr>
        <w:t>persistently high inflation at present</w:t>
      </w:r>
      <w:r w:rsidR="006C726A" w:rsidRPr="00701439">
        <w:rPr>
          <w:bCs/>
          <w:sz w:val="20"/>
          <w:szCs w:val="20"/>
        </w:rPr>
        <w:t>.</w:t>
      </w:r>
    </w:p>
    <w:p w14:paraId="02283D67" w14:textId="77777777" w:rsidR="007C5DF7" w:rsidRPr="00701439" w:rsidRDefault="007C5DF7" w:rsidP="00E534C5">
      <w:pPr>
        <w:pStyle w:val="NoSpacing"/>
        <w:jc w:val="both"/>
        <w:rPr>
          <w:bCs/>
          <w:sz w:val="20"/>
          <w:szCs w:val="20"/>
        </w:rPr>
      </w:pPr>
    </w:p>
    <w:p w14:paraId="0D1B64CF" w14:textId="0506C901" w:rsidR="00B36BE3" w:rsidRPr="00701439" w:rsidRDefault="00AE108A" w:rsidP="00E534C5">
      <w:pPr>
        <w:pStyle w:val="NoSpacing"/>
        <w:jc w:val="both"/>
        <w:rPr>
          <w:bCs/>
          <w:sz w:val="20"/>
          <w:szCs w:val="20"/>
        </w:rPr>
      </w:pPr>
      <w:r w:rsidRPr="00701439">
        <w:rPr>
          <w:bCs/>
          <w:sz w:val="20"/>
          <w:szCs w:val="20"/>
        </w:rPr>
        <w:t xml:space="preserve">The Board remains committed to delivering attractive and sustainable returns to its shareholders over the medium-term. </w:t>
      </w:r>
      <w:r w:rsidR="00914796" w:rsidRPr="00701439">
        <w:rPr>
          <w:bCs/>
          <w:sz w:val="20"/>
          <w:szCs w:val="20"/>
        </w:rPr>
        <w:t>This</w:t>
      </w:r>
      <w:r w:rsidR="002E2548" w:rsidRPr="00701439">
        <w:rPr>
          <w:bCs/>
          <w:sz w:val="20"/>
          <w:szCs w:val="20"/>
        </w:rPr>
        <w:t xml:space="preserve"> is predicated upon the Group’s </w:t>
      </w:r>
      <w:r w:rsidR="001D384F" w:rsidRPr="00701439">
        <w:rPr>
          <w:bCs/>
          <w:sz w:val="20"/>
          <w:szCs w:val="20"/>
        </w:rPr>
        <w:t xml:space="preserve">solid foundations </w:t>
      </w:r>
      <w:r w:rsidR="00374448" w:rsidRPr="00701439">
        <w:rPr>
          <w:bCs/>
          <w:sz w:val="20"/>
          <w:szCs w:val="20"/>
        </w:rPr>
        <w:t>which includes</w:t>
      </w:r>
      <w:r w:rsidR="0025572F" w:rsidRPr="00701439">
        <w:rPr>
          <w:bCs/>
          <w:sz w:val="20"/>
          <w:szCs w:val="20"/>
        </w:rPr>
        <w:t xml:space="preserve"> </w:t>
      </w:r>
      <w:r w:rsidR="00F019DA" w:rsidRPr="00701439">
        <w:rPr>
          <w:bCs/>
          <w:sz w:val="20"/>
          <w:szCs w:val="20"/>
        </w:rPr>
        <w:t>a customer</w:t>
      </w:r>
      <w:r w:rsidR="00833A88" w:rsidRPr="00701439">
        <w:rPr>
          <w:bCs/>
          <w:sz w:val="20"/>
          <w:szCs w:val="20"/>
        </w:rPr>
        <w:t xml:space="preserve">-led </w:t>
      </w:r>
      <w:r w:rsidR="007B206A" w:rsidRPr="00701439">
        <w:rPr>
          <w:bCs/>
          <w:sz w:val="20"/>
          <w:szCs w:val="20"/>
        </w:rPr>
        <w:t xml:space="preserve">digital </w:t>
      </w:r>
      <w:r w:rsidR="00833A88" w:rsidRPr="00701439">
        <w:rPr>
          <w:bCs/>
          <w:sz w:val="20"/>
          <w:szCs w:val="20"/>
        </w:rPr>
        <w:t>strategy to offer a diverse and inclusive range of products</w:t>
      </w:r>
      <w:r w:rsidR="002D40BD" w:rsidRPr="00701439">
        <w:rPr>
          <w:bCs/>
          <w:sz w:val="20"/>
          <w:szCs w:val="20"/>
        </w:rPr>
        <w:t xml:space="preserve"> and </w:t>
      </w:r>
      <w:r w:rsidR="00884677" w:rsidRPr="00701439">
        <w:rPr>
          <w:bCs/>
          <w:sz w:val="20"/>
          <w:szCs w:val="20"/>
        </w:rPr>
        <w:t xml:space="preserve">a </w:t>
      </w:r>
      <w:r w:rsidR="001D384F" w:rsidRPr="00701439">
        <w:rPr>
          <w:bCs/>
          <w:sz w:val="20"/>
          <w:szCs w:val="20"/>
        </w:rPr>
        <w:t xml:space="preserve">strong </w:t>
      </w:r>
      <w:r w:rsidR="0031186B" w:rsidRPr="00701439">
        <w:rPr>
          <w:bCs/>
          <w:sz w:val="20"/>
          <w:szCs w:val="20"/>
        </w:rPr>
        <w:t>well-capitalised</w:t>
      </w:r>
      <w:r w:rsidR="001D384F" w:rsidRPr="00701439">
        <w:rPr>
          <w:bCs/>
          <w:sz w:val="20"/>
          <w:szCs w:val="20"/>
        </w:rPr>
        <w:t xml:space="preserve"> balance sheet</w:t>
      </w:r>
      <w:r w:rsidR="002D40BD" w:rsidRPr="00701439">
        <w:rPr>
          <w:bCs/>
          <w:sz w:val="20"/>
          <w:szCs w:val="20"/>
        </w:rPr>
        <w:t xml:space="preserve">. The Group’s </w:t>
      </w:r>
      <w:r w:rsidR="00A1654A" w:rsidRPr="00701439">
        <w:rPr>
          <w:bCs/>
          <w:sz w:val="20"/>
          <w:szCs w:val="20"/>
        </w:rPr>
        <w:t xml:space="preserve">capital management framework </w:t>
      </w:r>
      <w:r w:rsidR="002D40BD" w:rsidRPr="00701439">
        <w:rPr>
          <w:bCs/>
          <w:sz w:val="20"/>
          <w:szCs w:val="20"/>
        </w:rPr>
        <w:t>include</w:t>
      </w:r>
      <w:r w:rsidR="004818F5" w:rsidRPr="00701439">
        <w:rPr>
          <w:bCs/>
          <w:sz w:val="20"/>
          <w:szCs w:val="20"/>
        </w:rPr>
        <w:t>s</w:t>
      </w:r>
      <w:r w:rsidR="000B2C2A" w:rsidRPr="00701439">
        <w:rPr>
          <w:bCs/>
          <w:sz w:val="20"/>
          <w:szCs w:val="20"/>
        </w:rPr>
        <w:t xml:space="preserve"> </w:t>
      </w:r>
      <w:r w:rsidR="004818F5" w:rsidRPr="00701439">
        <w:rPr>
          <w:bCs/>
          <w:sz w:val="20"/>
          <w:szCs w:val="20"/>
        </w:rPr>
        <w:t>a CET1 ratio target of c.20% over</w:t>
      </w:r>
      <w:r w:rsidR="00F54CB5" w:rsidRPr="00701439">
        <w:rPr>
          <w:bCs/>
          <w:sz w:val="20"/>
          <w:szCs w:val="20"/>
        </w:rPr>
        <w:t xml:space="preserve"> </w:t>
      </w:r>
      <w:r w:rsidR="004818F5" w:rsidRPr="00701439">
        <w:rPr>
          <w:bCs/>
          <w:sz w:val="20"/>
          <w:szCs w:val="20"/>
        </w:rPr>
        <w:t>time</w:t>
      </w:r>
      <w:r w:rsidR="00F14203" w:rsidRPr="00701439">
        <w:rPr>
          <w:bCs/>
          <w:sz w:val="20"/>
          <w:szCs w:val="20"/>
        </w:rPr>
        <w:t xml:space="preserve"> (</w:t>
      </w:r>
      <w:r w:rsidR="004818F5" w:rsidRPr="00701439">
        <w:rPr>
          <w:bCs/>
          <w:sz w:val="20"/>
          <w:szCs w:val="20"/>
        </w:rPr>
        <w:t>prior to any optimisation of the capital stack</w:t>
      </w:r>
      <w:r w:rsidR="00F54CB5" w:rsidRPr="00701439">
        <w:rPr>
          <w:bCs/>
          <w:sz w:val="20"/>
          <w:szCs w:val="20"/>
        </w:rPr>
        <w:t xml:space="preserve"> with AT1</w:t>
      </w:r>
      <w:r w:rsidR="00F14203" w:rsidRPr="00701439">
        <w:rPr>
          <w:bCs/>
          <w:sz w:val="20"/>
          <w:szCs w:val="20"/>
        </w:rPr>
        <w:t xml:space="preserve">), </w:t>
      </w:r>
      <w:r w:rsidR="00D9173F" w:rsidRPr="00701439">
        <w:rPr>
          <w:bCs/>
          <w:sz w:val="20"/>
          <w:szCs w:val="20"/>
        </w:rPr>
        <w:t>strong</w:t>
      </w:r>
      <w:r w:rsidR="004818F5" w:rsidRPr="00701439">
        <w:rPr>
          <w:bCs/>
          <w:sz w:val="20"/>
          <w:szCs w:val="20"/>
        </w:rPr>
        <w:t xml:space="preserve"> organic receivables growth</w:t>
      </w:r>
      <w:r w:rsidR="00D9173F" w:rsidRPr="00701439">
        <w:rPr>
          <w:bCs/>
          <w:sz w:val="20"/>
          <w:szCs w:val="20"/>
        </w:rPr>
        <w:t xml:space="preserve">, a </w:t>
      </w:r>
      <w:r w:rsidR="00C23926" w:rsidRPr="00701439">
        <w:rPr>
          <w:bCs/>
          <w:sz w:val="20"/>
          <w:szCs w:val="20"/>
        </w:rPr>
        <w:t xml:space="preserve">progressive </w:t>
      </w:r>
      <w:r w:rsidR="00FE243D" w:rsidRPr="00701439">
        <w:rPr>
          <w:bCs/>
          <w:sz w:val="20"/>
          <w:szCs w:val="20"/>
        </w:rPr>
        <w:t>dividend</w:t>
      </w:r>
      <w:r w:rsidR="00D9173F" w:rsidRPr="00701439">
        <w:rPr>
          <w:bCs/>
          <w:sz w:val="20"/>
          <w:szCs w:val="20"/>
        </w:rPr>
        <w:t xml:space="preserve"> policy with a</w:t>
      </w:r>
      <w:r w:rsidR="00FE243D" w:rsidRPr="00701439">
        <w:rPr>
          <w:bCs/>
          <w:sz w:val="20"/>
          <w:szCs w:val="20"/>
        </w:rPr>
        <w:t xml:space="preserve"> pay-out ratio</w:t>
      </w:r>
      <w:r w:rsidR="00C23926" w:rsidRPr="00701439">
        <w:rPr>
          <w:bCs/>
          <w:sz w:val="20"/>
          <w:szCs w:val="20"/>
        </w:rPr>
        <w:t xml:space="preserve"> of c.40%</w:t>
      </w:r>
      <w:r w:rsidR="005D1431" w:rsidRPr="00701439">
        <w:rPr>
          <w:bCs/>
          <w:sz w:val="20"/>
          <w:szCs w:val="20"/>
        </w:rPr>
        <w:t xml:space="preserve"> of adjusted earnings</w:t>
      </w:r>
      <w:r w:rsidR="002D40BD" w:rsidRPr="00701439">
        <w:rPr>
          <w:bCs/>
          <w:sz w:val="20"/>
          <w:szCs w:val="20"/>
        </w:rPr>
        <w:t xml:space="preserve">, </w:t>
      </w:r>
      <w:r w:rsidR="00D9173F" w:rsidRPr="00701439">
        <w:rPr>
          <w:bCs/>
          <w:sz w:val="20"/>
          <w:szCs w:val="20"/>
        </w:rPr>
        <w:t xml:space="preserve">and </w:t>
      </w:r>
      <w:r w:rsidR="00922C25" w:rsidRPr="00701439">
        <w:rPr>
          <w:bCs/>
          <w:sz w:val="20"/>
          <w:szCs w:val="20"/>
        </w:rPr>
        <w:t xml:space="preserve">the </w:t>
      </w:r>
      <w:r w:rsidR="00AA7DDB" w:rsidRPr="00701439">
        <w:rPr>
          <w:bCs/>
          <w:sz w:val="20"/>
          <w:szCs w:val="20"/>
        </w:rPr>
        <w:t xml:space="preserve">potential for </w:t>
      </w:r>
      <w:r w:rsidR="004F16DC" w:rsidRPr="00701439">
        <w:rPr>
          <w:bCs/>
          <w:sz w:val="20"/>
          <w:szCs w:val="20"/>
        </w:rPr>
        <w:t xml:space="preserve">selective </w:t>
      </w:r>
      <w:r w:rsidR="00BB7899" w:rsidRPr="00701439">
        <w:rPr>
          <w:bCs/>
          <w:sz w:val="20"/>
          <w:szCs w:val="20"/>
        </w:rPr>
        <w:t xml:space="preserve">bolt-on opportunities </w:t>
      </w:r>
      <w:r w:rsidR="004818F5" w:rsidRPr="00701439">
        <w:rPr>
          <w:bCs/>
          <w:sz w:val="20"/>
          <w:szCs w:val="20"/>
        </w:rPr>
        <w:t>or one-off returns of any ongoing surplus capital to shareholders</w:t>
      </w:r>
      <w:r w:rsidR="00BD081C" w:rsidRPr="00701439">
        <w:rPr>
          <w:bCs/>
          <w:sz w:val="20"/>
          <w:szCs w:val="20"/>
        </w:rPr>
        <w:t>.</w:t>
      </w:r>
    </w:p>
    <w:p w14:paraId="6FD13008" w14:textId="77777777" w:rsidR="00F071C2" w:rsidRPr="00701439" w:rsidRDefault="00F071C2" w:rsidP="00F071C2">
      <w:pPr>
        <w:pStyle w:val="NoSpacing"/>
        <w:jc w:val="both"/>
        <w:rPr>
          <w:sz w:val="20"/>
          <w:szCs w:val="20"/>
        </w:rPr>
      </w:pPr>
    </w:p>
    <w:bookmarkEnd w:id="4"/>
    <w:bookmarkEnd w:id="8"/>
    <w:p w14:paraId="6FA4A94C" w14:textId="77777777" w:rsidR="007B1749" w:rsidRDefault="007B1749" w:rsidP="00E534C5">
      <w:pPr>
        <w:pStyle w:val="NoSpacing"/>
        <w:jc w:val="both"/>
        <w:rPr>
          <w:b/>
          <w:sz w:val="20"/>
          <w:szCs w:val="20"/>
        </w:rPr>
      </w:pPr>
    </w:p>
    <w:p w14:paraId="68E576F5" w14:textId="6DB90FEB" w:rsidR="00F01EC8" w:rsidRPr="00701439" w:rsidRDefault="00F01EC8" w:rsidP="00E534C5">
      <w:pPr>
        <w:pStyle w:val="NoSpacing"/>
        <w:jc w:val="both"/>
        <w:rPr>
          <w:b/>
          <w:sz w:val="20"/>
          <w:szCs w:val="20"/>
        </w:rPr>
      </w:pPr>
      <w:r w:rsidRPr="00701439">
        <w:rPr>
          <w:b/>
          <w:sz w:val="20"/>
          <w:szCs w:val="20"/>
        </w:rPr>
        <w:t>Malcolm Le May</w:t>
      </w:r>
    </w:p>
    <w:p w14:paraId="461179C8" w14:textId="77777777" w:rsidR="00F01EC8" w:rsidRPr="00701439" w:rsidRDefault="00F01EC8" w:rsidP="00E534C5">
      <w:pPr>
        <w:pStyle w:val="NoSpacing"/>
        <w:jc w:val="both"/>
        <w:rPr>
          <w:b/>
          <w:sz w:val="20"/>
          <w:szCs w:val="20"/>
        </w:rPr>
      </w:pPr>
      <w:r w:rsidRPr="00701439">
        <w:rPr>
          <w:b/>
          <w:sz w:val="20"/>
          <w:szCs w:val="20"/>
        </w:rPr>
        <w:t>Chief Executive Officer</w:t>
      </w:r>
    </w:p>
    <w:p w14:paraId="2779D343" w14:textId="68A27B47" w:rsidR="00F01EC8" w:rsidRPr="00701439" w:rsidRDefault="00A803CE" w:rsidP="00E534C5">
      <w:pPr>
        <w:pStyle w:val="NoSpacing"/>
        <w:jc w:val="both"/>
        <w:rPr>
          <w:b/>
          <w:sz w:val="20"/>
          <w:szCs w:val="20"/>
        </w:rPr>
      </w:pPr>
      <w:r w:rsidRPr="00701439">
        <w:rPr>
          <w:b/>
          <w:sz w:val="20"/>
          <w:szCs w:val="20"/>
        </w:rPr>
        <w:t>3</w:t>
      </w:r>
      <w:r w:rsidR="001C75C6" w:rsidRPr="00701439">
        <w:rPr>
          <w:b/>
          <w:sz w:val="20"/>
          <w:szCs w:val="20"/>
        </w:rPr>
        <w:t xml:space="preserve">0 </w:t>
      </w:r>
      <w:r w:rsidRPr="00701439">
        <w:rPr>
          <w:b/>
          <w:sz w:val="20"/>
          <w:szCs w:val="20"/>
        </w:rPr>
        <w:t>March 202</w:t>
      </w:r>
      <w:r w:rsidR="00AD3013" w:rsidRPr="00701439">
        <w:rPr>
          <w:b/>
          <w:sz w:val="20"/>
          <w:szCs w:val="20"/>
        </w:rPr>
        <w:t>3</w:t>
      </w:r>
    </w:p>
    <w:p w14:paraId="5C3DA670" w14:textId="42EA06B7" w:rsidR="00A803CE" w:rsidRPr="00701439" w:rsidRDefault="00A803CE" w:rsidP="00E534C5">
      <w:pPr>
        <w:pStyle w:val="NoSpacing"/>
        <w:jc w:val="both"/>
        <w:rPr>
          <w:b/>
          <w:sz w:val="20"/>
          <w:szCs w:val="20"/>
        </w:rPr>
      </w:pPr>
    </w:p>
    <w:p w14:paraId="27108541" w14:textId="15545F08" w:rsidR="00A803CE" w:rsidRPr="00701439" w:rsidRDefault="00A803CE" w:rsidP="00E534C5">
      <w:pPr>
        <w:pStyle w:val="NoSpacing"/>
        <w:jc w:val="both"/>
        <w:rPr>
          <w:b/>
          <w:sz w:val="20"/>
          <w:szCs w:val="20"/>
        </w:rPr>
      </w:pPr>
    </w:p>
    <w:p w14:paraId="60CE6509" w14:textId="3105AEC1" w:rsidR="00A803CE" w:rsidRPr="00701439" w:rsidRDefault="00A803CE" w:rsidP="00E534C5">
      <w:pPr>
        <w:pStyle w:val="NoSpacing"/>
        <w:jc w:val="both"/>
        <w:rPr>
          <w:b/>
          <w:sz w:val="20"/>
          <w:szCs w:val="20"/>
        </w:rPr>
      </w:pPr>
    </w:p>
    <w:p w14:paraId="420DFA4E" w14:textId="5ED6E2E7" w:rsidR="00A803CE" w:rsidRPr="00701439" w:rsidRDefault="00A803CE" w:rsidP="00E534C5">
      <w:pPr>
        <w:pStyle w:val="NoSpacing"/>
        <w:jc w:val="both"/>
        <w:rPr>
          <w:b/>
          <w:sz w:val="20"/>
          <w:szCs w:val="20"/>
        </w:rPr>
      </w:pPr>
    </w:p>
    <w:p w14:paraId="74CBAAC8" w14:textId="446DDCFD" w:rsidR="00A803CE" w:rsidRPr="00701439" w:rsidRDefault="00A803CE" w:rsidP="00E534C5">
      <w:pPr>
        <w:pStyle w:val="NoSpacing"/>
        <w:jc w:val="both"/>
        <w:rPr>
          <w:b/>
          <w:sz w:val="20"/>
          <w:szCs w:val="20"/>
        </w:rPr>
      </w:pPr>
    </w:p>
    <w:p w14:paraId="45C3A629" w14:textId="0D493FC6" w:rsidR="00C253D8" w:rsidRPr="00701439" w:rsidRDefault="00C253D8" w:rsidP="00E534C5">
      <w:pPr>
        <w:pStyle w:val="NoSpacing"/>
        <w:jc w:val="both"/>
        <w:rPr>
          <w:b/>
          <w:sz w:val="20"/>
          <w:szCs w:val="20"/>
        </w:rPr>
      </w:pPr>
    </w:p>
    <w:p w14:paraId="4E205211" w14:textId="5DB54202" w:rsidR="005A08A8" w:rsidRPr="00701439" w:rsidRDefault="005A08A8" w:rsidP="00E534C5">
      <w:pPr>
        <w:pStyle w:val="NoSpacing"/>
        <w:jc w:val="both"/>
        <w:rPr>
          <w:b/>
          <w:sz w:val="20"/>
          <w:szCs w:val="20"/>
        </w:rPr>
      </w:pPr>
    </w:p>
    <w:p w14:paraId="0DB231BA" w14:textId="082A6EBC" w:rsidR="005A08A8" w:rsidRPr="00701439" w:rsidRDefault="005A08A8" w:rsidP="00E534C5">
      <w:pPr>
        <w:pStyle w:val="NoSpacing"/>
        <w:jc w:val="both"/>
        <w:rPr>
          <w:b/>
          <w:sz w:val="20"/>
          <w:szCs w:val="20"/>
        </w:rPr>
      </w:pPr>
    </w:p>
    <w:p w14:paraId="5EE6E4AF" w14:textId="123670D2" w:rsidR="005A08A8" w:rsidRPr="00701439" w:rsidRDefault="005A08A8" w:rsidP="00E534C5">
      <w:pPr>
        <w:pStyle w:val="NoSpacing"/>
        <w:jc w:val="both"/>
        <w:rPr>
          <w:b/>
          <w:sz w:val="20"/>
          <w:szCs w:val="20"/>
        </w:rPr>
      </w:pPr>
    </w:p>
    <w:p w14:paraId="4D92E9C7" w14:textId="3CB9711E" w:rsidR="005A08A8" w:rsidRPr="00701439" w:rsidRDefault="005A08A8" w:rsidP="00E534C5">
      <w:pPr>
        <w:pStyle w:val="NoSpacing"/>
        <w:jc w:val="both"/>
        <w:rPr>
          <w:b/>
          <w:sz w:val="20"/>
          <w:szCs w:val="20"/>
        </w:rPr>
      </w:pPr>
    </w:p>
    <w:p w14:paraId="31355B66" w14:textId="6700272D" w:rsidR="005A08A8" w:rsidRPr="00701439" w:rsidRDefault="005A08A8" w:rsidP="00E534C5">
      <w:pPr>
        <w:pStyle w:val="NoSpacing"/>
        <w:jc w:val="both"/>
        <w:rPr>
          <w:b/>
          <w:sz w:val="20"/>
          <w:szCs w:val="20"/>
        </w:rPr>
      </w:pPr>
    </w:p>
    <w:p w14:paraId="0BEBE25C" w14:textId="7357A44F" w:rsidR="005A08A8" w:rsidRPr="00701439" w:rsidRDefault="005A08A8" w:rsidP="00E534C5">
      <w:pPr>
        <w:pStyle w:val="NoSpacing"/>
        <w:jc w:val="both"/>
        <w:rPr>
          <w:b/>
          <w:sz w:val="20"/>
          <w:szCs w:val="20"/>
        </w:rPr>
      </w:pPr>
    </w:p>
    <w:p w14:paraId="04475015" w14:textId="3ED7DFF7" w:rsidR="005A08A8" w:rsidRPr="00701439" w:rsidRDefault="005A08A8" w:rsidP="00E534C5">
      <w:pPr>
        <w:pStyle w:val="NoSpacing"/>
        <w:jc w:val="both"/>
        <w:rPr>
          <w:b/>
          <w:sz w:val="20"/>
          <w:szCs w:val="20"/>
        </w:rPr>
      </w:pPr>
    </w:p>
    <w:p w14:paraId="2D2D42B8" w14:textId="77777777" w:rsidR="003B788D" w:rsidRPr="00701439" w:rsidRDefault="003B788D" w:rsidP="00E534C5">
      <w:pPr>
        <w:pStyle w:val="NoSpacing"/>
        <w:jc w:val="both"/>
        <w:rPr>
          <w:b/>
          <w:sz w:val="20"/>
          <w:szCs w:val="20"/>
        </w:rPr>
      </w:pPr>
    </w:p>
    <w:p w14:paraId="1C91F0D6" w14:textId="77777777" w:rsidR="003B788D" w:rsidRPr="00701439" w:rsidRDefault="003B788D" w:rsidP="00E534C5">
      <w:pPr>
        <w:pStyle w:val="NoSpacing"/>
        <w:jc w:val="both"/>
        <w:rPr>
          <w:b/>
          <w:sz w:val="20"/>
          <w:szCs w:val="20"/>
        </w:rPr>
      </w:pPr>
    </w:p>
    <w:bookmarkEnd w:id="5"/>
    <w:p w14:paraId="4A9ADFC1" w14:textId="7B1DB4C4" w:rsidR="00F01EC8" w:rsidRPr="00701439" w:rsidRDefault="00F01EC8" w:rsidP="00E534C5">
      <w:pPr>
        <w:pStyle w:val="NoSpacing"/>
        <w:jc w:val="both"/>
        <w:rPr>
          <w:rStyle w:val="Strong"/>
          <w:color w:val="4747FF"/>
        </w:rPr>
      </w:pPr>
      <w:r w:rsidRPr="00701439">
        <w:rPr>
          <w:rStyle w:val="Strong"/>
          <w:color w:val="4747FF"/>
        </w:rPr>
        <w:lastRenderedPageBreak/>
        <w:t xml:space="preserve">Financial </w:t>
      </w:r>
      <w:r w:rsidR="00EF6F4D" w:rsidRPr="00701439">
        <w:rPr>
          <w:rStyle w:val="Strong"/>
          <w:color w:val="4747FF"/>
        </w:rPr>
        <w:t>r</w:t>
      </w:r>
      <w:r w:rsidRPr="00701439">
        <w:rPr>
          <w:rStyle w:val="Strong"/>
          <w:color w:val="4747FF"/>
        </w:rPr>
        <w:t>eview</w:t>
      </w:r>
    </w:p>
    <w:p w14:paraId="3286C9DA" w14:textId="77777777" w:rsidR="00F01EC8" w:rsidRPr="00701439" w:rsidRDefault="00F01EC8" w:rsidP="00E534C5">
      <w:pPr>
        <w:pStyle w:val="NoSpacing"/>
        <w:jc w:val="both"/>
        <w:rPr>
          <w:sz w:val="20"/>
          <w:szCs w:val="20"/>
        </w:rPr>
      </w:pPr>
    </w:p>
    <w:p w14:paraId="77FA88C2" w14:textId="77777777" w:rsidR="00F01EC8" w:rsidRPr="00701439" w:rsidRDefault="00F01EC8" w:rsidP="00E534C5">
      <w:pPr>
        <w:pStyle w:val="NoSpacing"/>
        <w:jc w:val="both"/>
        <w:rPr>
          <w:rStyle w:val="Strong"/>
          <w:color w:val="4747FF"/>
        </w:rPr>
      </w:pPr>
      <w:r w:rsidRPr="00701439">
        <w:rPr>
          <w:rStyle w:val="Strong"/>
          <w:color w:val="4747FF"/>
        </w:rPr>
        <w:t>Group performance</w:t>
      </w:r>
    </w:p>
    <w:p w14:paraId="615D6F23" w14:textId="77777777" w:rsidR="00F01EC8" w:rsidRPr="00701439" w:rsidRDefault="00F01EC8" w:rsidP="00E534C5">
      <w:pPr>
        <w:pStyle w:val="NoSpacing"/>
        <w:jc w:val="both"/>
        <w:rPr>
          <w:rStyle w:val="Strong"/>
          <w:sz w:val="20"/>
          <w:szCs w:val="20"/>
        </w:rPr>
      </w:pPr>
    </w:p>
    <w:p w14:paraId="587D8ADF" w14:textId="0262247B" w:rsidR="00F01EC8" w:rsidRPr="00701439" w:rsidRDefault="00F01EC8" w:rsidP="00E534C5">
      <w:pPr>
        <w:pStyle w:val="NoSpacing"/>
        <w:jc w:val="both"/>
        <w:rPr>
          <w:rFonts w:cs="Arial"/>
          <w:sz w:val="20"/>
          <w:szCs w:val="20"/>
        </w:rPr>
      </w:pPr>
      <w:r w:rsidRPr="00701439">
        <w:rPr>
          <w:rFonts w:cs="Arial"/>
          <w:sz w:val="20"/>
          <w:szCs w:val="20"/>
        </w:rPr>
        <w:t>The Group’s 202</w:t>
      </w:r>
      <w:r w:rsidR="009361C9" w:rsidRPr="00701439">
        <w:rPr>
          <w:rFonts w:cs="Arial"/>
          <w:sz w:val="20"/>
          <w:szCs w:val="20"/>
        </w:rPr>
        <w:t>2</w:t>
      </w:r>
      <w:r w:rsidR="00196A38" w:rsidRPr="00701439">
        <w:rPr>
          <w:rFonts w:cs="Arial"/>
          <w:sz w:val="20"/>
          <w:szCs w:val="20"/>
        </w:rPr>
        <w:t xml:space="preserve"> </w:t>
      </w:r>
      <w:r w:rsidRPr="00701439">
        <w:rPr>
          <w:rFonts w:cs="Arial"/>
          <w:sz w:val="20"/>
          <w:szCs w:val="20"/>
        </w:rPr>
        <w:t xml:space="preserve">results </w:t>
      </w:r>
      <w:r w:rsidR="002C17F0" w:rsidRPr="00701439">
        <w:rPr>
          <w:rFonts w:cs="Arial"/>
          <w:sz w:val="20"/>
          <w:szCs w:val="20"/>
        </w:rPr>
        <w:t>are</w:t>
      </w:r>
      <w:r w:rsidRPr="00701439">
        <w:rPr>
          <w:rFonts w:cs="Arial"/>
          <w:sz w:val="20"/>
          <w:szCs w:val="20"/>
        </w:rPr>
        <w:t xml:space="preserve"> as follows:</w:t>
      </w:r>
    </w:p>
    <w:tbl>
      <w:tblPr>
        <w:tblW w:w="8981" w:type="dxa"/>
        <w:tblInd w:w="426" w:type="dxa"/>
        <w:tblLayout w:type="fixed"/>
        <w:tblLook w:val="04A0" w:firstRow="1" w:lastRow="0" w:firstColumn="1" w:lastColumn="0" w:noHBand="0" w:noVBand="1"/>
      </w:tblPr>
      <w:tblGrid>
        <w:gridCol w:w="4858"/>
        <w:gridCol w:w="2062"/>
        <w:gridCol w:w="2061"/>
      </w:tblGrid>
      <w:tr w:rsidR="002A4E64" w:rsidRPr="00701439" w14:paraId="724001C9" w14:textId="77777777">
        <w:trPr>
          <w:trHeight w:val="276"/>
        </w:trPr>
        <w:tc>
          <w:tcPr>
            <w:tcW w:w="4858" w:type="dxa"/>
            <w:vAlign w:val="bottom"/>
          </w:tcPr>
          <w:p w14:paraId="713DF174" w14:textId="77777777" w:rsidR="002A4E64" w:rsidRPr="00701439" w:rsidRDefault="002A4E64" w:rsidP="005522DC">
            <w:pPr>
              <w:pStyle w:val="NoSpacing"/>
              <w:jc w:val="both"/>
              <w:rPr>
                <w:sz w:val="20"/>
                <w:szCs w:val="20"/>
              </w:rPr>
            </w:pPr>
          </w:p>
        </w:tc>
        <w:tc>
          <w:tcPr>
            <w:tcW w:w="2062" w:type="dxa"/>
          </w:tcPr>
          <w:p w14:paraId="7064EEBE" w14:textId="3CCFDCEA" w:rsidR="002A4E64" w:rsidRPr="00701439" w:rsidRDefault="005F09BC" w:rsidP="005522DC">
            <w:pPr>
              <w:pStyle w:val="NoSpacing"/>
              <w:jc w:val="right"/>
              <w:rPr>
                <w:sz w:val="20"/>
                <w:szCs w:val="20"/>
              </w:rPr>
            </w:pPr>
            <w:r w:rsidRPr="00701439">
              <w:rPr>
                <w:sz w:val="20"/>
                <w:szCs w:val="20"/>
              </w:rPr>
              <w:t>2022</w:t>
            </w:r>
          </w:p>
        </w:tc>
        <w:tc>
          <w:tcPr>
            <w:tcW w:w="2061" w:type="dxa"/>
          </w:tcPr>
          <w:p w14:paraId="6B27D5BF" w14:textId="0D5AD6DA" w:rsidR="002A4E64" w:rsidRPr="00701439" w:rsidRDefault="005F09BC" w:rsidP="005522DC">
            <w:pPr>
              <w:pStyle w:val="NoSpacing"/>
              <w:jc w:val="right"/>
              <w:rPr>
                <w:sz w:val="20"/>
                <w:szCs w:val="20"/>
              </w:rPr>
            </w:pPr>
            <w:r w:rsidRPr="00701439">
              <w:rPr>
                <w:sz w:val="20"/>
                <w:szCs w:val="20"/>
              </w:rPr>
              <w:t>2021</w:t>
            </w:r>
          </w:p>
        </w:tc>
      </w:tr>
      <w:tr w:rsidR="002A4E64" w:rsidRPr="00701439" w14:paraId="18572EB4" w14:textId="77777777" w:rsidTr="002A4E64">
        <w:trPr>
          <w:trHeight w:val="276"/>
        </w:trPr>
        <w:tc>
          <w:tcPr>
            <w:tcW w:w="4858" w:type="dxa"/>
            <w:vAlign w:val="bottom"/>
          </w:tcPr>
          <w:p w14:paraId="59D6DBDE" w14:textId="77777777" w:rsidR="002A4E64" w:rsidRPr="00701439" w:rsidRDefault="002A4E64" w:rsidP="005522DC">
            <w:pPr>
              <w:pStyle w:val="NoSpacing"/>
              <w:jc w:val="both"/>
              <w:rPr>
                <w:sz w:val="20"/>
                <w:szCs w:val="20"/>
              </w:rPr>
            </w:pPr>
          </w:p>
        </w:tc>
        <w:tc>
          <w:tcPr>
            <w:tcW w:w="2062" w:type="dxa"/>
            <w:vAlign w:val="bottom"/>
          </w:tcPr>
          <w:p w14:paraId="22BDC0E5" w14:textId="70F11480" w:rsidR="002A4E64" w:rsidRPr="00701439" w:rsidRDefault="005F09BC" w:rsidP="005522DC">
            <w:pPr>
              <w:pStyle w:val="NoSpacing"/>
              <w:jc w:val="right"/>
              <w:rPr>
                <w:sz w:val="20"/>
                <w:szCs w:val="20"/>
              </w:rPr>
            </w:pPr>
            <w:r w:rsidRPr="00701439">
              <w:rPr>
                <w:sz w:val="20"/>
                <w:szCs w:val="20"/>
              </w:rPr>
              <w:t>£m</w:t>
            </w:r>
          </w:p>
        </w:tc>
        <w:tc>
          <w:tcPr>
            <w:tcW w:w="2061" w:type="dxa"/>
            <w:vAlign w:val="bottom"/>
          </w:tcPr>
          <w:p w14:paraId="649DE496" w14:textId="6BAC7240" w:rsidR="002A4E64" w:rsidRPr="00701439" w:rsidRDefault="005F09BC" w:rsidP="005522DC">
            <w:pPr>
              <w:pStyle w:val="NoSpacing"/>
              <w:jc w:val="right"/>
              <w:rPr>
                <w:sz w:val="20"/>
                <w:szCs w:val="20"/>
              </w:rPr>
            </w:pPr>
            <w:r w:rsidRPr="00701439">
              <w:rPr>
                <w:sz w:val="20"/>
                <w:szCs w:val="20"/>
              </w:rPr>
              <w:t>£m</w:t>
            </w:r>
          </w:p>
        </w:tc>
      </w:tr>
      <w:tr w:rsidR="00293CA5" w:rsidRPr="00701439" w14:paraId="4BA7D30E" w14:textId="77777777" w:rsidTr="002A4E64">
        <w:trPr>
          <w:trHeight w:val="276"/>
        </w:trPr>
        <w:tc>
          <w:tcPr>
            <w:tcW w:w="4858" w:type="dxa"/>
            <w:vAlign w:val="bottom"/>
          </w:tcPr>
          <w:p w14:paraId="5F8144D4" w14:textId="609183F3" w:rsidR="00293CA5" w:rsidRPr="00701439" w:rsidRDefault="003F0AA7" w:rsidP="00E534C5">
            <w:pPr>
              <w:pStyle w:val="NoSpacing"/>
              <w:jc w:val="both"/>
              <w:rPr>
                <w:sz w:val="20"/>
                <w:szCs w:val="20"/>
              </w:rPr>
            </w:pPr>
            <w:r w:rsidRPr="00701439">
              <w:rPr>
                <w:sz w:val="20"/>
                <w:szCs w:val="20"/>
              </w:rPr>
              <w:t>Period</w:t>
            </w:r>
            <w:r w:rsidR="00940A8A" w:rsidRPr="00701439">
              <w:rPr>
                <w:sz w:val="20"/>
                <w:szCs w:val="20"/>
              </w:rPr>
              <w:t>-</w:t>
            </w:r>
            <w:r w:rsidRPr="00701439">
              <w:rPr>
                <w:sz w:val="20"/>
                <w:szCs w:val="20"/>
              </w:rPr>
              <w:t>end</w:t>
            </w:r>
            <w:r w:rsidR="00C53742" w:rsidRPr="00701439">
              <w:rPr>
                <w:sz w:val="20"/>
                <w:szCs w:val="20"/>
              </w:rPr>
              <w:t xml:space="preserve"> receivables</w:t>
            </w:r>
          </w:p>
        </w:tc>
        <w:tc>
          <w:tcPr>
            <w:tcW w:w="2062" w:type="dxa"/>
            <w:tcBorders>
              <w:top w:val="single" w:sz="4" w:space="0" w:color="auto"/>
            </w:tcBorders>
            <w:vAlign w:val="bottom"/>
          </w:tcPr>
          <w:p w14:paraId="7D3A6AAE" w14:textId="305CB665" w:rsidR="00293CA5" w:rsidRPr="00701439" w:rsidRDefault="003B4654" w:rsidP="008320AF">
            <w:pPr>
              <w:pStyle w:val="NoSpacing"/>
              <w:jc w:val="right"/>
              <w:rPr>
                <w:sz w:val="20"/>
                <w:szCs w:val="20"/>
              </w:rPr>
            </w:pPr>
            <w:r w:rsidRPr="00701439">
              <w:rPr>
                <w:sz w:val="20"/>
                <w:szCs w:val="20"/>
              </w:rPr>
              <w:t>1</w:t>
            </w:r>
            <w:r w:rsidR="00DF35FB" w:rsidRPr="00701439">
              <w:rPr>
                <w:sz w:val="20"/>
                <w:szCs w:val="20"/>
              </w:rPr>
              <w:t>,</w:t>
            </w:r>
            <w:r w:rsidRPr="00701439">
              <w:rPr>
                <w:sz w:val="20"/>
                <w:szCs w:val="20"/>
              </w:rPr>
              <w:t>904</w:t>
            </w:r>
          </w:p>
        </w:tc>
        <w:tc>
          <w:tcPr>
            <w:tcW w:w="2061" w:type="dxa"/>
            <w:tcBorders>
              <w:top w:val="single" w:sz="4" w:space="0" w:color="auto"/>
            </w:tcBorders>
            <w:vAlign w:val="bottom"/>
          </w:tcPr>
          <w:p w14:paraId="451B841B" w14:textId="6FCE06D2" w:rsidR="00293CA5" w:rsidRPr="00701439" w:rsidRDefault="001174D0" w:rsidP="008320AF">
            <w:pPr>
              <w:pStyle w:val="NoSpacing"/>
              <w:jc w:val="right"/>
              <w:rPr>
                <w:sz w:val="20"/>
                <w:szCs w:val="20"/>
              </w:rPr>
            </w:pPr>
            <w:r w:rsidRPr="00701439">
              <w:rPr>
                <w:sz w:val="20"/>
                <w:szCs w:val="20"/>
              </w:rPr>
              <w:t>1</w:t>
            </w:r>
            <w:r w:rsidR="00DF35FB" w:rsidRPr="00701439">
              <w:rPr>
                <w:sz w:val="20"/>
                <w:szCs w:val="20"/>
              </w:rPr>
              <w:t>,</w:t>
            </w:r>
            <w:r w:rsidRPr="00701439">
              <w:rPr>
                <w:sz w:val="20"/>
                <w:szCs w:val="20"/>
              </w:rPr>
              <w:t>67</w:t>
            </w:r>
            <w:r w:rsidR="00DF35FB" w:rsidRPr="00701439">
              <w:rPr>
                <w:sz w:val="20"/>
                <w:szCs w:val="20"/>
              </w:rPr>
              <w:t>8</w:t>
            </w:r>
          </w:p>
        </w:tc>
      </w:tr>
      <w:tr w:rsidR="00293CA5" w:rsidRPr="00701439" w14:paraId="3D64CF23" w14:textId="77777777" w:rsidTr="002A4E64">
        <w:trPr>
          <w:trHeight w:val="260"/>
        </w:trPr>
        <w:tc>
          <w:tcPr>
            <w:tcW w:w="4858" w:type="dxa"/>
            <w:vAlign w:val="bottom"/>
          </w:tcPr>
          <w:p w14:paraId="0058925D" w14:textId="389FE101" w:rsidR="00293CA5" w:rsidRPr="00701439" w:rsidRDefault="005F09BC" w:rsidP="00E534C5">
            <w:pPr>
              <w:pStyle w:val="NoSpacing"/>
              <w:jc w:val="both"/>
              <w:rPr>
                <w:b/>
                <w:sz w:val="20"/>
                <w:szCs w:val="20"/>
                <w:vertAlign w:val="superscript"/>
              </w:rPr>
            </w:pPr>
            <w:r w:rsidRPr="00701439">
              <w:rPr>
                <w:sz w:val="20"/>
                <w:szCs w:val="20"/>
              </w:rPr>
              <w:t>Average</w:t>
            </w:r>
            <w:r w:rsidR="003F0AA7" w:rsidRPr="00701439">
              <w:rPr>
                <w:sz w:val="20"/>
                <w:szCs w:val="20"/>
              </w:rPr>
              <w:t xml:space="preserve"> gross </w:t>
            </w:r>
            <w:r w:rsidRPr="00701439">
              <w:rPr>
                <w:sz w:val="20"/>
                <w:szCs w:val="20"/>
              </w:rPr>
              <w:t>receivables</w:t>
            </w:r>
            <w:r w:rsidR="00C944FC" w:rsidRPr="00701439">
              <w:rPr>
                <w:sz w:val="20"/>
                <w:szCs w:val="20"/>
                <w:vertAlign w:val="superscript"/>
              </w:rPr>
              <w:t>1</w:t>
            </w:r>
          </w:p>
        </w:tc>
        <w:tc>
          <w:tcPr>
            <w:tcW w:w="2062" w:type="dxa"/>
            <w:tcBorders>
              <w:top w:val="nil"/>
              <w:left w:val="nil"/>
              <w:bottom w:val="single" w:sz="4" w:space="0" w:color="auto"/>
              <w:right w:val="nil"/>
            </w:tcBorders>
            <w:vAlign w:val="bottom"/>
          </w:tcPr>
          <w:p w14:paraId="60F397D4" w14:textId="1267BA24" w:rsidR="00293CA5" w:rsidRPr="00701439" w:rsidRDefault="00240856" w:rsidP="008320AF">
            <w:pPr>
              <w:pStyle w:val="NoSpacing"/>
              <w:jc w:val="right"/>
              <w:rPr>
                <w:sz w:val="20"/>
                <w:szCs w:val="20"/>
              </w:rPr>
            </w:pPr>
            <w:r w:rsidRPr="00701439">
              <w:rPr>
                <w:sz w:val="20"/>
                <w:szCs w:val="20"/>
              </w:rPr>
              <w:t>2</w:t>
            </w:r>
            <w:r w:rsidR="00DF35FB" w:rsidRPr="00701439">
              <w:rPr>
                <w:sz w:val="20"/>
                <w:szCs w:val="20"/>
              </w:rPr>
              <w:t>,</w:t>
            </w:r>
            <w:r w:rsidRPr="00701439">
              <w:rPr>
                <w:sz w:val="20"/>
                <w:szCs w:val="20"/>
              </w:rPr>
              <w:t>039</w:t>
            </w:r>
          </w:p>
        </w:tc>
        <w:tc>
          <w:tcPr>
            <w:tcW w:w="2061" w:type="dxa"/>
            <w:tcBorders>
              <w:top w:val="nil"/>
              <w:left w:val="nil"/>
              <w:bottom w:val="single" w:sz="4" w:space="0" w:color="auto"/>
              <w:right w:val="nil"/>
            </w:tcBorders>
            <w:vAlign w:val="bottom"/>
          </w:tcPr>
          <w:p w14:paraId="7C1499FF" w14:textId="4DE8A717" w:rsidR="00293CA5" w:rsidRPr="00701439" w:rsidRDefault="00551A0D" w:rsidP="008320AF">
            <w:pPr>
              <w:pStyle w:val="NoSpacing"/>
              <w:jc w:val="right"/>
              <w:rPr>
                <w:sz w:val="20"/>
                <w:szCs w:val="20"/>
              </w:rPr>
            </w:pPr>
            <w:r w:rsidRPr="00701439">
              <w:rPr>
                <w:sz w:val="20"/>
                <w:szCs w:val="20"/>
              </w:rPr>
              <w:t>2</w:t>
            </w:r>
            <w:r w:rsidR="00DF35FB" w:rsidRPr="00701439">
              <w:rPr>
                <w:sz w:val="20"/>
                <w:szCs w:val="20"/>
              </w:rPr>
              <w:t>,</w:t>
            </w:r>
            <w:r w:rsidRPr="00701439">
              <w:rPr>
                <w:sz w:val="20"/>
                <w:szCs w:val="20"/>
              </w:rPr>
              <w:t>07</w:t>
            </w:r>
            <w:r w:rsidR="00DF35FB" w:rsidRPr="00701439">
              <w:rPr>
                <w:sz w:val="20"/>
                <w:szCs w:val="20"/>
              </w:rPr>
              <w:t>6</w:t>
            </w:r>
          </w:p>
        </w:tc>
      </w:tr>
      <w:tr w:rsidR="00293CA5" w:rsidRPr="00701439" w14:paraId="02F38EAB" w14:textId="77777777" w:rsidTr="002A4E64">
        <w:trPr>
          <w:trHeight w:val="483"/>
        </w:trPr>
        <w:tc>
          <w:tcPr>
            <w:tcW w:w="4858" w:type="dxa"/>
            <w:vAlign w:val="bottom"/>
            <w:hideMark/>
          </w:tcPr>
          <w:p w14:paraId="5F6B4329" w14:textId="5BE0F2F5" w:rsidR="00293CA5" w:rsidRPr="00701439" w:rsidRDefault="00EA63C8" w:rsidP="00E534C5">
            <w:pPr>
              <w:pStyle w:val="NoSpacing"/>
              <w:jc w:val="both"/>
              <w:rPr>
                <w:sz w:val="20"/>
                <w:szCs w:val="20"/>
              </w:rPr>
            </w:pPr>
            <w:r w:rsidRPr="00701439">
              <w:rPr>
                <w:sz w:val="20"/>
                <w:szCs w:val="20"/>
              </w:rPr>
              <w:t>Interest income</w:t>
            </w:r>
          </w:p>
        </w:tc>
        <w:tc>
          <w:tcPr>
            <w:tcW w:w="2062" w:type="dxa"/>
            <w:tcBorders>
              <w:top w:val="single" w:sz="4" w:space="0" w:color="auto"/>
              <w:left w:val="nil"/>
              <w:right w:val="nil"/>
            </w:tcBorders>
            <w:vAlign w:val="bottom"/>
          </w:tcPr>
          <w:p w14:paraId="30FC66BE" w14:textId="6C87D842" w:rsidR="00293CA5" w:rsidRPr="00701439" w:rsidRDefault="00920387" w:rsidP="00920387">
            <w:pPr>
              <w:pStyle w:val="NoSpacing"/>
              <w:jc w:val="right"/>
              <w:rPr>
                <w:sz w:val="20"/>
                <w:szCs w:val="20"/>
              </w:rPr>
            </w:pPr>
            <w:r w:rsidRPr="00701439">
              <w:rPr>
                <w:sz w:val="20"/>
                <w:szCs w:val="20"/>
              </w:rPr>
              <w:t>486.9</w:t>
            </w:r>
          </w:p>
        </w:tc>
        <w:tc>
          <w:tcPr>
            <w:tcW w:w="2061" w:type="dxa"/>
            <w:tcBorders>
              <w:top w:val="single" w:sz="4" w:space="0" w:color="auto"/>
              <w:left w:val="nil"/>
              <w:right w:val="nil"/>
            </w:tcBorders>
            <w:vAlign w:val="bottom"/>
          </w:tcPr>
          <w:p w14:paraId="5DFE619C" w14:textId="32804720" w:rsidR="00293CA5" w:rsidRPr="00701439" w:rsidRDefault="00920387" w:rsidP="00920387">
            <w:pPr>
              <w:pStyle w:val="NoSpacing"/>
              <w:jc w:val="right"/>
              <w:rPr>
                <w:sz w:val="20"/>
                <w:szCs w:val="20"/>
              </w:rPr>
            </w:pPr>
            <w:r w:rsidRPr="00701439">
              <w:rPr>
                <w:sz w:val="20"/>
                <w:szCs w:val="20"/>
              </w:rPr>
              <w:t>473.9</w:t>
            </w:r>
          </w:p>
        </w:tc>
      </w:tr>
      <w:tr w:rsidR="009361C9" w:rsidRPr="00701439" w14:paraId="7BA502F6" w14:textId="77777777" w:rsidTr="002A4E64">
        <w:trPr>
          <w:trHeight w:val="273"/>
        </w:trPr>
        <w:tc>
          <w:tcPr>
            <w:tcW w:w="4858" w:type="dxa"/>
            <w:vAlign w:val="bottom"/>
            <w:hideMark/>
          </w:tcPr>
          <w:p w14:paraId="54B4E64D" w14:textId="213AD1F7" w:rsidR="009361C9" w:rsidRPr="00701439" w:rsidRDefault="00920387" w:rsidP="009361C9">
            <w:pPr>
              <w:pStyle w:val="NoSpacing"/>
              <w:jc w:val="both"/>
              <w:rPr>
                <w:sz w:val="20"/>
                <w:szCs w:val="20"/>
              </w:rPr>
            </w:pPr>
            <w:r w:rsidRPr="00701439">
              <w:rPr>
                <w:sz w:val="20"/>
                <w:szCs w:val="20"/>
              </w:rPr>
              <w:t>Interest expense</w:t>
            </w:r>
          </w:p>
        </w:tc>
        <w:tc>
          <w:tcPr>
            <w:tcW w:w="2062" w:type="dxa"/>
            <w:tcBorders>
              <w:bottom w:val="single" w:sz="4" w:space="0" w:color="auto"/>
            </w:tcBorders>
            <w:vAlign w:val="bottom"/>
          </w:tcPr>
          <w:p w14:paraId="3AF3E9F2" w14:textId="402CDC99" w:rsidR="009361C9" w:rsidRPr="00701439" w:rsidRDefault="00920387" w:rsidP="000328C7">
            <w:pPr>
              <w:pStyle w:val="NoSpacing"/>
              <w:jc w:val="right"/>
              <w:rPr>
                <w:sz w:val="20"/>
                <w:szCs w:val="20"/>
              </w:rPr>
            </w:pPr>
            <w:r w:rsidRPr="00701439">
              <w:rPr>
                <w:sz w:val="20"/>
                <w:szCs w:val="20"/>
              </w:rPr>
              <w:t>(5</w:t>
            </w:r>
            <w:r w:rsidR="003B2672" w:rsidRPr="00701439">
              <w:rPr>
                <w:sz w:val="20"/>
                <w:szCs w:val="20"/>
              </w:rPr>
              <w:t>8.8</w:t>
            </w:r>
            <w:r w:rsidRPr="00701439">
              <w:rPr>
                <w:sz w:val="20"/>
                <w:szCs w:val="20"/>
              </w:rPr>
              <w:t>)</w:t>
            </w:r>
          </w:p>
        </w:tc>
        <w:tc>
          <w:tcPr>
            <w:tcW w:w="2061" w:type="dxa"/>
            <w:tcBorders>
              <w:bottom w:val="single" w:sz="4" w:space="0" w:color="auto"/>
            </w:tcBorders>
            <w:vAlign w:val="bottom"/>
          </w:tcPr>
          <w:p w14:paraId="3A62CED1" w14:textId="3488C3C3" w:rsidR="009361C9" w:rsidRPr="00701439" w:rsidRDefault="00920387" w:rsidP="000328C7">
            <w:pPr>
              <w:pStyle w:val="NoSpacing"/>
              <w:jc w:val="right"/>
              <w:rPr>
                <w:sz w:val="20"/>
                <w:szCs w:val="20"/>
              </w:rPr>
            </w:pPr>
            <w:r w:rsidRPr="00701439">
              <w:rPr>
                <w:sz w:val="20"/>
                <w:szCs w:val="20"/>
              </w:rPr>
              <w:t>(49.1)</w:t>
            </w:r>
          </w:p>
        </w:tc>
      </w:tr>
      <w:tr w:rsidR="009361C9" w:rsidRPr="00701439" w14:paraId="36DAE566" w14:textId="77777777" w:rsidTr="002A4E64">
        <w:trPr>
          <w:trHeight w:val="260"/>
        </w:trPr>
        <w:tc>
          <w:tcPr>
            <w:tcW w:w="4858" w:type="dxa"/>
            <w:vAlign w:val="bottom"/>
            <w:hideMark/>
          </w:tcPr>
          <w:p w14:paraId="046F8BCF" w14:textId="0E343B49" w:rsidR="009361C9" w:rsidRPr="00701439" w:rsidRDefault="00920387" w:rsidP="009361C9">
            <w:pPr>
              <w:pStyle w:val="NoSpacing"/>
              <w:jc w:val="both"/>
              <w:rPr>
                <w:b/>
                <w:sz w:val="20"/>
                <w:szCs w:val="20"/>
              </w:rPr>
            </w:pPr>
            <w:r w:rsidRPr="00701439">
              <w:rPr>
                <w:b/>
                <w:sz w:val="20"/>
                <w:szCs w:val="20"/>
              </w:rPr>
              <w:t>Net interest income</w:t>
            </w:r>
          </w:p>
        </w:tc>
        <w:tc>
          <w:tcPr>
            <w:tcW w:w="2062" w:type="dxa"/>
            <w:tcBorders>
              <w:top w:val="single" w:sz="4" w:space="0" w:color="auto"/>
            </w:tcBorders>
            <w:vAlign w:val="bottom"/>
          </w:tcPr>
          <w:p w14:paraId="4653422A" w14:textId="1417AD48" w:rsidR="009361C9" w:rsidRPr="00701439" w:rsidRDefault="00105AA2" w:rsidP="000328C7">
            <w:pPr>
              <w:pStyle w:val="NoSpacing"/>
              <w:jc w:val="right"/>
              <w:rPr>
                <w:rFonts w:cstheme="minorHAnsi"/>
                <w:b/>
                <w:sz w:val="20"/>
                <w:szCs w:val="20"/>
              </w:rPr>
            </w:pPr>
            <w:r w:rsidRPr="00701439">
              <w:rPr>
                <w:rFonts w:cstheme="minorHAnsi"/>
                <w:b/>
                <w:sz w:val="20"/>
                <w:szCs w:val="20"/>
              </w:rPr>
              <w:t>4</w:t>
            </w:r>
            <w:r w:rsidR="003B2672" w:rsidRPr="00701439">
              <w:rPr>
                <w:rFonts w:cstheme="minorHAnsi"/>
                <w:b/>
                <w:sz w:val="20"/>
                <w:szCs w:val="20"/>
              </w:rPr>
              <w:t>28.1</w:t>
            </w:r>
          </w:p>
        </w:tc>
        <w:tc>
          <w:tcPr>
            <w:tcW w:w="2061" w:type="dxa"/>
            <w:tcBorders>
              <w:top w:val="single" w:sz="4" w:space="0" w:color="auto"/>
            </w:tcBorders>
            <w:vAlign w:val="bottom"/>
          </w:tcPr>
          <w:p w14:paraId="031E276B" w14:textId="2ABD8F6A" w:rsidR="009361C9" w:rsidRPr="00701439" w:rsidRDefault="00105AA2" w:rsidP="000328C7">
            <w:pPr>
              <w:pStyle w:val="NoSpacing"/>
              <w:jc w:val="right"/>
              <w:rPr>
                <w:rFonts w:cstheme="minorHAnsi"/>
                <w:b/>
                <w:sz w:val="20"/>
                <w:szCs w:val="20"/>
              </w:rPr>
            </w:pPr>
            <w:r w:rsidRPr="00701439">
              <w:rPr>
                <w:rFonts w:cstheme="minorHAnsi"/>
                <w:b/>
                <w:sz w:val="20"/>
                <w:szCs w:val="20"/>
              </w:rPr>
              <w:t>424.8</w:t>
            </w:r>
          </w:p>
        </w:tc>
      </w:tr>
      <w:tr w:rsidR="009361C9" w:rsidRPr="00701439" w14:paraId="7DDB1A32" w14:textId="77777777" w:rsidTr="002A4E64">
        <w:trPr>
          <w:trHeight w:val="260"/>
        </w:trPr>
        <w:tc>
          <w:tcPr>
            <w:tcW w:w="4858" w:type="dxa"/>
            <w:vAlign w:val="bottom"/>
          </w:tcPr>
          <w:p w14:paraId="069F565F" w14:textId="5333A143" w:rsidR="009361C9" w:rsidRPr="00701439" w:rsidRDefault="00920387" w:rsidP="00920387">
            <w:pPr>
              <w:pStyle w:val="NoSpacing"/>
              <w:jc w:val="both"/>
              <w:rPr>
                <w:b/>
                <w:sz w:val="20"/>
                <w:szCs w:val="20"/>
              </w:rPr>
            </w:pPr>
            <w:r w:rsidRPr="00701439">
              <w:rPr>
                <w:b/>
                <w:sz w:val="20"/>
                <w:szCs w:val="20"/>
              </w:rPr>
              <w:t>Net fees and commission income</w:t>
            </w:r>
          </w:p>
        </w:tc>
        <w:tc>
          <w:tcPr>
            <w:tcW w:w="2062" w:type="dxa"/>
            <w:vAlign w:val="bottom"/>
          </w:tcPr>
          <w:p w14:paraId="29C13C9A" w14:textId="7F757753" w:rsidR="009361C9" w:rsidRPr="00701439" w:rsidRDefault="00105AA2" w:rsidP="000328C7">
            <w:pPr>
              <w:pStyle w:val="NoSpacing"/>
              <w:jc w:val="right"/>
              <w:rPr>
                <w:rFonts w:cstheme="minorHAnsi"/>
                <w:b/>
                <w:sz w:val="20"/>
                <w:szCs w:val="20"/>
              </w:rPr>
            </w:pPr>
            <w:r w:rsidRPr="00701439">
              <w:rPr>
                <w:rFonts w:cstheme="minorHAnsi"/>
                <w:b/>
                <w:sz w:val="20"/>
                <w:szCs w:val="20"/>
              </w:rPr>
              <w:t>44.</w:t>
            </w:r>
            <w:r w:rsidR="00EC1CDE" w:rsidRPr="00701439">
              <w:rPr>
                <w:rFonts w:cstheme="minorHAnsi"/>
                <w:b/>
                <w:bCs/>
                <w:sz w:val="20"/>
                <w:szCs w:val="20"/>
              </w:rPr>
              <w:t>2</w:t>
            </w:r>
          </w:p>
        </w:tc>
        <w:tc>
          <w:tcPr>
            <w:tcW w:w="2061" w:type="dxa"/>
            <w:vAlign w:val="bottom"/>
          </w:tcPr>
          <w:p w14:paraId="753E9B5C" w14:textId="2727A142" w:rsidR="009361C9" w:rsidRPr="00701439" w:rsidRDefault="00105AA2" w:rsidP="000328C7">
            <w:pPr>
              <w:pStyle w:val="NoSpacing"/>
              <w:jc w:val="right"/>
              <w:rPr>
                <w:rFonts w:cstheme="minorHAnsi"/>
                <w:b/>
                <w:sz w:val="20"/>
                <w:szCs w:val="20"/>
              </w:rPr>
            </w:pPr>
            <w:r w:rsidRPr="00701439">
              <w:rPr>
                <w:rFonts w:cstheme="minorHAnsi"/>
                <w:b/>
                <w:sz w:val="20"/>
                <w:szCs w:val="20"/>
              </w:rPr>
              <w:t>57.4</w:t>
            </w:r>
          </w:p>
        </w:tc>
      </w:tr>
      <w:tr w:rsidR="009361C9" w:rsidRPr="00701439" w14:paraId="6493DE1C" w14:textId="77777777" w:rsidTr="002A4E64">
        <w:trPr>
          <w:trHeight w:val="276"/>
        </w:trPr>
        <w:tc>
          <w:tcPr>
            <w:tcW w:w="4858" w:type="dxa"/>
            <w:vAlign w:val="bottom"/>
            <w:hideMark/>
          </w:tcPr>
          <w:p w14:paraId="5988E114" w14:textId="453DECA1" w:rsidR="009361C9" w:rsidRPr="00701439" w:rsidRDefault="00920387" w:rsidP="009361C9">
            <w:pPr>
              <w:pStyle w:val="NoSpacing"/>
              <w:jc w:val="both"/>
              <w:rPr>
                <w:sz w:val="20"/>
                <w:szCs w:val="20"/>
              </w:rPr>
            </w:pPr>
            <w:r w:rsidRPr="00701439">
              <w:rPr>
                <w:sz w:val="20"/>
                <w:szCs w:val="20"/>
              </w:rPr>
              <w:t>Other income</w:t>
            </w:r>
          </w:p>
        </w:tc>
        <w:tc>
          <w:tcPr>
            <w:tcW w:w="2062" w:type="dxa"/>
            <w:tcBorders>
              <w:top w:val="nil"/>
              <w:left w:val="nil"/>
              <w:bottom w:val="single" w:sz="4" w:space="0" w:color="auto"/>
              <w:right w:val="nil"/>
            </w:tcBorders>
            <w:vAlign w:val="bottom"/>
          </w:tcPr>
          <w:p w14:paraId="732FB246" w14:textId="6B5F5282" w:rsidR="009361C9" w:rsidRPr="00701439" w:rsidRDefault="00CA3AFC" w:rsidP="000328C7">
            <w:pPr>
              <w:jc w:val="right"/>
              <w:rPr>
                <w:rFonts w:asciiTheme="minorHAnsi" w:hAnsiTheme="minorHAnsi" w:cs="Arial"/>
                <w:sz w:val="20"/>
                <w:szCs w:val="20"/>
              </w:rPr>
            </w:pPr>
            <w:r w:rsidRPr="00701439">
              <w:rPr>
                <w:rFonts w:asciiTheme="minorHAnsi" w:hAnsiTheme="minorHAnsi" w:cs="Arial"/>
                <w:sz w:val="20"/>
                <w:szCs w:val="20"/>
              </w:rPr>
              <w:t>8.4</w:t>
            </w:r>
          </w:p>
        </w:tc>
        <w:tc>
          <w:tcPr>
            <w:tcW w:w="2061" w:type="dxa"/>
            <w:tcBorders>
              <w:top w:val="nil"/>
              <w:left w:val="nil"/>
              <w:bottom w:val="single" w:sz="4" w:space="0" w:color="auto"/>
              <w:right w:val="nil"/>
            </w:tcBorders>
            <w:vAlign w:val="bottom"/>
          </w:tcPr>
          <w:p w14:paraId="07D72ADC" w14:textId="3B5507F9" w:rsidR="009361C9" w:rsidRPr="00701439" w:rsidRDefault="00105AA2" w:rsidP="000328C7">
            <w:pPr>
              <w:pStyle w:val="NoSpacing"/>
              <w:jc w:val="right"/>
              <w:rPr>
                <w:rFonts w:cstheme="minorHAnsi"/>
                <w:sz w:val="20"/>
                <w:szCs w:val="20"/>
              </w:rPr>
            </w:pPr>
            <w:r w:rsidRPr="00701439">
              <w:rPr>
                <w:rFonts w:cstheme="minorHAnsi"/>
                <w:sz w:val="20"/>
                <w:szCs w:val="20"/>
              </w:rPr>
              <w:t>0.4</w:t>
            </w:r>
          </w:p>
        </w:tc>
      </w:tr>
      <w:tr w:rsidR="009361C9" w:rsidRPr="00701439" w14:paraId="693189B2" w14:textId="77777777" w:rsidTr="002A4E64">
        <w:trPr>
          <w:trHeight w:val="244"/>
        </w:trPr>
        <w:tc>
          <w:tcPr>
            <w:tcW w:w="4858" w:type="dxa"/>
            <w:vAlign w:val="bottom"/>
            <w:hideMark/>
          </w:tcPr>
          <w:p w14:paraId="17BCCE1D" w14:textId="7A608B2E" w:rsidR="009361C9" w:rsidRPr="00701439" w:rsidRDefault="00920387" w:rsidP="009361C9">
            <w:pPr>
              <w:pStyle w:val="NoSpacing"/>
              <w:jc w:val="both"/>
              <w:rPr>
                <w:b/>
                <w:sz w:val="20"/>
                <w:szCs w:val="20"/>
                <w:vertAlign w:val="superscript"/>
              </w:rPr>
            </w:pPr>
            <w:r w:rsidRPr="00701439">
              <w:rPr>
                <w:b/>
                <w:sz w:val="20"/>
                <w:szCs w:val="20"/>
              </w:rPr>
              <w:t>Total income</w:t>
            </w:r>
          </w:p>
        </w:tc>
        <w:tc>
          <w:tcPr>
            <w:tcW w:w="2062" w:type="dxa"/>
            <w:tcBorders>
              <w:top w:val="single" w:sz="4" w:space="0" w:color="auto"/>
              <w:left w:val="nil"/>
              <w:right w:val="nil"/>
            </w:tcBorders>
            <w:vAlign w:val="bottom"/>
          </w:tcPr>
          <w:p w14:paraId="413BDE44" w14:textId="35B900BD" w:rsidR="009361C9" w:rsidRPr="00701439" w:rsidRDefault="00105AA2" w:rsidP="000328C7">
            <w:pPr>
              <w:jc w:val="right"/>
              <w:rPr>
                <w:rFonts w:asciiTheme="minorHAnsi" w:hAnsiTheme="minorHAnsi" w:cs="Arial"/>
                <w:b/>
                <w:sz w:val="20"/>
                <w:szCs w:val="20"/>
              </w:rPr>
            </w:pPr>
            <w:r w:rsidRPr="00701439">
              <w:rPr>
                <w:rFonts w:asciiTheme="minorHAnsi" w:hAnsiTheme="minorHAnsi" w:cs="Arial"/>
                <w:b/>
                <w:sz w:val="20"/>
                <w:szCs w:val="20"/>
              </w:rPr>
              <w:t>480</w:t>
            </w:r>
            <w:r w:rsidR="009361C9" w:rsidRPr="00701439">
              <w:rPr>
                <w:rFonts w:asciiTheme="minorHAnsi" w:hAnsiTheme="minorHAnsi" w:cs="Arial"/>
                <w:b/>
                <w:sz w:val="20"/>
                <w:szCs w:val="20"/>
              </w:rPr>
              <w:t>.</w:t>
            </w:r>
            <w:r w:rsidR="009B51E9" w:rsidRPr="00701439">
              <w:rPr>
                <w:rFonts w:asciiTheme="minorHAnsi" w:hAnsiTheme="minorHAnsi" w:cs="Arial"/>
                <w:b/>
                <w:sz w:val="20"/>
                <w:szCs w:val="20"/>
              </w:rPr>
              <w:t>7</w:t>
            </w:r>
          </w:p>
        </w:tc>
        <w:tc>
          <w:tcPr>
            <w:tcW w:w="2061" w:type="dxa"/>
            <w:tcBorders>
              <w:top w:val="single" w:sz="4" w:space="0" w:color="auto"/>
              <w:left w:val="nil"/>
              <w:right w:val="nil"/>
            </w:tcBorders>
            <w:vAlign w:val="bottom"/>
          </w:tcPr>
          <w:p w14:paraId="30CAA53B" w14:textId="5FE35DFD" w:rsidR="009361C9" w:rsidRPr="00701439" w:rsidRDefault="00A92FC1" w:rsidP="000328C7">
            <w:pPr>
              <w:pStyle w:val="NoSpacing"/>
              <w:jc w:val="right"/>
              <w:rPr>
                <w:rFonts w:cstheme="minorHAnsi"/>
                <w:b/>
                <w:sz w:val="20"/>
                <w:szCs w:val="20"/>
              </w:rPr>
            </w:pPr>
            <w:r w:rsidRPr="00701439">
              <w:rPr>
                <w:rFonts w:cstheme="minorHAnsi"/>
                <w:b/>
                <w:sz w:val="20"/>
                <w:szCs w:val="20"/>
              </w:rPr>
              <w:t>482.6</w:t>
            </w:r>
          </w:p>
        </w:tc>
      </w:tr>
      <w:tr w:rsidR="009361C9" w:rsidRPr="00701439" w14:paraId="77D002D0" w14:textId="77777777" w:rsidTr="002A4E64">
        <w:trPr>
          <w:trHeight w:val="276"/>
        </w:trPr>
        <w:tc>
          <w:tcPr>
            <w:tcW w:w="4858" w:type="dxa"/>
            <w:hideMark/>
          </w:tcPr>
          <w:p w14:paraId="2C7C5386" w14:textId="3722CDFB" w:rsidR="009361C9" w:rsidRPr="00701439" w:rsidRDefault="00920387" w:rsidP="009361C9">
            <w:pPr>
              <w:pStyle w:val="NoSpacing"/>
              <w:jc w:val="both"/>
              <w:rPr>
                <w:bCs/>
                <w:sz w:val="20"/>
                <w:szCs w:val="20"/>
              </w:rPr>
            </w:pPr>
            <w:r w:rsidRPr="00701439">
              <w:rPr>
                <w:sz w:val="20"/>
                <w:szCs w:val="20"/>
              </w:rPr>
              <w:t>Impairment charges</w:t>
            </w:r>
          </w:p>
        </w:tc>
        <w:tc>
          <w:tcPr>
            <w:tcW w:w="2062" w:type="dxa"/>
            <w:tcBorders>
              <w:left w:val="nil"/>
              <w:bottom w:val="single" w:sz="4" w:space="0" w:color="auto"/>
              <w:right w:val="nil"/>
            </w:tcBorders>
            <w:vAlign w:val="bottom"/>
          </w:tcPr>
          <w:p w14:paraId="389CF7B3" w14:textId="0AD807EE" w:rsidR="009361C9" w:rsidRPr="00701439" w:rsidRDefault="009361C9" w:rsidP="000328C7">
            <w:pPr>
              <w:pStyle w:val="NoSpacing"/>
              <w:jc w:val="right"/>
              <w:rPr>
                <w:rFonts w:cstheme="minorHAnsi"/>
                <w:sz w:val="20"/>
                <w:szCs w:val="20"/>
              </w:rPr>
            </w:pPr>
            <w:r w:rsidRPr="00701439">
              <w:rPr>
                <w:rFonts w:cstheme="minorHAnsi"/>
                <w:sz w:val="20"/>
                <w:szCs w:val="20"/>
              </w:rPr>
              <w:t>(</w:t>
            </w:r>
            <w:r w:rsidR="00A92FC1" w:rsidRPr="00701439">
              <w:rPr>
                <w:rFonts w:cstheme="minorHAnsi"/>
                <w:sz w:val="20"/>
                <w:szCs w:val="20"/>
              </w:rPr>
              <w:t>66.1</w:t>
            </w:r>
            <w:r w:rsidRPr="00701439">
              <w:rPr>
                <w:rFonts w:cstheme="minorHAnsi"/>
                <w:sz w:val="20"/>
                <w:szCs w:val="20"/>
              </w:rPr>
              <w:t>)</w:t>
            </w:r>
          </w:p>
        </w:tc>
        <w:tc>
          <w:tcPr>
            <w:tcW w:w="2061" w:type="dxa"/>
            <w:tcBorders>
              <w:left w:val="nil"/>
              <w:bottom w:val="single" w:sz="4" w:space="0" w:color="auto"/>
              <w:right w:val="nil"/>
            </w:tcBorders>
            <w:vAlign w:val="bottom"/>
          </w:tcPr>
          <w:p w14:paraId="78D75475" w14:textId="3306AC42" w:rsidR="009361C9" w:rsidRPr="00701439" w:rsidRDefault="009361C9" w:rsidP="000328C7">
            <w:pPr>
              <w:pStyle w:val="NoSpacing"/>
              <w:jc w:val="right"/>
              <w:rPr>
                <w:rFonts w:cstheme="minorHAnsi"/>
                <w:sz w:val="20"/>
                <w:szCs w:val="20"/>
              </w:rPr>
            </w:pPr>
            <w:r w:rsidRPr="00701439">
              <w:rPr>
                <w:rFonts w:cstheme="minorHAnsi"/>
                <w:sz w:val="20"/>
                <w:szCs w:val="20"/>
              </w:rPr>
              <w:t>(</w:t>
            </w:r>
            <w:r w:rsidR="00A92FC1" w:rsidRPr="00701439">
              <w:rPr>
                <w:rFonts w:cstheme="minorHAnsi"/>
                <w:sz w:val="20"/>
                <w:szCs w:val="20"/>
              </w:rPr>
              <w:t>50.4</w:t>
            </w:r>
            <w:r w:rsidRPr="00701439">
              <w:rPr>
                <w:rFonts w:cstheme="minorHAnsi"/>
                <w:sz w:val="20"/>
                <w:szCs w:val="20"/>
              </w:rPr>
              <w:t>)</w:t>
            </w:r>
          </w:p>
        </w:tc>
      </w:tr>
      <w:tr w:rsidR="009361C9" w:rsidRPr="00701439" w14:paraId="160F45DC" w14:textId="77777777" w:rsidTr="002A4E64">
        <w:trPr>
          <w:trHeight w:val="260"/>
        </w:trPr>
        <w:tc>
          <w:tcPr>
            <w:tcW w:w="4858" w:type="dxa"/>
            <w:hideMark/>
          </w:tcPr>
          <w:p w14:paraId="0208DE93" w14:textId="76F90759" w:rsidR="009361C9" w:rsidRPr="00701439" w:rsidRDefault="00920387" w:rsidP="009361C9">
            <w:pPr>
              <w:pStyle w:val="NoSpacing"/>
              <w:jc w:val="both"/>
              <w:rPr>
                <w:b/>
                <w:sz w:val="20"/>
                <w:szCs w:val="20"/>
              </w:rPr>
            </w:pPr>
            <w:r w:rsidRPr="00701439">
              <w:rPr>
                <w:b/>
                <w:sz w:val="20"/>
                <w:szCs w:val="20"/>
              </w:rPr>
              <w:t>Risk-adjusted income</w:t>
            </w:r>
          </w:p>
        </w:tc>
        <w:tc>
          <w:tcPr>
            <w:tcW w:w="2062" w:type="dxa"/>
            <w:tcBorders>
              <w:top w:val="single" w:sz="4" w:space="0" w:color="auto"/>
              <w:left w:val="nil"/>
              <w:right w:val="nil"/>
            </w:tcBorders>
            <w:vAlign w:val="bottom"/>
          </w:tcPr>
          <w:p w14:paraId="294F6E5E" w14:textId="58A3880A" w:rsidR="009361C9" w:rsidRPr="00701439" w:rsidRDefault="00A92FC1" w:rsidP="000328C7">
            <w:pPr>
              <w:pStyle w:val="NoSpacing"/>
              <w:jc w:val="right"/>
              <w:rPr>
                <w:rFonts w:cstheme="minorHAnsi"/>
                <w:b/>
                <w:sz w:val="20"/>
                <w:szCs w:val="20"/>
              </w:rPr>
            </w:pPr>
            <w:r w:rsidRPr="00701439">
              <w:rPr>
                <w:rFonts w:cstheme="minorHAnsi"/>
                <w:b/>
                <w:sz w:val="20"/>
                <w:szCs w:val="20"/>
              </w:rPr>
              <w:t>414.6</w:t>
            </w:r>
          </w:p>
        </w:tc>
        <w:tc>
          <w:tcPr>
            <w:tcW w:w="2061" w:type="dxa"/>
            <w:tcBorders>
              <w:top w:val="single" w:sz="4" w:space="0" w:color="auto"/>
              <w:left w:val="nil"/>
              <w:right w:val="nil"/>
            </w:tcBorders>
            <w:vAlign w:val="bottom"/>
          </w:tcPr>
          <w:p w14:paraId="6749D222" w14:textId="0C88CCCE" w:rsidR="009361C9" w:rsidRPr="00701439" w:rsidRDefault="00CB025D" w:rsidP="000328C7">
            <w:pPr>
              <w:pStyle w:val="NoSpacing"/>
              <w:jc w:val="right"/>
              <w:rPr>
                <w:rFonts w:cstheme="minorHAnsi"/>
                <w:b/>
                <w:sz w:val="20"/>
                <w:szCs w:val="20"/>
              </w:rPr>
            </w:pPr>
            <w:r w:rsidRPr="00701439">
              <w:rPr>
                <w:rFonts w:cstheme="minorHAnsi"/>
                <w:b/>
                <w:sz w:val="20"/>
                <w:szCs w:val="20"/>
              </w:rPr>
              <w:t>432.2</w:t>
            </w:r>
          </w:p>
        </w:tc>
      </w:tr>
      <w:tr w:rsidR="009361C9" w:rsidRPr="00701439" w14:paraId="51A8B04D" w14:textId="77777777" w:rsidTr="002A4E64">
        <w:trPr>
          <w:trHeight w:val="260"/>
        </w:trPr>
        <w:tc>
          <w:tcPr>
            <w:tcW w:w="4858" w:type="dxa"/>
            <w:hideMark/>
          </w:tcPr>
          <w:p w14:paraId="62F7C4CA" w14:textId="2E01740D" w:rsidR="009361C9" w:rsidRPr="00701439" w:rsidRDefault="00920387" w:rsidP="009361C9">
            <w:pPr>
              <w:pStyle w:val="NoSpacing"/>
              <w:jc w:val="both"/>
              <w:rPr>
                <w:sz w:val="20"/>
                <w:szCs w:val="20"/>
              </w:rPr>
            </w:pPr>
            <w:r w:rsidRPr="00701439">
              <w:rPr>
                <w:sz w:val="20"/>
                <w:szCs w:val="20"/>
              </w:rPr>
              <w:t>Operating costs</w:t>
            </w:r>
          </w:p>
        </w:tc>
        <w:tc>
          <w:tcPr>
            <w:tcW w:w="2062" w:type="dxa"/>
            <w:tcBorders>
              <w:left w:val="nil"/>
              <w:bottom w:val="single" w:sz="4" w:space="0" w:color="auto"/>
              <w:right w:val="nil"/>
            </w:tcBorders>
            <w:vAlign w:val="bottom"/>
          </w:tcPr>
          <w:p w14:paraId="5645583E" w14:textId="0D63FA7D" w:rsidR="009361C9" w:rsidRPr="00701439" w:rsidRDefault="00CB025D" w:rsidP="000328C7">
            <w:pPr>
              <w:pStyle w:val="NoSpacing"/>
              <w:jc w:val="right"/>
              <w:rPr>
                <w:rFonts w:cstheme="minorHAnsi"/>
                <w:sz w:val="20"/>
                <w:szCs w:val="20"/>
              </w:rPr>
            </w:pPr>
            <w:r w:rsidRPr="00701439">
              <w:rPr>
                <w:rFonts w:cstheme="minorHAnsi"/>
                <w:sz w:val="20"/>
                <w:szCs w:val="20"/>
              </w:rPr>
              <w:t>(2</w:t>
            </w:r>
            <w:r w:rsidR="00155979" w:rsidRPr="00701439">
              <w:rPr>
                <w:rFonts w:cstheme="minorHAnsi"/>
                <w:sz w:val="20"/>
                <w:szCs w:val="20"/>
              </w:rPr>
              <w:t>88.0)</w:t>
            </w:r>
          </w:p>
        </w:tc>
        <w:tc>
          <w:tcPr>
            <w:tcW w:w="2061" w:type="dxa"/>
            <w:tcBorders>
              <w:left w:val="nil"/>
              <w:bottom w:val="single" w:sz="4" w:space="0" w:color="auto"/>
              <w:right w:val="nil"/>
            </w:tcBorders>
            <w:vAlign w:val="bottom"/>
          </w:tcPr>
          <w:p w14:paraId="3D571AB7" w14:textId="17DDAC85" w:rsidR="009361C9" w:rsidRPr="00701439" w:rsidRDefault="00155979" w:rsidP="000328C7">
            <w:pPr>
              <w:pStyle w:val="NoSpacing"/>
              <w:jc w:val="right"/>
              <w:rPr>
                <w:rFonts w:cstheme="minorHAnsi"/>
                <w:sz w:val="20"/>
                <w:szCs w:val="20"/>
              </w:rPr>
            </w:pPr>
            <w:r w:rsidRPr="00701439">
              <w:rPr>
                <w:rFonts w:cstheme="minorHAnsi"/>
                <w:sz w:val="20"/>
                <w:szCs w:val="20"/>
              </w:rPr>
              <w:t>(264.4)</w:t>
            </w:r>
          </w:p>
        </w:tc>
      </w:tr>
      <w:tr w:rsidR="009361C9" w:rsidRPr="00701439" w14:paraId="4B41C329" w14:textId="77777777" w:rsidTr="002A4E64">
        <w:trPr>
          <w:trHeight w:val="260"/>
        </w:trPr>
        <w:tc>
          <w:tcPr>
            <w:tcW w:w="4858" w:type="dxa"/>
          </w:tcPr>
          <w:p w14:paraId="4F80614C" w14:textId="0E745C9F" w:rsidR="009361C9" w:rsidRPr="00701439" w:rsidRDefault="00920387" w:rsidP="009361C9">
            <w:pPr>
              <w:pStyle w:val="NoSpacing"/>
              <w:jc w:val="both"/>
              <w:rPr>
                <w:b/>
                <w:sz w:val="20"/>
                <w:szCs w:val="20"/>
                <w:vertAlign w:val="superscript"/>
              </w:rPr>
            </w:pPr>
            <w:r w:rsidRPr="00701439">
              <w:rPr>
                <w:b/>
                <w:bCs/>
                <w:sz w:val="20"/>
                <w:szCs w:val="20"/>
              </w:rPr>
              <w:t xml:space="preserve">Adjusted profit before tax – Continuing </w:t>
            </w:r>
            <w:r w:rsidR="005F09BC" w:rsidRPr="00701439">
              <w:rPr>
                <w:b/>
                <w:bCs/>
                <w:sz w:val="20"/>
                <w:szCs w:val="20"/>
              </w:rPr>
              <w:t>operations</w:t>
            </w:r>
            <w:r w:rsidR="0000761D" w:rsidRPr="00701439">
              <w:rPr>
                <w:b/>
                <w:bCs/>
                <w:sz w:val="20"/>
                <w:szCs w:val="20"/>
                <w:vertAlign w:val="superscript"/>
              </w:rPr>
              <w:t>2</w:t>
            </w:r>
          </w:p>
        </w:tc>
        <w:tc>
          <w:tcPr>
            <w:tcW w:w="2062" w:type="dxa"/>
            <w:tcBorders>
              <w:top w:val="single" w:sz="4" w:space="0" w:color="auto"/>
              <w:left w:val="nil"/>
              <w:bottom w:val="single" w:sz="4" w:space="0" w:color="auto"/>
              <w:right w:val="nil"/>
            </w:tcBorders>
            <w:vAlign w:val="bottom"/>
          </w:tcPr>
          <w:p w14:paraId="0B218CF6" w14:textId="6E542493" w:rsidR="009361C9" w:rsidRPr="00701439" w:rsidRDefault="00B61A33" w:rsidP="000328C7">
            <w:pPr>
              <w:pStyle w:val="NoSpacing"/>
              <w:jc w:val="right"/>
              <w:rPr>
                <w:rFonts w:cstheme="minorHAnsi"/>
                <w:b/>
                <w:sz w:val="20"/>
                <w:szCs w:val="20"/>
              </w:rPr>
            </w:pPr>
            <w:r w:rsidRPr="00701439">
              <w:rPr>
                <w:rFonts w:cstheme="minorHAnsi"/>
                <w:b/>
                <w:sz w:val="20"/>
                <w:szCs w:val="20"/>
              </w:rPr>
              <w:t>126.6</w:t>
            </w:r>
          </w:p>
        </w:tc>
        <w:tc>
          <w:tcPr>
            <w:tcW w:w="2061" w:type="dxa"/>
            <w:tcBorders>
              <w:top w:val="single" w:sz="4" w:space="0" w:color="auto"/>
              <w:left w:val="nil"/>
              <w:bottom w:val="single" w:sz="4" w:space="0" w:color="auto"/>
              <w:right w:val="nil"/>
            </w:tcBorders>
            <w:vAlign w:val="bottom"/>
          </w:tcPr>
          <w:p w14:paraId="21295F82" w14:textId="64D643A4" w:rsidR="009361C9" w:rsidRPr="00701439" w:rsidRDefault="00B61A33" w:rsidP="000328C7">
            <w:pPr>
              <w:pStyle w:val="NoSpacing"/>
              <w:jc w:val="right"/>
              <w:rPr>
                <w:rFonts w:cstheme="minorHAnsi"/>
                <w:b/>
                <w:sz w:val="20"/>
                <w:szCs w:val="20"/>
              </w:rPr>
            </w:pPr>
            <w:r w:rsidRPr="00701439">
              <w:rPr>
                <w:rFonts w:cstheme="minorHAnsi"/>
                <w:b/>
                <w:sz w:val="20"/>
                <w:szCs w:val="20"/>
              </w:rPr>
              <w:t>167.8</w:t>
            </w:r>
          </w:p>
        </w:tc>
      </w:tr>
      <w:tr w:rsidR="009361C9" w:rsidRPr="00701439" w14:paraId="7859D3A0" w14:textId="77777777" w:rsidTr="002A4E64">
        <w:trPr>
          <w:trHeight w:val="260"/>
        </w:trPr>
        <w:tc>
          <w:tcPr>
            <w:tcW w:w="4858" w:type="dxa"/>
          </w:tcPr>
          <w:p w14:paraId="34E8D9EE" w14:textId="7E28E07F" w:rsidR="009361C9" w:rsidRPr="00701439" w:rsidRDefault="00920387" w:rsidP="009361C9">
            <w:pPr>
              <w:pStyle w:val="NoSpacing"/>
              <w:jc w:val="both"/>
              <w:rPr>
                <w:sz w:val="20"/>
                <w:szCs w:val="20"/>
              </w:rPr>
            </w:pPr>
            <w:r w:rsidRPr="00701439">
              <w:rPr>
                <w:sz w:val="20"/>
                <w:szCs w:val="20"/>
              </w:rPr>
              <w:t>Amortisation of acquisition intangibles</w:t>
            </w:r>
          </w:p>
        </w:tc>
        <w:tc>
          <w:tcPr>
            <w:tcW w:w="2062" w:type="dxa"/>
            <w:tcBorders>
              <w:top w:val="single" w:sz="4" w:space="0" w:color="auto"/>
              <w:left w:val="nil"/>
              <w:right w:val="nil"/>
            </w:tcBorders>
            <w:vAlign w:val="bottom"/>
          </w:tcPr>
          <w:p w14:paraId="63FD57B9" w14:textId="58F9FE13" w:rsidR="009361C9" w:rsidRPr="00701439" w:rsidRDefault="00B61A33" w:rsidP="000328C7">
            <w:pPr>
              <w:pStyle w:val="NoSpacing"/>
              <w:jc w:val="right"/>
              <w:rPr>
                <w:rFonts w:cstheme="minorHAnsi"/>
                <w:sz w:val="20"/>
                <w:szCs w:val="20"/>
              </w:rPr>
            </w:pPr>
            <w:r w:rsidRPr="00701439">
              <w:rPr>
                <w:rFonts w:cstheme="minorHAnsi"/>
                <w:sz w:val="20"/>
                <w:szCs w:val="20"/>
              </w:rPr>
              <w:t>(7.5)</w:t>
            </w:r>
          </w:p>
        </w:tc>
        <w:tc>
          <w:tcPr>
            <w:tcW w:w="2061" w:type="dxa"/>
            <w:tcBorders>
              <w:top w:val="single" w:sz="4" w:space="0" w:color="auto"/>
              <w:left w:val="nil"/>
              <w:right w:val="nil"/>
            </w:tcBorders>
            <w:vAlign w:val="bottom"/>
          </w:tcPr>
          <w:p w14:paraId="091B535D" w14:textId="3E8BF0BA" w:rsidR="009361C9" w:rsidRPr="00701439" w:rsidRDefault="00B61A33" w:rsidP="000328C7">
            <w:pPr>
              <w:pStyle w:val="NoSpacing"/>
              <w:jc w:val="right"/>
              <w:rPr>
                <w:rFonts w:cstheme="minorHAnsi"/>
                <w:sz w:val="20"/>
                <w:szCs w:val="20"/>
              </w:rPr>
            </w:pPr>
            <w:r w:rsidRPr="00701439">
              <w:rPr>
                <w:rFonts w:cstheme="minorHAnsi"/>
                <w:sz w:val="20"/>
                <w:szCs w:val="20"/>
              </w:rPr>
              <w:t>(7.5)</w:t>
            </w:r>
          </w:p>
        </w:tc>
      </w:tr>
      <w:tr w:rsidR="009361C9" w:rsidRPr="00701439" w14:paraId="5EB2F769" w14:textId="77777777" w:rsidTr="002A4E64">
        <w:trPr>
          <w:trHeight w:val="260"/>
        </w:trPr>
        <w:tc>
          <w:tcPr>
            <w:tcW w:w="4858" w:type="dxa"/>
            <w:vAlign w:val="bottom"/>
          </w:tcPr>
          <w:p w14:paraId="29188DD9" w14:textId="456AF85F" w:rsidR="009361C9" w:rsidRPr="00701439" w:rsidRDefault="00920387" w:rsidP="009361C9">
            <w:pPr>
              <w:pStyle w:val="NoSpacing"/>
              <w:jc w:val="both"/>
              <w:rPr>
                <w:bCs/>
                <w:sz w:val="20"/>
                <w:szCs w:val="20"/>
              </w:rPr>
            </w:pPr>
            <w:r w:rsidRPr="00701439">
              <w:rPr>
                <w:bCs/>
                <w:sz w:val="20"/>
                <w:szCs w:val="20"/>
              </w:rPr>
              <w:t>Exceptional items – Continuing operations</w:t>
            </w:r>
          </w:p>
        </w:tc>
        <w:tc>
          <w:tcPr>
            <w:tcW w:w="2062" w:type="dxa"/>
            <w:tcBorders>
              <w:left w:val="nil"/>
              <w:bottom w:val="single" w:sz="4" w:space="0" w:color="auto"/>
              <w:right w:val="nil"/>
            </w:tcBorders>
            <w:vAlign w:val="bottom"/>
          </w:tcPr>
          <w:p w14:paraId="2E0686E3" w14:textId="076585E6" w:rsidR="009361C9" w:rsidRPr="00701439" w:rsidRDefault="00B61A33" w:rsidP="000328C7">
            <w:pPr>
              <w:pStyle w:val="NoSpacing"/>
              <w:jc w:val="right"/>
              <w:rPr>
                <w:rFonts w:cstheme="minorHAnsi"/>
                <w:sz w:val="20"/>
                <w:szCs w:val="20"/>
              </w:rPr>
            </w:pPr>
            <w:r w:rsidRPr="00701439">
              <w:rPr>
                <w:rFonts w:cstheme="minorHAnsi"/>
                <w:sz w:val="20"/>
                <w:szCs w:val="20"/>
              </w:rPr>
              <w:t>(9.0)</w:t>
            </w:r>
          </w:p>
        </w:tc>
        <w:tc>
          <w:tcPr>
            <w:tcW w:w="2061" w:type="dxa"/>
            <w:tcBorders>
              <w:left w:val="nil"/>
              <w:bottom w:val="single" w:sz="4" w:space="0" w:color="auto"/>
              <w:right w:val="nil"/>
            </w:tcBorders>
            <w:vAlign w:val="bottom"/>
          </w:tcPr>
          <w:p w14:paraId="4B719020" w14:textId="42C7FAC6" w:rsidR="009361C9" w:rsidRPr="00701439" w:rsidRDefault="006E4CB7" w:rsidP="000328C7">
            <w:pPr>
              <w:pStyle w:val="NoSpacing"/>
              <w:jc w:val="right"/>
              <w:rPr>
                <w:rFonts w:cstheme="minorHAnsi"/>
                <w:sz w:val="20"/>
                <w:szCs w:val="20"/>
              </w:rPr>
            </w:pPr>
            <w:r w:rsidRPr="00701439">
              <w:rPr>
                <w:rFonts w:cstheme="minorHAnsi"/>
                <w:sz w:val="20"/>
                <w:szCs w:val="20"/>
              </w:rPr>
              <w:t>(18.1)</w:t>
            </w:r>
          </w:p>
        </w:tc>
      </w:tr>
      <w:tr w:rsidR="009361C9" w:rsidRPr="00701439" w14:paraId="2FE77598" w14:textId="77777777" w:rsidTr="002A4E64">
        <w:trPr>
          <w:trHeight w:val="260"/>
        </w:trPr>
        <w:tc>
          <w:tcPr>
            <w:tcW w:w="4858" w:type="dxa"/>
            <w:vAlign w:val="bottom"/>
            <w:hideMark/>
          </w:tcPr>
          <w:p w14:paraId="12CA648B" w14:textId="78C8BB9F" w:rsidR="009361C9" w:rsidRPr="00701439" w:rsidRDefault="00920387" w:rsidP="009361C9">
            <w:pPr>
              <w:pStyle w:val="NoSpacing"/>
              <w:jc w:val="both"/>
              <w:rPr>
                <w:b/>
                <w:sz w:val="20"/>
                <w:szCs w:val="20"/>
                <w:vertAlign w:val="superscript"/>
              </w:rPr>
            </w:pPr>
            <w:r w:rsidRPr="00701439">
              <w:rPr>
                <w:b/>
                <w:sz w:val="20"/>
                <w:szCs w:val="20"/>
              </w:rPr>
              <w:t xml:space="preserve">Statutory profit before tax – Continuing </w:t>
            </w:r>
            <w:r w:rsidR="005F09BC" w:rsidRPr="00701439">
              <w:rPr>
                <w:b/>
                <w:sz w:val="20"/>
                <w:szCs w:val="20"/>
              </w:rPr>
              <w:t>operations</w:t>
            </w:r>
            <w:r w:rsidR="000A4DB3" w:rsidRPr="00701439">
              <w:rPr>
                <w:b/>
                <w:sz w:val="20"/>
                <w:szCs w:val="20"/>
                <w:vertAlign w:val="superscript"/>
              </w:rPr>
              <w:t>3</w:t>
            </w:r>
          </w:p>
        </w:tc>
        <w:tc>
          <w:tcPr>
            <w:tcW w:w="2062" w:type="dxa"/>
            <w:tcBorders>
              <w:top w:val="single" w:sz="4" w:space="0" w:color="auto"/>
              <w:left w:val="nil"/>
              <w:right w:val="nil"/>
            </w:tcBorders>
            <w:vAlign w:val="bottom"/>
          </w:tcPr>
          <w:p w14:paraId="797FE376" w14:textId="309C5E6B" w:rsidR="009361C9" w:rsidRPr="00701439" w:rsidRDefault="006E4CB7" w:rsidP="000328C7">
            <w:pPr>
              <w:pStyle w:val="NoSpacing"/>
              <w:jc w:val="right"/>
              <w:rPr>
                <w:b/>
                <w:sz w:val="20"/>
                <w:szCs w:val="20"/>
              </w:rPr>
            </w:pPr>
            <w:r w:rsidRPr="00701439">
              <w:rPr>
                <w:b/>
                <w:sz w:val="20"/>
                <w:szCs w:val="20"/>
              </w:rPr>
              <w:t>110.1</w:t>
            </w:r>
          </w:p>
        </w:tc>
        <w:tc>
          <w:tcPr>
            <w:tcW w:w="2061" w:type="dxa"/>
            <w:tcBorders>
              <w:top w:val="single" w:sz="4" w:space="0" w:color="auto"/>
              <w:left w:val="nil"/>
              <w:right w:val="nil"/>
            </w:tcBorders>
            <w:vAlign w:val="bottom"/>
          </w:tcPr>
          <w:p w14:paraId="3A462432" w14:textId="7CF48E06" w:rsidR="009361C9" w:rsidRPr="00701439" w:rsidRDefault="006E4CB7" w:rsidP="000328C7">
            <w:pPr>
              <w:pStyle w:val="NoSpacing"/>
              <w:jc w:val="right"/>
              <w:rPr>
                <w:b/>
                <w:sz w:val="20"/>
                <w:szCs w:val="20"/>
              </w:rPr>
            </w:pPr>
            <w:r w:rsidRPr="00701439">
              <w:rPr>
                <w:b/>
                <w:sz w:val="20"/>
                <w:szCs w:val="20"/>
              </w:rPr>
              <w:t>142.2</w:t>
            </w:r>
          </w:p>
        </w:tc>
      </w:tr>
      <w:tr w:rsidR="009361C9" w:rsidRPr="00701439" w14:paraId="41C391BF" w14:textId="77777777" w:rsidTr="002A4E64">
        <w:trPr>
          <w:trHeight w:val="260"/>
        </w:trPr>
        <w:tc>
          <w:tcPr>
            <w:tcW w:w="4858" w:type="dxa"/>
            <w:vAlign w:val="bottom"/>
            <w:hideMark/>
          </w:tcPr>
          <w:p w14:paraId="5D97237B" w14:textId="13CC1DFB" w:rsidR="009361C9" w:rsidRPr="00701439" w:rsidRDefault="00920387" w:rsidP="009361C9">
            <w:pPr>
              <w:pStyle w:val="NoSpacing"/>
              <w:jc w:val="both"/>
              <w:rPr>
                <w:sz w:val="20"/>
                <w:szCs w:val="20"/>
              </w:rPr>
            </w:pPr>
            <w:r w:rsidRPr="00701439">
              <w:rPr>
                <w:bCs/>
                <w:sz w:val="20"/>
                <w:szCs w:val="20"/>
              </w:rPr>
              <w:t>Loss for discontinued operations</w:t>
            </w:r>
          </w:p>
        </w:tc>
        <w:tc>
          <w:tcPr>
            <w:tcW w:w="2062" w:type="dxa"/>
            <w:tcBorders>
              <w:top w:val="nil"/>
              <w:left w:val="nil"/>
              <w:bottom w:val="single" w:sz="4" w:space="0" w:color="auto"/>
              <w:right w:val="nil"/>
            </w:tcBorders>
          </w:tcPr>
          <w:p w14:paraId="0A3908AB" w14:textId="408093F1" w:rsidR="009361C9" w:rsidRPr="00701439" w:rsidRDefault="006E4CB7" w:rsidP="000328C7">
            <w:pPr>
              <w:pStyle w:val="NoSpacing"/>
              <w:jc w:val="right"/>
              <w:rPr>
                <w:rFonts w:cstheme="minorHAnsi"/>
                <w:sz w:val="20"/>
                <w:szCs w:val="20"/>
              </w:rPr>
            </w:pPr>
            <w:r w:rsidRPr="00701439">
              <w:rPr>
                <w:rFonts w:cstheme="minorHAnsi"/>
                <w:sz w:val="20"/>
                <w:szCs w:val="20"/>
              </w:rPr>
              <w:t>(10.7)</w:t>
            </w:r>
          </w:p>
        </w:tc>
        <w:tc>
          <w:tcPr>
            <w:tcW w:w="2061" w:type="dxa"/>
            <w:tcBorders>
              <w:top w:val="nil"/>
              <w:left w:val="nil"/>
              <w:bottom w:val="single" w:sz="4" w:space="0" w:color="auto"/>
              <w:right w:val="nil"/>
            </w:tcBorders>
          </w:tcPr>
          <w:p w14:paraId="490E3993" w14:textId="4BAB4421" w:rsidR="009361C9" w:rsidRPr="00701439" w:rsidRDefault="006C3B0F" w:rsidP="000328C7">
            <w:pPr>
              <w:pStyle w:val="NoSpacing"/>
              <w:jc w:val="right"/>
              <w:rPr>
                <w:rFonts w:cstheme="minorHAnsi"/>
                <w:sz w:val="20"/>
                <w:szCs w:val="20"/>
              </w:rPr>
            </w:pPr>
            <w:r w:rsidRPr="00701439">
              <w:rPr>
                <w:rFonts w:cstheme="minorHAnsi"/>
                <w:sz w:val="20"/>
                <w:szCs w:val="20"/>
              </w:rPr>
              <w:t>(138.1)</w:t>
            </w:r>
          </w:p>
        </w:tc>
      </w:tr>
      <w:tr w:rsidR="009361C9" w:rsidRPr="00701439" w14:paraId="2B826F2D" w14:textId="77777777" w:rsidTr="002A4E64">
        <w:trPr>
          <w:trHeight w:val="260"/>
        </w:trPr>
        <w:tc>
          <w:tcPr>
            <w:tcW w:w="4858" w:type="dxa"/>
            <w:vAlign w:val="bottom"/>
            <w:hideMark/>
          </w:tcPr>
          <w:p w14:paraId="06BB21F5" w14:textId="79AF91F8" w:rsidR="009361C9" w:rsidRPr="00701439" w:rsidRDefault="00920387" w:rsidP="009361C9">
            <w:pPr>
              <w:pStyle w:val="NoSpacing"/>
              <w:jc w:val="both"/>
              <w:rPr>
                <w:b/>
                <w:sz w:val="20"/>
                <w:szCs w:val="20"/>
                <w:vertAlign w:val="superscript"/>
              </w:rPr>
            </w:pPr>
            <w:r w:rsidRPr="00701439">
              <w:rPr>
                <w:b/>
                <w:sz w:val="20"/>
                <w:szCs w:val="20"/>
              </w:rPr>
              <w:t xml:space="preserve">Group profit before tax </w:t>
            </w:r>
          </w:p>
        </w:tc>
        <w:tc>
          <w:tcPr>
            <w:tcW w:w="2062" w:type="dxa"/>
            <w:tcBorders>
              <w:top w:val="single" w:sz="4" w:space="0" w:color="auto"/>
              <w:left w:val="nil"/>
              <w:bottom w:val="single" w:sz="4" w:space="0" w:color="auto"/>
              <w:right w:val="nil"/>
            </w:tcBorders>
            <w:shd w:val="clear" w:color="auto" w:fill="auto"/>
            <w:vAlign w:val="bottom"/>
          </w:tcPr>
          <w:p w14:paraId="5412781D" w14:textId="6A8209F8" w:rsidR="009361C9" w:rsidRPr="00701439" w:rsidRDefault="006C3B0F" w:rsidP="000328C7">
            <w:pPr>
              <w:pStyle w:val="NoSpacing"/>
              <w:jc w:val="right"/>
              <w:rPr>
                <w:rFonts w:cstheme="minorHAnsi"/>
                <w:b/>
                <w:sz w:val="20"/>
                <w:szCs w:val="20"/>
              </w:rPr>
            </w:pPr>
            <w:r w:rsidRPr="00701439">
              <w:rPr>
                <w:rFonts w:cstheme="minorHAnsi"/>
                <w:b/>
                <w:sz w:val="20"/>
                <w:szCs w:val="20"/>
              </w:rPr>
              <w:t>99.4</w:t>
            </w:r>
          </w:p>
        </w:tc>
        <w:tc>
          <w:tcPr>
            <w:tcW w:w="2061" w:type="dxa"/>
            <w:tcBorders>
              <w:top w:val="single" w:sz="4" w:space="0" w:color="auto"/>
              <w:left w:val="nil"/>
              <w:bottom w:val="single" w:sz="4" w:space="0" w:color="auto"/>
              <w:right w:val="nil"/>
            </w:tcBorders>
            <w:shd w:val="clear" w:color="auto" w:fill="auto"/>
            <w:vAlign w:val="bottom"/>
          </w:tcPr>
          <w:p w14:paraId="6396CEA5" w14:textId="3D37C5BC" w:rsidR="009361C9" w:rsidRPr="00701439" w:rsidRDefault="006C3B0F" w:rsidP="000328C7">
            <w:pPr>
              <w:pStyle w:val="NoSpacing"/>
              <w:jc w:val="right"/>
              <w:rPr>
                <w:rFonts w:cstheme="minorHAnsi"/>
                <w:b/>
                <w:sz w:val="20"/>
                <w:szCs w:val="20"/>
              </w:rPr>
            </w:pPr>
            <w:r w:rsidRPr="00701439">
              <w:rPr>
                <w:rFonts w:cstheme="minorHAnsi"/>
                <w:b/>
                <w:sz w:val="20"/>
                <w:szCs w:val="20"/>
              </w:rPr>
              <w:t>4.1</w:t>
            </w:r>
          </w:p>
        </w:tc>
      </w:tr>
      <w:tr w:rsidR="006C3B0F" w:rsidRPr="00701439" w14:paraId="51C2DC8F" w14:textId="77777777" w:rsidTr="002A4E64">
        <w:trPr>
          <w:trHeight w:val="260"/>
        </w:trPr>
        <w:tc>
          <w:tcPr>
            <w:tcW w:w="4858" w:type="dxa"/>
            <w:vAlign w:val="bottom"/>
          </w:tcPr>
          <w:p w14:paraId="54B21159" w14:textId="7BE88281" w:rsidR="006C3B0F" w:rsidRPr="00701439" w:rsidRDefault="006C3B0F" w:rsidP="009361C9">
            <w:pPr>
              <w:pStyle w:val="NoSpacing"/>
              <w:jc w:val="both"/>
              <w:rPr>
                <w:bCs/>
                <w:sz w:val="20"/>
                <w:szCs w:val="20"/>
              </w:rPr>
            </w:pPr>
            <w:r w:rsidRPr="00701439">
              <w:rPr>
                <w:bCs/>
                <w:sz w:val="20"/>
                <w:szCs w:val="20"/>
              </w:rPr>
              <w:t>Tax – Continuing operations</w:t>
            </w:r>
          </w:p>
        </w:tc>
        <w:tc>
          <w:tcPr>
            <w:tcW w:w="2062" w:type="dxa"/>
            <w:tcBorders>
              <w:top w:val="single" w:sz="4" w:space="0" w:color="auto"/>
              <w:left w:val="nil"/>
              <w:right w:val="nil"/>
            </w:tcBorders>
            <w:shd w:val="clear" w:color="auto" w:fill="auto"/>
            <w:vAlign w:val="bottom"/>
          </w:tcPr>
          <w:p w14:paraId="4E5075BF" w14:textId="7A62BB6B" w:rsidR="006C3B0F" w:rsidRPr="00701439" w:rsidRDefault="006C3B0F" w:rsidP="000328C7">
            <w:pPr>
              <w:pStyle w:val="NoSpacing"/>
              <w:jc w:val="right"/>
              <w:rPr>
                <w:rFonts w:cstheme="minorHAnsi"/>
                <w:sz w:val="20"/>
                <w:szCs w:val="20"/>
              </w:rPr>
            </w:pPr>
            <w:r w:rsidRPr="00701439">
              <w:rPr>
                <w:rFonts w:cstheme="minorHAnsi"/>
                <w:sz w:val="20"/>
                <w:szCs w:val="20"/>
              </w:rPr>
              <w:t>(27.8)</w:t>
            </w:r>
          </w:p>
        </w:tc>
        <w:tc>
          <w:tcPr>
            <w:tcW w:w="2061" w:type="dxa"/>
            <w:tcBorders>
              <w:top w:val="single" w:sz="4" w:space="0" w:color="auto"/>
              <w:left w:val="nil"/>
              <w:right w:val="nil"/>
            </w:tcBorders>
            <w:shd w:val="clear" w:color="auto" w:fill="auto"/>
            <w:vAlign w:val="bottom"/>
          </w:tcPr>
          <w:p w14:paraId="7FC2083C" w14:textId="6216EB53" w:rsidR="006C3B0F" w:rsidRPr="00701439" w:rsidRDefault="006C3B0F" w:rsidP="000328C7">
            <w:pPr>
              <w:pStyle w:val="NoSpacing"/>
              <w:jc w:val="right"/>
              <w:rPr>
                <w:rFonts w:cstheme="minorHAnsi"/>
                <w:sz w:val="20"/>
                <w:szCs w:val="20"/>
              </w:rPr>
            </w:pPr>
            <w:r w:rsidRPr="00701439">
              <w:rPr>
                <w:rFonts w:cstheme="minorHAnsi"/>
                <w:sz w:val="20"/>
                <w:szCs w:val="20"/>
              </w:rPr>
              <w:t>(7.6)</w:t>
            </w:r>
          </w:p>
        </w:tc>
      </w:tr>
      <w:tr w:rsidR="00DE52B6" w:rsidRPr="00701439" w14:paraId="1E27E3A0" w14:textId="77777777" w:rsidTr="002A4E64">
        <w:trPr>
          <w:trHeight w:val="276"/>
        </w:trPr>
        <w:tc>
          <w:tcPr>
            <w:tcW w:w="4858" w:type="dxa"/>
            <w:vAlign w:val="bottom"/>
          </w:tcPr>
          <w:p w14:paraId="38A6AB60" w14:textId="197285D9" w:rsidR="00DE52B6" w:rsidRPr="00701439" w:rsidRDefault="00920387" w:rsidP="009361C9">
            <w:pPr>
              <w:pStyle w:val="NoSpacing"/>
              <w:jc w:val="both"/>
              <w:rPr>
                <w:bCs/>
                <w:sz w:val="20"/>
                <w:szCs w:val="20"/>
              </w:rPr>
            </w:pPr>
            <w:r w:rsidRPr="00701439">
              <w:rPr>
                <w:bCs/>
                <w:sz w:val="20"/>
                <w:szCs w:val="20"/>
              </w:rPr>
              <w:t>Tax – discontinuing operations</w:t>
            </w:r>
          </w:p>
        </w:tc>
        <w:tc>
          <w:tcPr>
            <w:tcW w:w="2062" w:type="dxa"/>
            <w:tcBorders>
              <w:left w:val="nil"/>
              <w:bottom w:val="single" w:sz="4" w:space="0" w:color="auto"/>
              <w:right w:val="nil"/>
            </w:tcBorders>
            <w:shd w:val="clear" w:color="auto" w:fill="auto"/>
            <w:vAlign w:val="bottom"/>
          </w:tcPr>
          <w:p w14:paraId="6D0964A1" w14:textId="06677ECD" w:rsidR="00DE52B6" w:rsidRPr="00701439" w:rsidRDefault="00EC4123" w:rsidP="000328C7">
            <w:pPr>
              <w:pStyle w:val="NoSpacing"/>
              <w:jc w:val="right"/>
              <w:rPr>
                <w:rFonts w:cstheme="minorHAnsi"/>
                <w:sz w:val="20"/>
                <w:szCs w:val="20"/>
              </w:rPr>
            </w:pPr>
            <w:r w:rsidRPr="00701439">
              <w:rPr>
                <w:rFonts w:cstheme="minorHAnsi"/>
                <w:sz w:val="20"/>
                <w:szCs w:val="20"/>
              </w:rPr>
              <w:t>5.8</w:t>
            </w:r>
          </w:p>
        </w:tc>
        <w:tc>
          <w:tcPr>
            <w:tcW w:w="2061" w:type="dxa"/>
            <w:tcBorders>
              <w:left w:val="nil"/>
              <w:bottom w:val="single" w:sz="4" w:space="0" w:color="auto"/>
              <w:right w:val="nil"/>
            </w:tcBorders>
            <w:shd w:val="clear" w:color="auto" w:fill="auto"/>
            <w:vAlign w:val="bottom"/>
          </w:tcPr>
          <w:p w14:paraId="1C665DC4" w14:textId="0CE9ED09" w:rsidR="00DE52B6" w:rsidRPr="00701439" w:rsidRDefault="00EC4123" w:rsidP="000328C7">
            <w:pPr>
              <w:pStyle w:val="NoSpacing"/>
              <w:jc w:val="right"/>
              <w:rPr>
                <w:rFonts w:cstheme="minorHAnsi"/>
                <w:sz w:val="20"/>
                <w:szCs w:val="20"/>
              </w:rPr>
            </w:pPr>
            <w:r w:rsidRPr="00701439">
              <w:rPr>
                <w:rFonts w:cstheme="minorHAnsi"/>
                <w:sz w:val="20"/>
                <w:szCs w:val="20"/>
              </w:rPr>
              <w:t>(28.6)</w:t>
            </w:r>
          </w:p>
        </w:tc>
      </w:tr>
      <w:tr w:rsidR="00DE52B6" w:rsidRPr="00701439" w14:paraId="239DB6BD" w14:textId="77777777" w:rsidTr="002A4E64">
        <w:trPr>
          <w:trHeight w:val="244"/>
        </w:trPr>
        <w:tc>
          <w:tcPr>
            <w:tcW w:w="4858" w:type="dxa"/>
            <w:vAlign w:val="bottom"/>
          </w:tcPr>
          <w:p w14:paraId="7B54262C" w14:textId="6266A901" w:rsidR="00DE52B6" w:rsidRPr="00701439" w:rsidRDefault="00920387" w:rsidP="009361C9">
            <w:pPr>
              <w:pStyle w:val="NoSpacing"/>
              <w:jc w:val="both"/>
              <w:rPr>
                <w:b/>
                <w:sz w:val="20"/>
                <w:szCs w:val="20"/>
              </w:rPr>
            </w:pPr>
            <w:r w:rsidRPr="00701439">
              <w:rPr>
                <w:b/>
                <w:sz w:val="20"/>
                <w:szCs w:val="20"/>
              </w:rPr>
              <w:t>Profit/(loss) after tax</w:t>
            </w:r>
          </w:p>
        </w:tc>
        <w:tc>
          <w:tcPr>
            <w:tcW w:w="2062" w:type="dxa"/>
            <w:tcBorders>
              <w:top w:val="single" w:sz="4" w:space="0" w:color="auto"/>
              <w:left w:val="nil"/>
              <w:bottom w:val="single" w:sz="4" w:space="0" w:color="auto"/>
              <w:right w:val="nil"/>
            </w:tcBorders>
            <w:shd w:val="clear" w:color="auto" w:fill="auto"/>
            <w:vAlign w:val="bottom"/>
          </w:tcPr>
          <w:p w14:paraId="664956E6" w14:textId="2F22097A" w:rsidR="00DE52B6" w:rsidRPr="00701439" w:rsidRDefault="00EC4123" w:rsidP="000328C7">
            <w:pPr>
              <w:pStyle w:val="NoSpacing"/>
              <w:jc w:val="right"/>
              <w:rPr>
                <w:rFonts w:cstheme="minorHAnsi"/>
                <w:b/>
                <w:sz w:val="20"/>
                <w:szCs w:val="20"/>
              </w:rPr>
            </w:pPr>
            <w:r w:rsidRPr="00701439">
              <w:rPr>
                <w:rFonts w:cstheme="minorHAnsi"/>
                <w:b/>
                <w:sz w:val="20"/>
                <w:szCs w:val="20"/>
              </w:rPr>
              <w:t>77.4</w:t>
            </w:r>
          </w:p>
        </w:tc>
        <w:tc>
          <w:tcPr>
            <w:tcW w:w="2061" w:type="dxa"/>
            <w:tcBorders>
              <w:top w:val="single" w:sz="4" w:space="0" w:color="auto"/>
              <w:left w:val="nil"/>
              <w:bottom w:val="single" w:sz="4" w:space="0" w:color="auto"/>
              <w:right w:val="nil"/>
            </w:tcBorders>
            <w:shd w:val="clear" w:color="auto" w:fill="auto"/>
            <w:vAlign w:val="bottom"/>
          </w:tcPr>
          <w:p w14:paraId="2697AB92" w14:textId="4C6135E3" w:rsidR="00DE52B6" w:rsidRPr="00701439" w:rsidRDefault="00EC4123" w:rsidP="000328C7">
            <w:pPr>
              <w:pStyle w:val="NoSpacing"/>
              <w:jc w:val="right"/>
              <w:rPr>
                <w:rFonts w:cstheme="minorHAnsi"/>
                <w:b/>
                <w:sz w:val="20"/>
                <w:szCs w:val="20"/>
              </w:rPr>
            </w:pPr>
            <w:r w:rsidRPr="00701439">
              <w:rPr>
                <w:rFonts w:cstheme="minorHAnsi"/>
                <w:b/>
                <w:sz w:val="20"/>
                <w:szCs w:val="20"/>
              </w:rPr>
              <w:t>(32.1)</w:t>
            </w:r>
          </w:p>
        </w:tc>
      </w:tr>
      <w:tr w:rsidR="003D256D" w:rsidRPr="00701439" w14:paraId="00D29572" w14:textId="77777777" w:rsidTr="002A4E64">
        <w:trPr>
          <w:trHeight w:val="244"/>
        </w:trPr>
        <w:tc>
          <w:tcPr>
            <w:tcW w:w="4858" w:type="dxa"/>
            <w:vAlign w:val="bottom"/>
          </w:tcPr>
          <w:p w14:paraId="241A9ACB" w14:textId="77777777" w:rsidR="003D256D" w:rsidRPr="00701439" w:rsidRDefault="003D256D" w:rsidP="009361C9">
            <w:pPr>
              <w:pStyle w:val="NoSpacing"/>
              <w:jc w:val="both"/>
              <w:rPr>
                <w:b/>
                <w:sz w:val="20"/>
                <w:szCs w:val="20"/>
              </w:rPr>
            </w:pPr>
          </w:p>
        </w:tc>
        <w:tc>
          <w:tcPr>
            <w:tcW w:w="2062" w:type="dxa"/>
            <w:tcBorders>
              <w:top w:val="single" w:sz="4" w:space="0" w:color="auto"/>
              <w:left w:val="nil"/>
              <w:right w:val="nil"/>
            </w:tcBorders>
            <w:shd w:val="clear" w:color="auto" w:fill="auto"/>
            <w:vAlign w:val="bottom"/>
          </w:tcPr>
          <w:p w14:paraId="2BB1144C" w14:textId="77777777" w:rsidR="003D256D" w:rsidRPr="00701439" w:rsidRDefault="003D256D" w:rsidP="000328C7">
            <w:pPr>
              <w:pStyle w:val="NoSpacing"/>
              <w:jc w:val="right"/>
              <w:rPr>
                <w:rFonts w:cstheme="minorHAnsi"/>
                <w:b/>
                <w:bCs/>
                <w:sz w:val="20"/>
                <w:szCs w:val="20"/>
              </w:rPr>
            </w:pPr>
          </w:p>
        </w:tc>
        <w:tc>
          <w:tcPr>
            <w:tcW w:w="2061" w:type="dxa"/>
            <w:tcBorders>
              <w:top w:val="single" w:sz="4" w:space="0" w:color="auto"/>
              <w:left w:val="nil"/>
              <w:right w:val="nil"/>
            </w:tcBorders>
            <w:shd w:val="clear" w:color="auto" w:fill="auto"/>
            <w:vAlign w:val="bottom"/>
          </w:tcPr>
          <w:p w14:paraId="43647B14" w14:textId="77777777" w:rsidR="003D256D" w:rsidRPr="00701439" w:rsidRDefault="003D256D" w:rsidP="000328C7">
            <w:pPr>
              <w:pStyle w:val="NoSpacing"/>
              <w:jc w:val="right"/>
              <w:rPr>
                <w:rFonts w:cstheme="minorHAnsi"/>
                <w:b/>
                <w:bCs/>
                <w:sz w:val="20"/>
                <w:szCs w:val="20"/>
              </w:rPr>
            </w:pPr>
          </w:p>
        </w:tc>
      </w:tr>
    </w:tbl>
    <w:p w14:paraId="2B7C2F44" w14:textId="77777777" w:rsidR="00DC64F9" w:rsidRPr="00701439" w:rsidRDefault="00DC64F9" w:rsidP="00E534C5">
      <w:pPr>
        <w:jc w:val="both"/>
        <w:rPr>
          <w:rFonts w:asciiTheme="minorHAnsi" w:hAnsiTheme="minorHAnsi" w:cs="Arial"/>
          <w:sz w:val="20"/>
          <w:szCs w:val="20"/>
          <w:lang w:eastAsia="en-US"/>
        </w:rPr>
      </w:pPr>
    </w:p>
    <w:p w14:paraId="5F9B9713" w14:textId="7BD92042" w:rsidR="00747078" w:rsidRPr="00701439" w:rsidRDefault="0078593E" w:rsidP="008173FD">
      <w:pPr>
        <w:pStyle w:val="NoSpacing"/>
        <w:ind w:left="284" w:hanging="284"/>
        <w:jc w:val="both"/>
        <w:rPr>
          <w:rFonts w:cs="Arial"/>
          <w:i/>
          <w:sz w:val="20"/>
          <w:szCs w:val="20"/>
        </w:rPr>
      </w:pPr>
      <w:r w:rsidRPr="00701439">
        <w:rPr>
          <w:i/>
          <w:sz w:val="20"/>
          <w:szCs w:val="20"/>
          <w:vertAlign w:val="superscript"/>
        </w:rPr>
        <w:t xml:space="preserve">1 </w:t>
      </w:r>
      <w:r w:rsidR="00B939C5" w:rsidRPr="00701439">
        <w:rPr>
          <w:i/>
          <w:sz w:val="20"/>
          <w:szCs w:val="20"/>
          <w:vertAlign w:val="superscript"/>
        </w:rPr>
        <w:tab/>
      </w:r>
      <w:r w:rsidR="009B6157" w:rsidRPr="00701439">
        <w:rPr>
          <w:i/>
          <w:sz w:val="20"/>
          <w:szCs w:val="20"/>
        </w:rPr>
        <w:t>Calculated as the average of month end gross receivables for the 13 months ended 31 December.</w:t>
      </w:r>
    </w:p>
    <w:p w14:paraId="0CA38322" w14:textId="1DA4535E" w:rsidR="009E1D65" w:rsidRPr="00701439" w:rsidRDefault="0078593E" w:rsidP="00FE5287">
      <w:pPr>
        <w:pStyle w:val="NoSpacing"/>
        <w:ind w:left="284" w:hanging="284"/>
        <w:jc w:val="both"/>
        <w:rPr>
          <w:rFonts w:cs="Arial"/>
          <w:i/>
          <w:iCs/>
          <w:sz w:val="20"/>
          <w:szCs w:val="20"/>
        </w:rPr>
      </w:pPr>
      <w:r w:rsidRPr="00701439">
        <w:rPr>
          <w:rFonts w:cs="Arial"/>
          <w:i/>
          <w:iCs/>
          <w:sz w:val="20"/>
          <w:szCs w:val="20"/>
          <w:vertAlign w:val="superscript"/>
        </w:rPr>
        <w:t xml:space="preserve">2 </w:t>
      </w:r>
      <w:r w:rsidR="00B939C5" w:rsidRPr="00701439">
        <w:rPr>
          <w:rFonts w:cs="Arial"/>
          <w:i/>
          <w:iCs/>
          <w:sz w:val="20"/>
          <w:szCs w:val="20"/>
          <w:vertAlign w:val="superscript"/>
        </w:rPr>
        <w:tab/>
      </w:r>
      <w:r w:rsidR="007E4865" w:rsidRPr="00701439">
        <w:rPr>
          <w:rFonts w:cs="Arial"/>
          <w:i/>
          <w:sz w:val="20"/>
          <w:szCs w:val="20"/>
        </w:rPr>
        <w:t xml:space="preserve">Adjusted </w:t>
      </w:r>
      <w:proofErr w:type="gramStart"/>
      <w:r w:rsidR="00C944FC" w:rsidRPr="00701439">
        <w:rPr>
          <w:rFonts w:cs="Arial"/>
          <w:i/>
          <w:iCs/>
          <w:sz w:val="20"/>
          <w:szCs w:val="20"/>
        </w:rPr>
        <w:t>profit</w:t>
      </w:r>
      <w:proofErr w:type="gramEnd"/>
      <w:r w:rsidR="00C944FC" w:rsidRPr="00701439">
        <w:rPr>
          <w:rFonts w:cs="Arial"/>
          <w:i/>
          <w:iCs/>
          <w:sz w:val="20"/>
          <w:szCs w:val="20"/>
        </w:rPr>
        <w:t xml:space="preserve"> before tax </w:t>
      </w:r>
      <w:r w:rsidR="007E4865" w:rsidRPr="00701439">
        <w:rPr>
          <w:rFonts w:cs="Arial"/>
          <w:i/>
          <w:sz w:val="20"/>
          <w:szCs w:val="20"/>
        </w:rPr>
        <w:t xml:space="preserve">from continuing operations is stated before amortisation </w:t>
      </w:r>
      <w:r w:rsidR="00C944FC" w:rsidRPr="00701439">
        <w:rPr>
          <w:rFonts w:cs="Arial"/>
          <w:i/>
          <w:iCs/>
          <w:sz w:val="20"/>
          <w:szCs w:val="20"/>
        </w:rPr>
        <w:t xml:space="preserve">in respect </w:t>
      </w:r>
      <w:r w:rsidR="007E4865" w:rsidRPr="00701439">
        <w:rPr>
          <w:rFonts w:cs="Arial"/>
          <w:i/>
          <w:sz w:val="20"/>
          <w:szCs w:val="20"/>
        </w:rPr>
        <w:t>of acquisition intangibles</w:t>
      </w:r>
      <w:r w:rsidR="00B939C5" w:rsidRPr="00701439">
        <w:rPr>
          <w:rFonts w:cs="Arial"/>
          <w:i/>
          <w:iCs/>
          <w:sz w:val="20"/>
          <w:szCs w:val="20"/>
        </w:rPr>
        <w:t xml:space="preserve"> </w:t>
      </w:r>
      <w:r w:rsidR="00C944FC" w:rsidRPr="00701439">
        <w:rPr>
          <w:rFonts w:cs="Arial"/>
          <w:i/>
          <w:iCs/>
          <w:sz w:val="20"/>
          <w:szCs w:val="20"/>
        </w:rPr>
        <w:t>established as part of the acquisition of Moneybarn in August 2014</w:t>
      </w:r>
      <w:r w:rsidR="007945C4">
        <w:rPr>
          <w:rFonts w:cs="Arial"/>
          <w:i/>
          <w:sz w:val="20"/>
          <w:szCs w:val="20"/>
        </w:rPr>
        <w:t>,</w:t>
      </w:r>
      <w:r w:rsidR="007E4865" w:rsidRPr="00701439">
        <w:rPr>
          <w:rFonts w:cs="Arial"/>
          <w:i/>
          <w:sz w:val="20"/>
          <w:szCs w:val="20"/>
        </w:rPr>
        <w:t xml:space="preserve"> exceptional items and any losses incurred relating to</w:t>
      </w:r>
      <w:r w:rsidR="00B939C5" w:rsidRPr="00701439">
        <w:rPr>
          <w:rFonts w:cs="Arial"/>
          <w:i/>
          <w:iCs/>
          <w:sz w:val="20"/>
          <w:szCs w:val="20"/>
        </w:rPr>
        <w:t xml:space="preserve"> </w:t>
      </w:r>
      <w:r w:rsidR="007E4865" w:rsidRPr="00701439">
        <w:rPr>
          <w:rFonts w:cs="Arial"/>
          <w:i/>
          <w:sz w:val="20"/>
          <w:szCs w:val="20"/>
        </w:rPr>
        <w:t>CCD.</w:t>
      </w:r>
    </w:p>
    <w:p w14:paraId="0E96D7CF" w14:textId="3D9C0EDA" w:rsidR="007E4865" w:rsidRPr="00701439" w:rsidRDefault="00EE6999" w:rsidP="00A25034">
      <w:pPr>
        <w:pStyle w:val="NoSpacing"/>
        <w:ind w:left="284" w:hanging="284"/>
        <w:jc w:val="both"/>
        <w:rPr>
          <w:i/>
          <w:sz w:val="20"/>
          <w:szCs w:val="20"/>
        </w:rPr>
      </w:pPr>
      <w:r w:rsidRPr="00701439">
        <w:rPr>
          <w:i/>
          <w:iCs/>
          <w:sz w:val="20"/>
          <w:szCs w:val="20"/>
          <w:vertAlign w:val="superscript"/>
        </w:rPr>
        <w:t xml:space="preserve">3 </w:t>
      </w:r>
      <w:r w:rsidR="00B939C5" w:rsidRPr="00701439">
        <w:rPr>
          <w:i/>
          <w:iCs/>
          <w:sz w:val="20"/>
          <w:szCs w:val="20"/>
          <w:vertAlign w:val="superscript"/>
        </w:rPr>
        <w:tab/>
      </w:r>
      <w:r w:rsidR="000A4DB3" w:rsidRPr="00701439">
        <w:rPr>
          <w:i/>
          <w:iCs/>
          <w:sz w:val="20"/>
          <w:szCs w:val="20"/>
        </w:rPr>
        <w:t xml:space="preserve">Statutory </w:t>
      </w:r>
      <w:proofErr w:type="gramStart"/>
      <w:r w:rsidR="000A4DB3" w:rsidRPr="00701439">
        <w:rPr>
          <w:i/>
          <w:iCs/>
          <w:sz w:val="20"/>
          <w:szCs w:val="20"/>
        </w:rPr>
        <w:t>profit</w:t>
      </w:r>
      <w:proofErr w:type="gramEnd"/>
      <w:r w:rsidR="000A4DB3" w:rsidRPr="00701439">
        <w:rPr>
          <w:i/>
          <w:iCs/>
          <w:sz w:val="20"/>
          <w:szCs w:val="20"/>
        </w:rPr>
        <w:t xml:space="preserve"> before tax </w:t>
      </w:r>
      <w:r w:rsidR="004628C1" w:rsidRPr="00701439">
        <w:rPr>
          <w:i/>
          <w:iCs/>
          <w:sz w:val="20"/>
          <w:szCs w:val="20"/>
        </w:rPr>
        <w:t>from continuing operations is stated before any losses incurred relating to CCD</w:t>
      </w:r>
      <w:r w:rsidR="007E4865" w:rsidRPr="00701439">
        <w:rPr>
          <w:i/>
          <w:iCs/>
          <w:sz w:val="20"/>
          <w:szCs w:val="20"/>
        </w:rPr>
        <w:t>.</w:t>
      </w:r>
    </w:p>
    <w:p w14:paraId="0259C774" w14:textId="14419DFE" w:rsidR="009964B7" w:rsidRPr="00701439" w:rsidRDefault="004B2697" w:rsidP="008173FD">
      <w:pPr>
        <w:pStyle w:val="NoSpacing"/>
        <w:ind w:left="284" w:hanging="284"/>
        <w:jc w:val="both"/>
        <w:rPr>
          <w:i/>
          <w:iCs/>
          <w:sz w:val="20"/>
          <w:szCs w:val="20"/>
        </w:rPr>
      </w:pPr>
      <w:r w:rsidRPr="00701439">
        <w:rPr>
          <w:i/>
          <w:iCs/>
          <w:sz w:val="20"/>
          <w:szCs w:val="20"/>
          <w:vertAlign w:val="superscript"/>
        </w:rPr>
        <w:t>4</w:t>
      </w:r>
      <w:r w:rsidR="009964B7" w:rsidRPr="00701439">
        <w:rPr>
          <w:i/>
          <w:iCs/>
          <w:sz w:val="20"/>
          <w:szCs w:val="20"/>
        </w:rPr>
        <w:t xml:space="preserve"> </w:t>
      </w:r>
      <w:r w:rsidR="008173FD" w:rsidRPr="00701439">
        <w:rPr>
          <w:i/>
          <w:iCs/>
          <w:sz w:val="20"/>
          <w:szCs w:val="20"/>
        </w:rPr>
        <w:tab/>
      </w:r>
      <w:r w:rsidR="009964B7" w:rsidRPr="00701439">
        <w:rPr>
          <w:rFonts w:cstheme="minorHAnsi"/>
          <w:i/>
          <w:iCs/>
          <w:sz w:val="20"/>
          <w:szCs w:val="20"/>
        </w:rPr>
        <w:t xml:space="preserve">In line with our continued repositioning as a specialist banking group, the Group has taken the decision in the current year to change the presentation of our Income Statement to align with the wider banking industry. See page </w:t>
      </w:r>
      <w:r w:rsidR="00882954">
        <w:rPr>
          <w:rFonts w:cstheme="minorHAnsi"/>
          <w:i/>
          <w:iCs/>
          <w:sz w:val="20"/>
          <w:szCs w:val="20"/>
        </w:rPr>
        <w:t>22</w:t>
      </w:r>
      <w:r w:rsidR="009964B7" w:rsidRPr="00701439">
        <w:rPr>
          <w:rFonts w:cstheme="minorHAnsi"/>
          <w:i/>
          <w:iCs/>
          <w:sz w:val="20"/>
          <w:szCs w:val="20"/>
        </w:rPr>
        <w:t xml:space="preserve"> in the statement of accounting policies for further details on the change in presentation. In line with these changes and to </w:t>
      </w:r>
      <w:proofErr w:type="gramStart"/>
      <w:r w:rsidR="009964B7" w:rsidRPr="00701439">
        <w:rPr>
          <w:rFonts w:cstheme="minorHAnsi"/>
          <w:i/>
          <w:iCs/>
          <w:sz w:val="20"/>
          <w:szCs w:val="20"/>
        </w:rPr>
        <w:t>more closely align to our peers</w:t>
      </w:r>
      <w:proofErr w:type="gramEnd"/>
      <w:r w:rsidR="009964B7" w:rsidRPr="00701439">
        <w:rPr>
          <w:rFonts w:cstheme="minorHAnsi"/>
          <w:i/>
          <w:iCs/>
          <w:sz w:val="20"/>
          <w:szCs w:val="20"/>
        </w:rPr>
        <w:t xml:space="preserve"> in the industry, the Group have implemented updated APM’s to provide more relevant and reliable information for stakeholders. The changes to APM’s are summarised </w:t>
      </w:r>
      <w:r w:rsidR="00585771" w:rsidRPr="00701439">
        <w:rPr>
          <w:rFonts w:cstheme="minorHAnsi"/>
          <w:i/>
          <w:iCs/>
          <w:sz w:val="20"/>
          <w:szCs w:val="20"/>
        </w:rPr>
        <w:t>at</w:t>
      </w:r>
      <w:r w:rsidR="00585CEA" w:rsidRPr="00701439">
        <w:rPr>
          <w:rFonts w:cstheme="minorHAnsi"/>
          <w:i/>
          <w:iCs/>
          <w:sz w:val="20"/>
          <w:szCs w:val="20"/>
        </w:rPr>
        <w:t xml:space="preserve"> the end</w:t>
      </w:r>
      <w:r w:rsidR="006A57F3" w:rsidRPr="00701439">
        <w:rPr>
          <w:rFonts w:cstheme="minorHAnsi"/>
          <w:i/>
          <w:iCs/>
          <w:sz w:val="20"/>
          <w:szCs w:val="20"/>
        </w:rPr>
        <w:t xml:space="preserve"> </w:t>
      </w:r>
      <w:r w:rsidR="002E7EE3" w:rsidRPr="00701439">
        <w:rPr>
          <w:rFonts w:cstheme="minorHAnsi"/>
          <w:i/>
          <w:iCs/>
          <w:sz w:val="20"/>
          <w:szCs w:val="20"/>
        </w:rPr>
        <w:t xml:space="preserve">of this report </w:t>
      </w:r>
      <w:r w:rsidR="009964B7" w:rsidRPr="00701439">
        <w:rPr>
          <w:rFonts w:cstheme="minorHAnsi"/>
          <w:i/>
          <w:iCs/>
          <w:sz w:val="20"/>
          <w:szCs w:val="20"/>
        </w:rPr>
        <w:t xml:space="preserve">and all presented APM’s have been retrospectively </w:t>
      </w:r>
      <w:r w:rsidR="00CC7AD7" w:rsidRPr="00701439">
        <w:rPr>
          <w:rFonts w:cstheme="minorHAnsi"/>
          <w:i/>
          <w:iCs/>
          <w:sz w:val="20"/>
          <w:szCs w:val="20"/>
        </w:rPr>
        <w:t>re</w:t>
      </w:r>
      <w:r w:rsidR="000C6B14" w:rsidRPr="00701439">
        <w:rPr>
          <w:rFonts w:cstheme="minorHAnsi"/>
          <w:i/>
          <w:iCs/>
          <w:sz w:val="20"/>
          <w:szCs w:val="20"/>
        </w:rPr>
        <w:t>-</w:t>
      </w:r>
      <w:r w:rsidR="00CC7AD7" w:rsidRPr="00701439">
        <w:rPr>
          <w:rFonts w:cstheme="minorHAnsi"/>
          <w:i/>
          <w:iCs/>
          <w:sz w:val="20"/>
          <w:szCs w:val="20"/>
        </w:rPr>
        <w:t xml:space="preserve">presented </w:t>
      </w:r>
      <w:r w:rsidR="009964B7" w:rsidRPr="00701439">
        <w:rPr>
          <w:rFonts w:cstheme="minorHAnsi"/>
          <w:i/>
          <w:iCs/>
          <w:sz w:val="20"/>
          <w:szCs w:val="20"/>
        </w:rPr>
        <w:t>in line with these changes. Unless stated below all other APM’s are presented consistently with prior years.</w:t>
      </w:r>
      <w:r w:rsidR="009964B7" w:rsidRPr="00701439">
        <w:rPr>
          <w:i/>
          <w:iCs/>
          <w:sz w:val="20"/>
          <w:szCs w:val="20"/>
        </w:rPr>
        <w:t xml:space="preserve">   </w:t>
      </w:r>
    </w:p>
    <w:p w14:paraId="72BDE9FD" w14:textId="77777777" w:rsidR="00180D36" w:rsidRPr="00701439" w:rsidRDefault="00180D36" w:rsidP="00BC11C8">
      <w:pPr>
        <w:pStyle w:val="NoSpacing"/>
        <w:jc w:val="both"/>
        <w:rPr>
          <w:i/>
          <w:iCs/>
          <w:sz w:val="20"/>
          <w:szCs w:val="20"/>
        </w:rPr>
      </w:pPr>
    </w:p>
    <w:p w14:paraId="04B36ABC" w14:textId="09723CAF" w:rsidR="00E75875" w:rsidRPr="00701439" w:rsidRDefault="00E75875" w:rsidP="00E534C5">
      <w:pPr>
        <w:pStyle w:val="NoSpacing"/>
        <w:tabs>
          <w:tab w:val="left" w:pos="5529"/>
        </w:tabs>
        <w:jc w:val="both"/>
        <w:rPr>
          <w:sz w:val="20"/>
          <w:szCs w:val="20"/>
        </w:rPr>
      </w:pPr>
      <w:r w:rsidRPr="00701439">
        <w:rPr>
          <w:sz w:val="20"/>
          <w:szCs w:val="20"/>
        </w:rPr>
        <w:t>The Group reported an adjusted profit before tax from continuing operations of £1</w:t>
      </w:r>
      <w:r w:rsidR="00EC169D" w:rsidRPr="00701439">
        <w:rPr>
          <w:sz w:val="20"/>
          <w:szCs w:val="20"/>
        </w:rPr>
        <w:t>2</w:t>
      </w:r>
      <w:r w:rsidR="009877B6" w:rsidRPr="00701439">
        <w:rPr>
          <w:sz w:val="20"/>
          <w:szCs w:val="20"/>
        </w:rPr>
        <w:t>6</w:t>
      </w:r>
      <w:r w:rsidRPr="00701439">
        <w:rPr>
          <w:sz w:val="20"/>
          <w:szCs w:val="20"/>
        </w:rPr>
        <w:t>.</w:t>
      </w:r>
      <w:r w:rsidR="009877B6" w:rsidRPr="00701439">
        <w:rPr>
          <w:sz w:val="20"/>
          <w:szCs w:val="20"/>
        </w:rPr>
        <w:t>6</w:t>
      </w:r>
      <w:r w:rsidRPr="00701439">
        <w:rPr>
          <w:sz w:val="20"/>
          <w:szCs w:val="20"/>
        </w:rPr>
        <w:t>m (FY’2</w:t>
      </w:r>
      <w:r w:rsidR="001E0DA7" w:rsidRPr="00701439">
        <w:rPr>
          <w:sz w:val="20"/>
          <w:szCs w:val="20"/>
        </w:rPr>
        <w:t>1</w:t>
      </w:r>
      <w:r w:rsidRPr="00701439">
        <w:rPr>
          <w:sz w:val="20"/>
          <w:szCs w:val="20"/>
        </w:rPr>
        <w:t>: £</w:t>
      </w:r>
      <w:r w:rsidR="001E0DA7" w:rsidRPr="00701439">
        <w:rPr>
          <w:sz w:val="20"/>
          <w:szCs w:val="20"/>
        </w:rPr>
        <w:t>16</w:t>
      </w:r>
      <w:r w:rsidRPr="00701439">
        <w:rPr>
          <w:sz w:val="20"/>
          <w:szCs w:val="20"/>
        </w:rPr>
        <w:t xml:space="preserve">7.8m), which reflects </w:t>
      </w:r>
      <w:r w:rsidR="005A0868" w:rsidRPr="00701439">
        <w:rPr>
          <w:sz w:val="20"/>
          <w:szCs w:val="20"/>
        </w:rPr>
        <w:t>an improvement year-on-year in</w:t>
      </w:r>
      <w:r w:rsidR="00D82A7A" w:rsidRPr="00701439">
        <w:rPr>
          <w:sz w:val="20"/>
          <w:szCs w:val="20"/>
        </w:rPr>
        <w:t xml:space="preserve"> divisional profits being offset by higher central costs</w:t>
      </w:r>
      <w:r w:rsidR="005E6BF8" w:rsidRPr="00701439">
        <w:rPr>
          <w:sz w:val="20"/>
          <w:szCs w:val="20"/>
        </w:rPr>
        <w:t xml:space="preserve"> </w:t>
      </w:r>
      <w:proofErr w:type="gramStart"/>
      <w:r w:rsidR="005E6BF8" w:rsidRPr="00701439">
        <w:rPr>
          <w:sz w:val="20"/>
          <w:szCs w:val="20"/>
        </w:rPr>
        <w:t>as a result of</w:t>
      </w:r>
      <w:proofErr w:type="gramEnd"/>
      <w:r w:rsidR="005E6BF8" w:rsidRPr="00701439">
        <w:rPr>
          <w:sz w:val="20"/>
          <w:szCs w:val="20"/>
        </w:rPr>
        <w:t xml:space="preserve"> increased Transformation &amp; Change spend </w:t>
      </w:r>
      <w:r w:rsidR="00765EA2" w:rsidRPr="00701439">
        <w:rPr>
          <w:sz w:val="20"/>
          <w:szCs w:val="20"/>
        </w:rPr>
        <w:t>and the roll out of the shared services model</w:t>
      </w:r>
      <w:r w:rsidRPr="00701439">
        <w:rPr>
          <w:sz w:val="20"/>
          <w:szCs w:val="20"/>
        </w:rPr>
        <w:t xml:space="preserve">. Including amortisation of intangibles, CCD discontinued operations and exceptional items, </w:t>
      </w:r>
      <w:r w:rsidR="000E3424" w:rsidRPr="00701439">
        <w:rPr>
          <w:sz w:val="20"/>
          <w:szCs w:val="20"/>
        </w:rPr>
        <w:t xml:space="preserve">all of which reduced significantly versus FY’21, </w:t>
      </w:r>
      <w:r w:rsidRPr="00701439">
        <w:rPr>
          <w:sz w:val="20"/>
          <w:szCs w:val="20"/>
        </w:rPr>
        <w:t>the Group PBT was £</w:t>
      </w:r>
      <w:r w:rsidR="00045596" w:rsidRPr="00701439">
        <w:rPr>
          <w:sz w:val="20"/>
          <w:szCs w:val="20"/>
        </w:rPr>
        <w:t>9</w:t>
      </w:r>
      <w:r w:rsidR="00CD47FD" w:rsidRPr="00701439">
        <w:rPr>
          <w:sz w:val="20"/>
          <w:szCs w:val="20"/>
        </w:rPr>
        <w:t>9</w:t>
      </w:r>
      <w:r w:rsidRPr="00701439">
        <w:rPr>
          <w:sz w:val="20"/>
          <w:szCs w:val="20"/>
        </w:rPr>
        <w:t>.</w:t>
      </w:r>
      <w:r w:rsidR="00CD47FD" w:rsidRPr="00701439">
        <w:rPr>
          <w:sz w:val="20"/>
          <w:szCs w:val="20"/>
        </w:rPr>
        <w:t>4</w:t>
      </w:r>
      <w:r w:rsidRPr="00701439">
        <w:rPr>
          <w:sz w:val="20"/>
          <w:szCs w:val="20"/>
        </w:rPr>
        <w:t>m (FY’</w:t>
      </w:r>
      <w:r w:rsidR="00CC5986" w:rsidRPr="00701439">
        <w:rPr>
          <w:sz w:val="20"/>
          <w:szCs w:val="20"/>
        </w:rPr>
        <w:t>21:</w:t>
      </w:r>
      <w:r w:rsidRPr="00701439">
        <w:rPr>
          <w:sz w:val="20"/>
          <w:szCs w:val="20"/>
        </w:rPr>
        <w:t xml:space="preserve"> £</w:t>
      </w:r>
      <w:r w:rsidR="001E0DA7" w:rsidRPr="00701439">
        <w:rPr>
          <w:sz w:val="20"/>
          <w:szCs w:val="20"/>
        </w:rPr>
        <w:t>4.1</w:t>
      </w:r>
      <w:r w:rsidRPr="00701439">
        <w:rPr>
          <w:sz w:val="20"/>
          <w:szCs w:val="20"/>
        </w:rPr>
        <w:t xml:space="preserve">m). </w:t>
      </w:r>
    </w:p>
    <w:p w14:paraId="11E80CA6" w14:textId="3B503BA0" w:rsidR="005A08A8" w:rsidRPr="00701439" w:rsidRDefault="005A08A8" w:rsidP="00E534C5">
      <w:pPr>
        <w:pStyle w:val="NoSpacing"/>
        <w:tabs>
          <w:tab w:val="left" w:pos="5529"/>
        </w:tabs>
        <w:jc w:val="both"/>
        <w:rPr>
          <w:sz w:val="20"/>
          <w:szCs w:val="20"/>
        </w:rPr>
      </w:pPr>
    </w:p>
    <w:p w14:paraId="5B1E3E6C" w14:textId="7369F7F8" w:rsidR="00F01EC8" w:rsidRPr="00701439" w:rsidRDefault="00124A1F" w:rsidP="00E534C5">
      <w:pPr>
        <w:pStyle w:val="NoSpacing"/>
        <w:jc w:val="both"/>
        <w:rPr>
          <w:sz w:val="20"/>
          <w:szCs w:val="20"/>
        </w:rPr>
      </w:pPr>
      <w:r w:rsidRPr="00701439">
        <w:rPr>
          <w:sz w:val="20"/>
          <w:szCs w:val="20"/>
        </w:rPr>
        <w:t>The credit card business</w:t>
      </w:r>
      <w:r w:rsidR="00F01EC8" w:rsidRPr="00701439">
        <w:rPr>
          <w:sz w:val="20"/>
          <w:szCs w:val="20"/>
        </w:rPr>
        <w:t xml:space="preserve"> reported </w:t>
      </w:r>
      <w:r w:rsidRPr="00701439">
        <w:rPr>
          <w:sz w:val="20"/>
          <w:szCs w:val="20"/>
        </w:rPr>
        <w:t xml:space="preserve">adjusted </w:t>
      </w:r>
      <w:r w:rsidR="00F01EC8" w:rsidRPr="00701439">
        <w:rPr>
          <w:sz w:val="20"/>
          <w:szCs w:val="20"/>
        </w:rPr>
        <w:t xml:space="preserve">profit before tax for the period of </w:t>
      </w:r>
      <w:r w:rsidRPr="00701439">
        <w:rPr>
          <w:sz w:val="20"/>
          <w:szCs w:val="20"/>
        </w:rPr>
        <w:t>£17</w:t>
      </w:r>
      <w:r w:rsidR="00001F7A" w:rsidRPr="00701439">
        <w:rPr>
          <w:sz w:val="20"/>
          <w:szCs w:val="20"/>
        </w:rPr>
        <w:t>8</w:t>
      </w:r>
      <w:r w:rsidRPr="00701439">
        <w:rPr>
          <w:sz w:val="20"/>
          <w:szCs w:val="20"/>
        </w:rPr>
        <w:t>.</w:t>
      </w:r>
      <w:r w:rsidR="00001F7A" w:rsidRPr="00701439">
        <w:rPr>
          <w:sz w:val="20"/>
          <w:szCs w:val="20"/>
        </w:rPr>
        <w:t>5</w:t>
      </w:r>
      <w:r w:rsidRPr="00701439">
        <w:rPr>
          <w:sz w:val="20"/>
          <w:szCs w:val="20"/>
        </w:rPr>
        <w:t>m (FY’2</w:t>
      </w:r>
      <w:r w:rsidR="001E0DA7" w:rsidRPr="00701439">
        <w:rPr>
          <w:sz w:val="20"/>
          <w:szCs w:val="20"/>
        </w:rPr>
        <w:t>1</w:t>
      </w:r>
      <w:r w:rsidRPr="00701439">
        <w:rPr>
          <w:sz w:val="20"/>
          <w:szCs w:val="20"/>
        </w:rPr>
        <w:t xml:space="preserve">: </w:t>
      </w:r>
      <w:r w:rsidR="00F01EC8" w:rsidRPr="00701439">
        <w:rPr>
          <w:sz w:val="20"/>
          <w:szCs w:val="20"/>
        </w:rPr>
        <w:t>£</w:t>
      </w:r>
      <w:r w:rsidR="001E0DA7" w:rsidRPr="00701439">
        <w:rPr>
          <w:sz w:val="20"/>
          <w:szCs w:val="20"/>
        </w:rPr>
        <w:t>173.9</w:t>
      </w:r>
      <w:r w:rsidRPr="00701439">
        <w:rPr>
          <w:sz w:val="20"/>
          <w:szCs w:val="20"/>
        </w:rPr>
        <w:t>m)</w:t>
      </w:r>
      <w:r w:rsidR="00F01EC8" w:rsidRPr="00701439">
        <w:rPr>
          <w:sz w:val="20"/>
          <w:szCs w:val="20"/>
        </w:rPr>
        <w:t xml:space="preserve"> and receivables ended the period at </w:t>
      </w:r>
      <w:r w:rsidRPr="00701439">
        <w:rPr>
          <w:sz w:val="20"/>
          <w:szCs w:val="20"/>
        </w:rPr>
        <w:t>£1,</w:t>
      </w:r>
      <w:r w:rsidR="00581AA0" w:rsidRPr="00701439">
        <w:rPr>
          <w:sz w:val="20"/>
          <w:szCs w:val="20"/>
        </w:rPr>
        <w:t>182</w:t>
      </w:r>
      <w:r w:rsidRPr="00701439">
        <w:rPr>
          <w:sz w:val="20"/>
          <w:szCs w:val="20"/>
        </w:rPr>
        <w:t>m (FY’2</w:t>
      </w:r>
      <w:r w:rsidR="001E0DA7" w:rsidRPr="00701439">
        <w:rPr>
          <w:sz w:val="20"/>
          <w:szCs w:val="20"/>
        </w:rPr>
        <w:t>1</w:t>
      </w:r>
      <w:r w:rsidRPr="00701439">
        <w:rPr>
          <w:sz w:val="20"/>
          <w:szCs w:val="20"/>
        </w:rPr>
        <w:t xml:space="preserve">: </w:t>
      </w:r>
      <w:r w:rsidR="00F01EC8" w:rsidRPr="00701439">
        <w:rPr>
          <w:sz w:val="20"/>
          <w:szCs w:val="20"/>
        </w:rPr>
        <w:t>£</w:t>
      </w:r>
      <w:r w:rsidRPr="00701439">
        <w:rPr>
          <w:sz w:val="20"/>
          <w:szCs w:val="20"/>
        </w:rPr>
        <w:t>1,0</w:t>
      </w:r>
      <w:r w:rsidR="001E0DA7" w:rsidRPr="00701439">
        <w:rPr>
          <w:sz w:val="20"/>
          <w:szCs w:val="20"/>
        </w:rPr>
        <w:t>63</w:t>
      </w:r>
      <w:r w:rsidRPr="00701439">
        <w:rPr>
          <w:sz w:val="20"/>
          <w:szCs w:val="20"/>
        </w:rPr>
        <w:t>m).</w:t>
      </w:r>
      <w:r w:rsidR="005A08A8" w:rsidRPr="00701439">
        <w:rPr>
          <w:sz w:val="20"/>
          <w:szCs w:val="20"/>
        </w:rPr>
        <w:t xml:space="preserve"> </w:t>
      </w:r>
      <w:r w:rsidRPr="00701439">
        <w:rPr>
          <w:sz w:val="20"/>
          <w:szCs w:val="20"/>
        </w:rPr>
        <w:t>The vehicle finance business</w:t>
      </w:r>
      <w:r w:rsidR="00F01EC8" w:rsidRPr="00701439">
        <w:rPr>
          <w:sz w:val="20"/>
          <w:szCs w:val="20"/>
        </w:rPr>
        <w:t xml:space="preserve"> generated a</w:t>
      </w:r>
      <w:r w:rsidR="00DD47E1" w:rsidRPr="00701439">
        <w:rPr>
          <w:sz w:val="20"/>
          <w:szCs w:val="20"/>
        </w:rPr>
        <w:t>djusted</w:t>
      </w:r>
      <w:r w:rsidR="00F01EC8" w:rsidRPr="00701439">
        <w:rPr>
          <w:sz w:val="20"/>
          <w:szCs w:val="20"/>
        </w:rPr>
        <w:t xml:space="preserve"> profit before tax of </w:t>
      </w:r>
      <w:r w:rsidRPr="00701439">
        <w:rPr>
          <w:sz w:val="20"/>
          <w:szCs w:val="20"/>
        </w:rPr>
        <w:t>£</w:t>
      </w:r>
      <w:r w:rsidR="007A5EAA" w:rsidRPr="00701439">
        <w:rPr>
          <w:sz w:val="20"/>
          <w:szCs w:val="20"/>
        </w:rPr>
        <w:t>38</w:t>
      </w:r>
      <w:r w:rsidR="00FA060F" w:rsidRPr="00701439">
        <w:rPr>
          <w:sz w:val="20"/>
          <w:szCs w:val="20"/>
        </w:rPr>
        <w:t>.</w:t>
      </w:r>
      <w:r w:rsidR="007A5EAA" w:rsidRPr="00701439">
        <w:rPr>
          <w:sz w:val="20"/>
          <w:szCs w:val="20"/>
        </w:rPr>
        <w:t>0</w:t>
      </w:r>
      <w:r w:rsidRPr="00701439">
        <w:rPr>
          <w:sz w:val="20"/>
          <w:szCs w:val="20"/>
        </w:rPr>
        <w:t>m (FY’2</w:t>
      </w:r>
      <w:r w:rsidR="001E0DA7" w:rsidRPr="00701439">
        <w:rPr>
          <w:sz w:val="20"/>
          <w:szCs w:val="20"/>
        </w:rPr>
        <w:t>1</w:t>
      </w:r>
      <w:r w:rsidRPr="00701439">
        <w:rPr>
          <w:sz w:val="20"/>
          <w:szCs w:val="20"/>
        </w:rPr>
        <w:t xml:space="preserve">: </w:t>
      </w:r>
      <w:r w:rsidR="00F01EC8" w:rsidRPr="00701439">
        <w:rPr>
          <w:sz w:val="20"/>
          <w:szCs w:val="20"/>
        </w:rPr>
        <w:t>£</w:t>
      </w:r>
      <w:r w:rsidR="001E0DA7" w:rsidRPr="00701439">
        <w:rPr>
          <w:sz w:val="20"/>
          <w:szCs w:val="20"/>
        </w:rPr>
        <w:t>28</w:t>
      </w:r>
      <w:r w:rsidR="00656920" w:rsidRPr="00701439">
        <w:rPr>
          <w:sz w:val="20"/>
          <w:szCs w:val="20"/>
        </w:rPr>
        <w:t>.9</w:t>
      </w:r>
      <w:r w:rsidR="00F01EC8" w:rsidRPr="00701439">
        <w:rPr>
          <w:sz w:val="20"/>
          <w:szCs w:val="20"/>
        </w:rPr>
        <w:t>m</w:t>
      </w:r>
      <w:r w:rsidRPr="00701439">
        <w:rPr>
          <w:sz w:val="20"/>
          <w:szCs w:val="20"/>
        </w:rPr>
        <w:t>) and receivables ended the period at £</w:t>
      </w:r>
      <w:r w:rsidR="00B774BE" w:rsidRPr="00701439">
        <w:rPr>
          <w:sz w:val="20"/>
          <w:szCs w:val="20"/>
        </w:rPr>
        <w:t>64</w:t>
      </w:r>
      <w:r w:rsidR="00FA060F" w:rsidRPr="00701439">
        <w:rPr>
          <w:sz w:val="20"/>
          <w:szCs w:val="20"/>
        </w:rPr>
        <w:t>6</w:t>
      </w:r>
      <w:r w:rsidRPr="00701439">
        <w:rPr>
          <w:sz w:val="20"/>
          <w:szCs w:val="20"/>
        </w:rPr>
        <w:t>m (FY’2</w:t>
      </w:r>
      <w:r w:rsidR="00511823" w:rsidRPr="00701439">
        <w:rPr>
          <w:sz w:val="20"/>
          <w:szCs w:val="20"/>
        </w:rPr>
        <w:t>1</w:t>
      </w:r>
      <w:r w:rsidRPr="00701439">
        <w:rPr>
          <w:sz w:val="20"/>
          <w:szCs w:val="20"/>
        </w:rPr>
        <w:t>: £5</w:t>
      </w:r>
      <w:r w:rsidR="00511823" w:rsidRPr="00701439">
        <w:rPr>
          <w:sz w:val="20"/>
          <w:szCs w:val="20"/>
        </w:rPr>
        <w:t>86</w:t>
      </w:r>
      <w:r w:rsidRPr="00701439">
        <w:rPr>
          <w:sz w:val="20"/>
          <w:szCs w:val="20"/>
        </w:rPr>
        <w:t xml:space="preserve">m). </w:t>
      </w:r>
      <w:r w:rsidR="00917923" w:rsidRPr="00701439">
        <w:rPr>
          <w:sz w:val="20"/>
          <w:szCs w:val="20"/>
        </w:rPr>
        <w:t>CCD</w:t>
      </w:r>
      <w:r w:rsidRPr="00701439">
        <w:rPr>
          <w:sz w:val="20"/>
          <w:szCs w:val="20"/>
        </w:rPr>
        <w:t xml:space="preserve"> </w:t>
      </w:r>
      <w:r w:rsidR="00F01EC8" w:rsidRPr="00701439">
        <w:rPr>
          <w:sz w:val="20"/>
          <w:szCs w:val="20"/>
        </w:rPr>
        <w:t xml:space="preserve">reported a loss before tax of </w:t>
      </w:r>
      <w:r w:rsidRPr="00701439">
        <w:rPr>
          <w:sz w:val="20"/>
          <w:szCs w:val="20"/>
        </w:rPr>
        <w:t>£</w:t>
      </w:r>
      <w:r w:rsidR="00FE5507" w:rsidRPr="00701439">
        <w:rPr>
          <w:sz w:val="20"/>
          <w:szCs w:val="20"/>
        </w:rPr>
        <w:t>1</w:t>
      </w:r>
      <w:r w:rsidR="007F73DB" w:rsidRPr="00701439">
        <w:rPr>
          <w:sz w:val="20"/>
          <w:szCs w:val="20"/>
        </w:rPr>
        <w:t>0</w:t>
      </w:r>
      <w:r w:rsidRPr="00701439">
        <w:rPr>
          <w:sz w:val="20"/>
          <w:szCs w:val="20"/>
        </w:rPr>
        <w:t>.</w:t>
      </w:r>
      <w:r w:rsidR="007F73DB" w:rsidRPr="00701439">
        <w:rPr>
          <w:sz w:val="20"/>
          <w:szCs w:val="20"/>
        </w:rPr>
        <w:t>7</w:t>
      </w:r>
      <w:r w:rsidRPr="00701439">
        <w:rPr>
          <w:sz w:val="20"/>
          <w:szCs w:val="20"/>
        </w:rPr>
        <w:t>m (FY’2</w:t>
      </w:r>
      <w:r w:rsidR="00511823" w:rsidRPr="00701439">
        <w:rPr>
          <w:sz w:val="20"/>
          <w:szCs w:val="20"/>
        </w:rPr>
        <w:t>1</w:t>
      </w:r>
      <w:r w:rsidRPr="00701439">
        <w:rPr>
          <w:sz w:val="20"/>
          <w:szCs w:val="20"/>
        </w:rPr>
        <w:t xml:space="preserve">: </w:t>
      </w:r>
      <w:r w:rsidR="00F01EC8" w:rsidRPr="00701439">
        <w:rPr>
          <w:sz w:val="20"/>
          <w:szCs w:val="20"/>
        </w:rPr>
        <w:t>£</w:t>
      </w:r>
      <w:r w:rsidR="00262FE6" w:rsidRPr="00701439">
        <w:rPr>
          <w:sz w:val="20"/>
          <w:szCs w:val="20"/>
        </w:rPr>
        <w:t>138</w:t>
      </w:r>
      <w:r w:rsidR="00511823" w:rsidRPr="00701439">
        <w:rPr>
          <w:sz w:val="20"/>
          <w:szCs w:val="20"/>
        </w:rPr>
        <w:t>.</w:t>
      </w:r>
      <w:r w:rsidR="00CE5C26" w:rsidRPr="00701439">
        <w:rPr>
          <w:sz w:val="20"/>
          <w:szCs w:val="20"/>
        </w:rPr>
        <w:t>1</w:t>
      </w:r>
      <w:r w:rsidR="00F01EC8" w:rsidRPr="00701439">
        <w:rPr>
          <w:sz w:val="20"/>
          <w:szCs w:val="20"/>
        </w:rPr>
        <w:t>m</w:t>
      </w:r>
      <w:r w:rsidRPr="00701439">
        <w:rPr>
          <w:sz w:val="20"/>
          <w:szCs w:val="20"/>
        </w:rPr>
        <w:t>)</w:t>
      </w:r>
      <w:r w:rsidR="00F01EC8" w:rsidRPr="00701439">
        <w:rPr>
          <w:sz w:val="20"/>
          <w:szCs w:val="20"/>
        </w:rPr>
        <w:t>.</w:t>
      </w:r>
      <w:r w:rsidRPr="00701439">
        <w:rPr>
          <w:sz w:val="20"/>
          <w:szCs w:val="20"/>
        </w:rPr>
        <w:t xml:space="preserve"> </w:t>
      </w:r>
    </w:p>
    <w:p w14:paraId="324D8E1A" w14:textId="77777777" w:rsidR="00F01EC8" w:rsidRPr="00701439" w:rsidRDefault="00F01EC8" w:rsidP="00E534C5">
      <w:pPr>
        <w:pStyle w:val="NoSpacing"/>
        <w:jc w:val="both"/>
        <w:rPr>
          <w:rStyle w:val="Strong"/>
          <w:sz w:val="20"/>
          <w:szCs w:val="20"/>
        </w:rPr>
      </w:pPr>
    </w:p>
    <w:p w14:paraId="726C6414" w14:textId="2C7C4259" w:rsidR="00917923" w:rsidRPr="00701439" w:rsidRDefault="00917923" w:rsidP="00917923">
      <w:pPr>
        <w:pStyle w:val="NoSpacing"/>
        <w:jc w:val="both"/>
        <w:rPr>
          <w:rStyle w:val="Strong"/>
          <w:b w:val="0"/>
          <w:sz w:val="20"/>
          <w:szCs w:val="20"/>
        </w:rPr>
      </w:pPr>
      <w:r w:rsidRPr="00701439">
        <w:rPr>
          <w:rStyle w:val="Strong"/>
          <w:b w:val="0"/>
          <w:sz w:val="20"/>
          <w:szCs w:val="20"/>
        </w:rPr>
        <w:lastRenderedPageBreak/>
        <w:t xml:space="preserve">On an adjusted continuing basis, the Group reported an adjusted basic EPS of </w:t>
      </w:r>
      <w:r w:rsidR="00377A9E" w:rsidRPr="00701439">
        <w:rPr>
          <w:rStyle w:val="Strong"/>
          <w:b w:val="0"/>
          <w:sz w:val="20"/>
          <w:szCs w:val="20"/>
        </w:rPr>
        <w:t>38.7</w:t>
      </w:r>
      <w:r w:rsidR="003A6AE4" w:rsidRPr="00701439">
        <w:rPr>
          <w:rStyle w:val="Strong"/>
          <w:b w:val="0"/>
          <w:sz w:val="20"/>
          <w:szCs w:val="20"/>
        </w:rPr>
        <w:t>p</w:t>
      </w:r>
      <w:r w:rsidRPr="00701439">
        <w:rPr>
          <w:rStyle w:val="Strong"/>
          <w:b w:val="0"/>
          <w:sz w:val="20"/>
          <w:szCs w:val="20"/>
        </w:rPr>
        <w:t xml:space="preserve"> (FY’2</w:t>
      </w:r>
      <w:r w:rsidR="00EA2A9D" w:rsidRPr="00701439">
        <w:rPr>
          <w:rStyle w:val="Strong"/>
          <w:b w:val="0"/>
          <w:sz w:val="20"/>
          <w:szCs w:val="20"/>
        </w:rPr>
        <w:t>1</w:t>
      </w:r>
      <w:r w:rsidRPr="00701439">
        <w:rPr>
          <w:rStyle w:val="Strong"/>
          <w:b w:val="0"/>
          <w:sz w:val="20"/>
          <w:szCs w:val="20"/>
        </w:rPr>
        <w:t xml:space="preserve">: </w:t>
      </w:r>
      <w:r w:rsidR="00EA2A9D" w:rsidRPr="00701439">
        <w:rPr>
          <w:rStyle w:val="Strong"/>
          <w:b w:val="0"/>
          <w:sz w:val="20"/>
          <w:szCs w:val="20"/>
        </w:rPr>
        <w:t>57.5</w:t>
      </w:r>
      <w:r w:rsidRPr="00701439">
        <w:rPr>
          <w:rStyle w:val="Strong"/>
          <w:b w:val="0"/>
          <w:sz w:val="20"/>
          <w:szCs w:val="20"/>
        </w:rPr>
        <w:t xml:space="preserve">p) and a basic EPS of </w:t>
      </w:r>
      <w:r w:rsidR="003A6AE4" w:rsidRPr="00701439">
        <w:rPr>
          <w:rStyle w:val="Strong"/>
          <w:b w:val="0"/>
          <w:sz w:val="20"/>
          <w:szCs w:val="20"/>
        </w:rPr>
        <w:t>32.8p</w:t>
      </w:r>
      <w:r w:rsidRPr="00701439">
        <w:rPr>
          <w:rStyle w:val="Strong"/>
          <w:b w:val="0"/>
          <w:sz w:val="20"/>
          <w:szCs w:val="20"/>
        </w:rPr>
        <w:t xml:space="preserve"> for FY’2</w:t>
      </w:r>
      <w:r w:rsidR="00EA2A9D" w:rsidRPr="00701439">
        <w:rPr>
          <w:rStyle w:val="Strong"/>
          <w:b w:val="0"/>
          <w:sz w:val="20"/>
          <w:szCs w:val="20"/>
        </w:rPr>
        <w:t>2</w:t>
      </w:r>
      <w:r w:rsidRPr="00701439">
        <w:rPr>
          <w:rStyle w:val="Strong"/>
          <w:b w:val="0"/>
          <w:sz w:val="20"/>
          <w:szCs w:val="20"/>
        </w:rPr>
        <w:t xml:space="preserve"> (FY’2</w:t>
      </w:r>
      <w:r w:rsidR="00EA2A9D" w:rsidRPr="00701439">
        <w:rPr>
          <w:rStyle w:val="Strong"/>
          <w:b w:val="0"/>
          <w:sz w:val="20"/>
          <w:szCs w:val="20"/>
        </w:rPr>
        <w:t>1</w:t>
      </w:r>
      <w:r w:rsidR="005D78AB" w:rsidRPr="00701439">
        <w:rPr>
          <w:rStyle w:val="Strong"/>
          <w:b w:val="0"/>
          <w:sz w:val="20"/>
          <w:szCs w:val="20"/>
        </w:rPr>
        <w:t>:</w:t>
      </w:r>
      <w:r w:rsidRPr="00701439">
        <w:rPr>
          <w:rStyle w:val="Strong"/>
          <w:b w:val="0"/>
          <w:sz w:val="20"/>
          <w:szCs w:val="20"/>
        </w:rPr>
        <w:t xml:space="preserve"> </w:t>
      </w:r>
      <w:r w:rsidR="005D78AB" w:rsidRPr="00701439">
        <w:rPr>
          <w:rStyle w:val="Strong"/>
          <w:b w:val="0"/>
          <w:sz w:val="20"/>
          <w:szCs w:val="20"/>
        </w:rPr>
        <w:t>53.7</w:t>
      </w:r>
      <w:r w:rsidRPr="00701439">
        <w:rPr>
          <w:rStyle w:val="Strong"/>
          <w:b w:val="0"/>
          <w:sz w:val="20"/>
          <w:szCs w:val="20"/>
        </w:rPr>
        <w:t xml:space="preserve">p).  On a statutory basis, the Group reported a basic </w:t>
      </w:r>
      <w:r w:rsidR="0061168A" w:rsidRPr="00701439">
        <w:rPr>
          <w:rStyle w:val="Strong"/>
          <w:b w:val="0"/>
          <w:sz w:val="20"/>
          <w:szCs w:val="20"/>
        </w:rPr>
        <w:t>earnings</w:t>
      </w:r>
      <w:r w:rsidRPr="00701439">
        <w:rPr>
          <w:rStyle w:val="Strong"/>
          <w:b w:val="0"/>
          <w:sz w:val="20"/>
          <w:szCs w:val="20"/>
        </w:rPr>
        <w:t xml:space="preserve"> per share of </w:t>
      </w:r>
      <w:r w:rsidR="00216DD4" w:rsidRPr="00701439">
        <w:rPr>
          <w:rStyle w:val="Strong"/>
          <w:b w:val="0"/>
          <w:sz w:val="20"/>
          <w:szCs w:val="20"/>
        </w:rPr>
        <w:t>30.</w:t>
      </w:r>
      <w:r w:rsidR="00E464A2" w:rsidRPr="00701439">
        <w:rPr>
          <w:rStyle w:val="Strong"/>
          <w:b w:val="0"/>
          <w:sz w:val="20"/>
          <w:szCs w:val="20"/>
        </w:rPr>
        <w:t xml:space="preserve">8p </w:t>
      </w:r>
      <w:r w:rsidRPr="00701439">
        <w:rPr>
          <w:rStyle w:val="Strong"/>
          <w:b w:val="0"/>
          <w:sz w:val="20"/>
          <w:szCs w:val="20"/>
        </w:rPr>
        <w:t>(FY’2</w:t>
      </w:r>
      <w:r w:rsidR="005D78AB" w:rsidRPr="00701439">
        <w:rPr>
          <w:rStyle w:val="Strong"/>
          <w:b w:val="0"/>
          <w:sz w:val="20"/>
          <w:szCs w:val="20"/>
        </w:rPr>
        <w:t>1</w:t>
      </w:r>
      <w:r w:rsidRPr="00701439">
        <w:rPr>
          <w:rStyle w:val="Strong"/>
          <w:b w:val="0"/>
          <w:sz w:val="20"/>
          <w:szCs w:val="20"/>
        </w:rPr>
        <w:t xml:space="preserve">: </w:t>
      </w:r>
      <w:r w:rsidR="00363A4A" w:rsidRPr="00701439">
        <w:rPr>
          <w:rStyle w:val="Strong"/>
          <w:b w:val="0"/>
          <w:sz w:val="20"/>
          <w:szCs w:val="20"/>
        </w:rPr>
        <w:t>Loss per share</w:t>
      </w:r>
      <w:r w:rsidRPr="00701439">
        <w:rPr>
          <w:rStyle w:val="Strong"/>
          <w:b w:val="0"/>
          <w:sz w:val="20"/>
          <w:szCs w:val="20"/>
        </w:rPr>
        <w:t xml:space="preserve"> </w:t>
      </w:r>
      <w:r w:rsidR="005D78AB" w:rsidRPr="00701439">
        <w:rPr>
          <w:rStyle w:val="Strong"/>
          <w:b w:val="0"/>
          <w:sz w:val="20"/>
          <w:szCs w:val="20"/>
        </w:rPr>
        <w:t>12.8</w:t>
      </w:r>
      <w:r w:rsidRPr="00701439">
        <w:rPr>
          <w:rStyle w:val="Strong"/>
          <w:b w:val="0"/>
          <w:sz w:val="20"/>
          <w:szCs w:val="20"/>
        </w:rPr>
        <w:t xml:space="preserve">p) for </w:t>
      </w:r>
      <w:r w:rsidR="0061168A" w:rsidRPr="00701439">
        <w:rPr>
          <w:rStyle w:val="Strong"/>
          <w:b w:val="0"/>
          <w:sz w:val="20"/>
          <w:szCs w:val="20"/>
        </w:rPr>
        <w:t>FY’22</w:t>
      </w:r>
      <w:r w:rsidRPr="00701439">
        <w:rPr>
          <w:rStyle w:val="Strong"/>
          <w:b w:val="0"/>
          <w:sz w:val="20"/>
          <w:szCs w:val="20"/>
        </w:rPr>
        <w:t xml:space="preserve"> reflecting the statutory </w:t>
      </w:r>
      <w:r w:rsidR="000007BA" w:rsidRPr="00701439">
        <w:rPr>
          <w:rStyle w:val="Strong"/>
          <w:b w:val="0"/>
          <w:sz w:val="20"/>
          <w:szCs w:val="20"/>
        </w:rPr>
        <w:t>profit</w:t>
      </w:r>
      <w:r w:rsidRPr="00701439">
        <w:rPr>
          <w:rStyle w:val="Strong"/>
          <w:b w:val="0"/>
          <w:sz w:val="20"/>
          <w:szCs w:val="20"/>
        </w:rPr>
        <w:t xml:space="preserve"> after tax of </w:t>
      </w:r>
      <w:r w:rsidR="000007BA" w:rsidRPr="00701439">
        <w:rPr>
          <w:rStyle w:val="Strong"/>
          <w:b w:val="0"/>
          <w:sz w:val="20"/>
          <w:szCs w:val="20"/>
        </w:rPr>
        <w:t>£</w:t>
      </w:r>
      <w:r w:rsidR="00981CC9" w:rsidRPr="00701439">
        <w:rPr>
          <w:rStyle w:val="Strong"/>
          <w:b w:val="0"/>
          <w:sz w:val="20"/>
          <w:szCs w:val="20"/>
        </w:rPr>
        <w:t>77.4m</w:t>
      </w:r>
      <w:r w:rsidRPr="00701439">
        <w:rPr>
          <w:rStyle w:val="Strong"/>
          <w:b w:val="0"/>
          <w:sz w:val="20"/>
          <w:szCs w:val="20"/>
        </w:rPr>
        <w:t xml:space="preserve"> (FY’2</w:t>
      </w:r>
      <w:r w:rsidR="00430CE2" w:rsidRPr="00701439">
        <w:rPr>
          <w:rStyle w:val="Strong"/>
          <w:b w:val="0"/>
          <w:sz w:val="20"/>
          <w:szCs w:val="20"/>
        </w:rPr>
        <w:t>1</w:t>
      </w:r>
      <w:r w:rsidRPr="00701439">
        <w:rPr>
          <w:rStyle w:val="Strong"/>
          <w:b w:val="0"/>
          <w:sz w:val="20"/>
          <w:szCs w:val="20"/>
        </w:rPr>
        <w:t xml:space="preserve"> loss after tax: £</w:t>
      </w:r>
      <w:r w:rsidR="00430CE2" w:rsidRPr="00701439">
        <w:rPr>
          <w:rStyle w:val="Strong"/>
          <w:b w:val="0"/>
          <w:sz w:val="20"/>
          <w:szCs w:val="20"/>
        </w:rPr>
        <w:t>32.1</w:t>
      </w:r>
      <w:r w:rsidRPr="00701439">
        <w:rPr>
          <w:rStyle w:val="Strong"/>
          <w:b w:val="0"/>
          <w:sz w:val="20"/>
          <w:szCs w:val="20"/>
        </w:rPr>
        <w:t>m).</w:t>
      </w:r>
    </w:p>
    <w:p w14:paraId="2EBAB352" w14:textId="77777777" w:rsidR="00610A69" w:rsidRPr="00701439" w:rsidRDefault="00610A69" w:rsidP="00917923">
      <w:pPr>
        <w:pStyle w:val="NoSpacing"/>
        <w:jc w:val="both"/>
        <w:rPr>
          <w:rStyle w:val="Strong"/>
          <w:b w:val="0"/>
          <w:sz w:val="20"/>
          <w:szCs w:val="20"/>
        </w:rPr>
      </w:pPr>
    </w:p>
    <w:p w14:paraId="57DC9025" w14:textId="3DAF6A16" w:rsidR="00EA223D" w:rsidRPr="00701439" w:rsidRDefault="00EA223D" w:rsidP="00E534C5">
      <w:pPr>
        <w:jc w:val="both"/>
        <w:rPr>
          <w:rStyle w:val="Strong"/>
          <w:rFonts w:asciiTheme="minorHAnsi" w:eastAsiaTheme="minorHAnsi" w:hAnsiTheme="minorHAnsi" w:cstheme="minorHAnsi"/>
          <w:bCs w:val="0"/>
          <w:color w:val="4747FF"/>
          <w:sz w:val="22"/>
          <w:szCs w:val="22"/>
          <w:lang w:eastAsia="en-US"/>
        </w:rPr>
      </w:pPr>
      <w:r w:rsidRPr="00701439">
        <w:rPr>
          <w:rStyle w:val="Strong"/>
          <w:rFonts w:asciiTheme="minorHAnsi" w:eastAsiaTheme="minorHAnsi" w:hAnsiTheme="minorHAnsi" w:cstheme="minorHAnsi"/>
          <w:bCs w:val="0"/>
          <w:color w:val="4747FF"/>
          <w:sz w:val="22"/>
          <w:szCs w:val="22"/>
          <w:lang w:eastAsia="en-US"/>
        </w:rPr>
        <w:t>Macroeconomic provision</w:t>
      </w:r>
      <w:r w:rsidR="00B2304C" w:rsidRPr="00701439">
        <w:rPr>
          <w:rStyle w:val="Strong"/>
          <w:rFonts w:asciiTheme="minorHAnsi" w:eastAsiaTheme="minorHAnsi" w:hAnsiTheme="minorHAnsi" w:cstheme="minorHAnsi"/>
          <w:bCs w:val="0"/>
          <w:color w:val="4747FF"/>
          <w:sz w:val="22"/>
          <w:szCs w:val="22"/>
          <w:lang w:eastAsia="en-US"/>
        </w:rPr>
        <w:t xml:space="preserve"> and cost of living</w:t>
      </w:r>
    </w:p>
    <w:p w14:paraId="394080F3" w14:textId="77777777" w:rsidR="00EA223D" w:rsidRPr="00701439" w:rsidRDefault="00EA223D" w:rsidP="00E534C5">
      <w:pPr>
        <w:jc w:val="both"/>
        <w:rPr>
          <w:rFonts w:asciiTheme="minorHAnsi" w:hAnsiTheme="minorHAnsi"/>
          <w:b/>
          <w:sz w:val="20"/>
          <w:szCs w:val="20"/>
        </w:rPr>
      </w:pPr>
    </w:p>
    <w:p w14:paraId="082B9F41" w14:textId="74684C5B" w:rsidR="007145BA" w:rsidRPr="00701439" w:rsidRDefault="007145BA" w:rsidP="00060208">
      <w:pPr>
        <w:jc w:val="both"/>
        <w:rPr>
          <w:rFonts w:asciiTheme="minorHAnsi" w:hAnsiTheme="minorHAnsi" w:cstheme="minorHAnsi"/>
          <w:sz w:val="20"/>
          <w:szCs w:val="20"/>
        </w:rPr>
      </w:pPr>
      <w:r w:rsidRPr="00701439">
        <w:rPr>
          <w:rFonts w:asciiTheme="minorHAnsi" w:hAnsiTheme="minorHAnsi" w:cstheme="minorHAnsi"/>
          <w:sz w:val="20"/>
          <w:szCs w:val="20"/>
        </w:rPr>
        <w:t>Macroeconomic provisions are recognised in credit cards, vehicle finance</w:t>
      </w:r>
      <w:r w:rsidR="0016397C" w:rsidRPr="00701439">
        <w:rPr>
          <w:rFonts w:asciiTheme="minorHAnsi" w:hAnsiTheme="minorHAnsi" w:cstheme="minorHAnsi"/>
          <w:sz w:val="20"/>
          <w:szCs w:val="20"/>
        </w:rPr>
        <w:t xml:space="preserve"> and personal loans</w:t>
      </w:r>
      <w:r w:rsidRPr="00701439">
        <w:rPr>
          <w:rFonts w:asciiTheme="minorHAnsi" w:hAnsiTheme="minorHAnsi" w:cstheme="minorHAnsi"/>
          <w:sz w:val="20"/>
          <w:szCs w:val="20"/>
        </w:rPr>
        <w:t xml:space="preserve"> to reflect an increased</w:t>
      </w:r>
      <w:r w:rsidR="0016397C" w:rsidRPr="00701439">
        <w:rPr>
          <w:rFonts w:asciiTheme="minorHAnsi" w:hAnsiTheme="minorHAnsi" w:cstheme="minorHAnsi"/>
          <w:sz w:val="20"/>
          <w:szCs w:val="20"/>
        </w:rPr>
        <w:t xml:space="preserve"> probability of default</w:t>
      </w:r>
      <w:r w:rsidRPr="00701439">
        <w:rPr>
          <w:rFonts w:asciiTheme="minorHAnsi" w:hAnsiTheme="minorHAnsi" w:cstheme="minorHAnsi"/>
          <w:sz w:val="20"/>
          <w:szCs w:val="20"/>
        </w:rPr>
        <w:t xml:space="preserve"> </w:t>
      </w:r>
      <w:r w:rsidR="0016397C" w:rsidRPr="00701439">
        <w:rPr>
          <w:rFonts w:asciiTheme="minorHAnsi" w:hAnsiTheme="minorHAnsi" w:cstheme="minorHAnsi"/>
          <w:sz w:val="20"/>
          <w:szCs w:val="20"/>
        </w:rPr>
        <w:t>(</w:t>
      </w:r>
      <w:r w:rsidRPr="00701439">
        <w:rPr>
          <w:rFonts w:asciiTheme="minorHAnsi" w:hAnsiTheme="minorHAnsi" w:cstheme="minorHAnsi"/>
          <w:sz w:val="20"/>
          <w:szCs w:val="20"/>
        </w:rPr>
        <w:t>PD</w:t>
      </w:r>
      <w:r w:rsidR="0016397C" w:rsidRPr="00701439">
        <w:rPr>
          <w:rFonts w:asciiTheme="minorHAnsi" w:hAnsiTheme="minorHAnsi" w:cstheme="minorHAnsi"/>
          <w:sz w:val="20"/>
          <w:szCs w:val="20"/>
        </w:rPr>
        <w:t>)</w:t>
      </w:r>
      <w:r w:rsidRPr="00701439">
        <w:rPr>
          <w:rFonts w:asciiTheme="minorHAnsi" w:hAnsiTheme="minorHAnsi" w:cstheme="minorHAnsi"/>
          <w:sz w:val="20"/>
          <w:szCs w:val="20"/>
        </w:rPr>
        <w:t xml:space="preserve"> in addition to the core impairment provisions already recognised, based on future macroeconomic scenarios. </w:t>
      </w:r>
    </w:p>
    <w:p w14:paraId="4C1F260D" w14:textId="77777777" w:rsidR="006350A6" w:rsidRPr="00701439" w:rsidRDefault="006350A6" w:rsidP="00060208">
      <w:pPr>
        <w:jc w:val="both"/>
        <w:rPr>
          <w:rFonts w:asciiTheme="minorHAnsi" w:hAnsiTheme="minorHAnsi" w:cstheme="minorHAnsi"/>
          <w:sz w:val="20"/>
          <w:szCs w:val="20"/>
        </w:rPr>
      </w:pPr>
    </w:p>
    <w:p w14:paraId="0C894660" w14:textId="5EF6EDA8" w:rsidR="007145BA" w:rsidRPr="00701439" w:rsidRDefault="007145BA" w:rsidP="00060208">
      <w:pPr>
        <w:jc w:val="both"/>
        <w:rPr>
          <w:rFonts w:asciiTheme="minorHAnsi" w:hAnsiTheme="minorHAnsi" w:cstheme="minorHAnsi"/>
          <w:sz w:val="20"/>
          <w:szCs w:val="20"/>
        </w:rPr>
      </w:pPr>
      <w:r w:rsidRPr="00701439">
        <w:rPr>
          <w:rFonts w:asciiTheme="minorHAnsi" w:hAnsiTheme="minorHAnsi" w:cstheme="minorHAnsi"/>
          <w:sz w:val="20"/>
          <w:szCs w:val="20"/>
        </w:rPr>
        <w:t>The macroeconomic provision for continuing operations consider</w:t>
      </w:r>
      <w:r w:rsidR="007F4B20" w:rsidRPr="00701439">
        <w:rPr>
          <w:rFonts w:asciiTheme="minorHAnsi" w:hAnsiTheme="minorHAnsi" w:cstheme="minorHAnsi"/>
          <w:sz w:val="20"/>
          <w:szCs w:val="20"/>
        </w:rPr>
        <w:t>s</w:t>
      </w:r>
      <w:r w:rsidRPr="00701439">
        <w:rPr>
          <w:rFonts w:asciiTheme="minorHAnsi" w:hAnsiTheme="minorHAnsi" w:cstheme="minorHAnsi"/>
          <w:sz w:val="20"/>
          <w:szCs w:val="20"/>
        </w:rPr>
        <w:t xml:space="preserve"> the relationship between </w:t>
      </w:r>
      <w:r w:rsidR="009E3C70" w:rsidRPr="00701439">
        <w:rPr>
          <w:rFonts w:asciiTheme="minorHAnsi" w:hAnsiTheme="minorHAnsi" w:cstheme="minorHAnsi"/>
          <w:sz w:val="20"/>
          <w:szCs w:val="20"/>
        </w:rPr>
        <w:t xml:space="preserve">the </w:t>
      </w:r>
      <w:r w:rsidRPr="00701439">
        <w:rPr>
          <w:rFonts w:asciiTheme="minorHAnsi" w:hAnsiTheme="minorHAnsi" w:cstheme="minorHAnsi"/>
          <w:sz w:val="20"/>
          <w:szCs w:val="20"/>
        </w:rPr>
        <w:t xml:space="preserve">hazard rate, the number of people who were employed last month but who are unemployed the following month (derived from unemployment), debt to income ratio and default rates. </w:t>
      </w:r>
    </w:p>
    <w:p w14:paraId="3E72E1D0" w14:textId="77777777" w:rsidR="006350A6" w:rsidRPr="00701439" w:rsidRDefault="006350A6" w:rsidP="00060208">
      <w:pPr>
        <w:jc w:val="both"/>
        <w:rPr>
          <w:rFonts w:asciiTheme="minorHAnsi" w:hAnsiTheme="minorHAnsi" w:cstheme="minorHAnsi"/>
          <w:sz w:val="20"/>
          <w:szCs w:val="20"/>
        </w:rPr>
      </w:pPr>
    </w:p>
    <w:p w14:paraId="24C4E38C" w14:textId="289598DC" w:rsidR="006A729D" w:rsidRPr="00701439" w:rsidRDefault="006A729D" w:rsidP="00060208">
      <w:pPr>
        <w:jc w:val="both"/>
        <w:rPr>
          <w:rFonts w:asciiTheme="minorHAnsi" w:hAnsiTheme="minorHAnsi" w:cstheme="minorHAnsi"/>
          <w:sz w:val="20"/>
          <w:szCs w:val="20"/>
        </w:rPr>
      </w:pPr>
      <w:r w:rsidRPr="00701439">
        <w:rPr>
          <w:rFonts w:asciiTheme="minorHAnsi" w:hAnsiTheme="minorHAnsi" w:cstheme="minorHAnsi"/>
          <w:sz w:val="20"/>
          <w:szCs w:val="20"/>
        </w:rPr>
        <w:t>The provision reflects the potential for future changes under a range of forecasts, as analysis has clearly evidenced correlation between hazard rates, debt to income ratios and credit losses incurred.</w:t>
      </w:r>
    </w:p>
    <w:p w14:paraId="7B28B60C" w14:textId="77777777" w:rsidR="006350A6" w:rsidRPr="00701439" w:rsidRDefault="006350A6" w:rsidP="00060208">
      <w:pPr>
        <w:jc w:val="both"/>
        <w:rPr>
          <w:rFonts w:asciiTheme="minorHAnsi" w:hAnsiTheme="minorHAnsi" w:cstheme="minorHAnsi"/>
          <w:sz w:val="20"/>
          <w:szCs w:val="20"/>
        </w:rPr>
      </w:pPr>
    </w:p>
    <w:p w14:paraId="305A4974" w14:textId="5CC8705E" w:rsidR="006A729D" w:rsidRPr="00701439" w:rsidRDefault="006A729D" w:rsidP="00060208">
      <w:pPr>
        <w:jc w:val="both"/>
        <w:rPr>
          <w:rFonts w:asciiTheme="minorHAnsi" w:hAnsiTheme="minorHAnsi" w:cstheme="minorHAnsi"/>
          <w:sz w:val="20"/>
          <w:szCs w:val="20"/>
        </w:rPr>
      </w:pPr>
      <w:r w:rsidRPr="00701439">
        <w:rPr>
          <w:rFonts w:asciiTheme="minorHAnsi" w:hAnsiTheme="minorHAnsi" w:cstheme="minorHAnsi"/>
          <w:sz w:val="20"/>
          <w:szCs w:val="20"/>
        </w:rPr>
        <w:t xml:space="preserve">The unemployment data has been compiled from a consensus of sources including the Bank of England, HM Treasury, the Office for Budget Responsibility (OBR), Bloomberg and </w:t>
      </w:r>
      <w:proofErr w:type="gramStart"/>
      <w:r w:rsidRPr="00701439">
        <w:rPr>
          <w:rFonts w:asciiTheme="minorHAnsi" w:hAnsiTheme="minorHAnsi" w:cstheme="minorHAnsi"/>
          <w:sz w:val="20"/>
          <w:szCs w:val="20"/>
        </w:rPr>
        <w:t>a number of</w:t>
      </w:r>
      <w:proofErr w:type="gramEnd"/>
      <w:r w:rsidRPr="00701439">
        <w:rPr>
          <w:rFonts w:asciiTheme="minorHAnsi" w:hAnsiTheme="minorHAnsi" w:cstheme="minorHAnsi"/>
          <w:sz w:val="20"/>
          <w:szCs w:val="20"/>
        </w:rPr>
        <w:t xml:space="preserve"> prime banks.</w:t>
      </w:r>
    </w:p>
    <w:p w14:paraId="3B07F101" w14:textId="77777777" w:rsidR="006350A6" w:rsidRPr="00701439" w:rsidRDefault="006350A6" w:rsidP="00060208">
      <w:pPr>
        <w:jc w:val="both"/>
        <w:rPr>
          <w:rFonts w:asciiTheme="minorHAnsi" w:hAnsiTheme="minorHAnsi" w:cstheme="minorHAnsi"/>
          <w:sz w:val="20"/>
          <w:szCs w:val="20"/>
        </w:rPr>
      </w:pPr>
    </w:p>
    <w:p w14:paraId="6D3EA986" w14:textId="60462E53" w:rsidR="007145BA" w:rsidRPr="00701439" w:rsidRDefault="007145BA" w:rsidP="00060208">
      <w:pPr>
        <w:jc w:val="both"/>
        <w:rPr>
          <w:rFonts w:asciiTheme="minorHAnsi" w:hAnsiTheme="minorHAnsi" w:cstheme="minorHAnsi"/>
          <w:sz w:val="20"/>
          <w:szCs w:val="20"/>
        </w:rPr>
      </w:pPr>
      <w:r w:rsidRPr="00701439">
        <w:rPr>
          <w:rFonts w:asciiTheme="minorHAnsi" w:hAnsiTheme="minorHAnsi" w:cstheme="minorHAnsi"/>
          <w:sz w:val="20"/>
          <w:szCs w:val="20"/>
        </w:rPr>
        <w:t>The table below shows the annual peak and average unemployment assumptions adopted and the weightings applied to each. The weightings have remained consistent with prior year.</w:t>
      </w:r>
    </w:p>
    <w:p w14:paraId="2D1F6810" w14:textId="77777777" w:rsidR="006350A6" w:rsidRPr="00701439" w:rsidRDefault="006350A6" w:rsidP="00060208">
      <w:pPr>
        <w:jc w:val="both"/>
        <w:rPr>
          <w:rFonts w:asciiTheme="minorHAnsi" w:hAnsiTheme="minorHAnsi" w:cstheme="minorHAnsi"/>
          <w:sz w:val="20"/>
          <w:szCs w:val="20"/>
        </w:rPr>
      </w:pPr>
    </w:p>
    <w:p w14:paraId="17FA5C83" w14:textId="77777777" w:rsidR="007145BA" w:rsidRPr="00701439" w:rsidRDefault="007145BA" w:rsidP="00060208">
      <w:pPr>
        <w:jc w:val="both"/>
        <w:rPr>
          <w:rFonts w:asciiTheme="minorHAnsi" w:hAnsiTheme="minorHAnsi" w:cstheme="minorHAnsi"/>
          <w:sz w:val="20"/>
          <w:szCs w:val="20"/>
        </w:rPr>
      </w:pPr>
      <w:r w:rsidRPr="00701439">
        <w:rPr>
          <w:rFonts w:asciiTheme="minorHAnsi" w:hAnsiTheme="minorHAnsi" w:cstheme="minorHAnsi"/>
          <w:sz w:val="20"/>
          <w:szCs w:val="20"/>
        </w:rPr>
        <w:t>The Group will continue to analyse and assess if there are any additional macroeconomic indicators which also correlate with credit losses.</w:t>
      </w:r>
    </w:p>
    <w:p w14:paraId="63B4BA4D" w14:textId="77777777" w:rsidR="006350A6" w:rsidRPr="00701439" w:rsidRDefault="006350A6" w:rsidP="00060208">
      <w:pPr>
        <w:jc w:val="both"/>
        <w:rPr>
          <w:rFonts w:asciiTheme="minorHAnsi" w:hAnsiTheme="minorHAnsi" w:cstheme="minorHAnsi"/>
          <w:sz w:val="20"/>
          <w:szCs w:val="20"/>
        </w:rPr>
      </w:pPr>
    </w:p>
    <w:tbl>
      <w:tblPr>
        <w:tblW w:w="974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92"/>
        <w:gridCol w:w="1737"/>
        <w:gridCol w:w="1737"/>
        <w:gridCol w:w="1737"/>
        <w:gridCol w:w="1737"/>
      </w:tblGrid>
      <w:tr w:rsidR="007145BA" w:rsidRPr="00701439" w14:paraId="47F8F5D2" w14:textId="77777777" w:rsidTr="00BF63E3">
        <w:trPr>
          <w:trHeight w:val="278"/>
        </w:trPr>
        <w:tc>
          <w:tcPr>
            <w:tcW w:w="2371" w:type="dxa"/>
            <w:tcBorders>
              <w:bottom w:val="nil"/>
              <w:right w:val="single" w:sz="4" w:space="0" w:color="auto"/>
            </w:tcBorders>
            <w:shd w:val="clear" w:color="auto" w:fill="auto"/>
            <w:noWrap/>
            <w:vAlign w:val="bottom"/>
            <w:hideMark/>
          </w:tcPr>
          <w:p w14:paraId="7ABBD78A" w14:textId="77777777" w:rsidR="007145BA" w:rsidRPr="00701439" w:rsidRDefault="007145BA" w:rsidP="00060208">
            <w:pPr>
              <w:jc w:val="both"/>
              <w:rPr>
                <w:rFonts w:asciiTheme="minorHAnsi" w:hAnsiTheme="minorHAnsi" w:cstheme="minorHAnsi"/>
                <w:sz w:val="20"/>
                <w:szCs w:val="20"/>
              </w:rPr>
            </w:pPr>
          </w:p>
        </w:tc>
        <w:tc>
          <w:tcPr>
            <w:tcW w:w="1474" w:type="dxa"/>
            <w:tcBorders>
              <w:top w:val="single" w:sz="4" w:space="0" w:color="auto"/>
              <w:left w:val="single" w:sz="4" w:space="0" w:color="auto"/>
              <w:bottom w:val="nil"/>
              <w:right w:val="single" w:sz="4" w:space="0" w:color="auto"/>
            </w:tcBorders>
            <w:shd w:val="clear" w:color="auto" w:fill="auto"/>
            <w:noWrap/>
            <w:vAlign w:val="bottom"/>
            <w:hideMark/>
          </w:tcPr>
          <w:p w14:paraId="1348D40E" w14:textId="7F6C1C50" w:rsidR="007145BA" w:rsidRPr="00701439" w:rsidRDefault="007145BA" w:rsidP="00017AA9">
            <w:pPr>
              <w:jc w:val="center"/>
              <w:rPr>
                <w:rFonts w:asciiTheme="minorHAnsi" w:hAnsiTheme="minorHAnsi" w:cstheme="minorHAnsi"/>
                <w:color w:val="000000"/>
                <w:sz w:val="20"/>
                <w:szCs w:val="20"/>
              </w:rPr>
            </w:pPr>
            <w:r w:rsidRPr="00701439">
              <w:rPr>
                <w:rFonts w:asciiTheme="minorHAnsi" w:hAnsiTheme="minorHAnsi" w:cstheme="minorHAnsi"/>
                <w:color w:val="000000"/>
                <w:sz w:val="20"/>
                <w:szCs w:val="20"/>
              </w:rPr>
              <w:t>Base</w:t>
            </w:r>
          </w:p>
        </w:tc>
        <w:tc>
          <w:tcPr>
            <w:tcW w:w="1474" w:type="dxa"/>
            <w:tcBorders>
              <w:top w:val="single" w:sz="4" w:space="0" w:color="auto"/>
              <w:left w:val="single" w:sz="4" w:space="0" w:color="auto"/>
              <w:bottom w:val="nil"/>
              <w:right w:val="single" w:sz="4" w:space="0" w:color="auto"/>
            </w:tcBorders>
            <w:shd w:val="clear" w:color="auto" w:fill="auto"/>
            <w:noWrap/>
            <w:vAlign w:val="bottom"/>
            <w:hideMark/>
          </w:tcPr>
          <w:p w14:paraId="6BFBC791" w14:textId="7187140F" w:rsidR="007145BA" w:rsidRPr="00701439" w:rsidRDefault="007145BA" w:rsidP="00017AA9">
            <w:pPr>
              <w:jc w:val="center"/>
              <w:rPr>
                <w:rFonts w:asciiTheme="minorHAnsi" w:hAnsiTheme="minorHAnsi" w:cstheme="minorHAnsi"/>
                <w:color w:val="000000"/>
                <w:sz w:val="20"/>
                <w:szCs w:val="20"/>
              </w:rPr>
            </w:pPr>
            <w:r w:rsidRPr="00701439">
              <w:rPr>
                <w:rFonts w:asciiTheme="minorHAnsi" w:hAnsiTheme="minorHAnsi" w:cstheme="minorHAnsi"/>
                <w:color w:val="000000"/>
                <w:sz w:val="20"/>
                <w:szCs w:val="20"/>
              </w:rPr>
              <w:t>Downside</w:t>
            </w:r>
          </w:p>
        </w:tc>
        <w:tc>
          <w:tcPr>
            <w:tcW w:w="1474" w:type="dxa"/>
            <w:tcBorders>
              <w:top w:val="single" w:sz="4" w:space="0" w:color="auto"/>
              <w:left w:val="single" w:sz="4" w:space="0" w:color="auto"/>
              <w:bottom w:val="nil"/>
              <w:right w:val="single" w:sz="4" w:space="0" w:color="auto"/>
            </w:tcBorders>
            <w:shd w:val="clear" w:color="auto" w:fill="auto"/>
            <w:noWrap/>
            <w:vAlign w:val="bottom"/>
            <w:hideMark/>
          </w:tcPr>
          <w:p w14:paraId="35240581" w14:textId="66196BF9" w:rsidR="007145BA" w:rsidRPr="00701439" w:rsidRDefault="007145BA" w:rsidP="00017AA9">
            <w:pPr>
              <w:jc w:val="center"/>
              <w:rPr>
                <w:rFonts w:asciiTheme="minorHAnsi" w:hAnsiTheme="minorHAnsi" w:cstheme="minorHAnsi"/>
                <w:color w:val="000000"/>
                <w:sz w:val="20"/>
                <w:szCs w:val="20"/>
              </w:rPr>
            </w:pPr>
            <w:r w:rsidRPr="00701439">
              <w:rPr>
                <w:rFonts w:asciiTheme="minorHAnsi" w:hAnsiTheme="minorHAnsi" w:cstheme="minorHAnsi"/>
                <w:color w:val="000000"/>
                <w:sz w:val="20"/>
                <w:szCs w:val="20"/>
              </w:rPr>
              <w:t>Upside</w:t>
            </w:r>
          </w:p>
        </w:tc>
        <w:tc>
          <w:tcPr>
            <w:tcW w:w="1474" w:type="dxa"/>
            <w:tcBorders>
              <w:left w:val="single" w:sz="4" w:space="0" w:color="auto"/>
              <w:bottom w:val="nil"/>
            </w:tcBorders>
            <w:shd w:val="clear" w:color="auto" w:fill="auto"/>
            <w:noWrap/>
            <w:vAlign w:val="bottom"/>
            <w:hideMark/>
          </w:tcPr>
          <w:p w14:paraId="41F3FB35" w14:textId="78501847" w:rsidR="007145BA" w:rsidRPr="00701439" w:rsidRDefault="007145BA" w:rsidP="00017AA9">
            <w:pPr>
              <w:jc w:val="center"/>
              <w:rPr>
                <w:rFonts w:asciiTheme="minorHAnsi" w:hAnsiTheme="minorHAnsi" w:cstheme="minorHAnsi"/>
                <w:color w:val="000000"/>
                <w:sz w:val="20"/>
                <w:szCs w:val="20"/>
              </w:rPr>
            </w:pPr>
            <w:r w:rsidRPr="00701439">
              <w:rPr>
                <w:rFonts w:asciiTheme="minorHAnsi" w:hAnsiTheme="minorHAnsi" w:cstheme="minorHAnsi"/>
                <w:color w:val="000000"/>
                <w:sz w:val="20"/>
                <w:szCs w:val="20"/>
              </w:rPr>
              <w:t>Severe</w:t>
            </w:r>
          </w:p>
        </w:tc>
      </w:tr>
      <w:tr w:rsidR="007145BA" w:rsidRPr="00701439" w14:paraId="25302BCA" w14:textId="77777777" w:rsidTr="00BF63E3">
        <w:trPr>
          <w:trHeight w:val="278"/>
        </w:trPr>
        <w:tc>
          <w:tcPr>
            <w:tcW w:w="2371" w:type="dxa"/>
            <w:tcBorders>
              <w:top w:val="nil"/>
              <w:bottom w:val="single" w:sz="4" w:space="0" w:color="auto"/>
              <w:right w:val="single" w:sz="4" w:space="0" w:color="auto"/>
            </w:tcBorders>
            <w:shd w:val="clear" w:color="auto" w:fill="auto"/>
            <w:noWrap/>
            <w:vAlign w:val="bottom"/>
            <w:hideMark/>
          </w:tcPr>
          <w:p w14:paraId="34FB63C3" w14:textId="77777777" w:rsidR="007145BA" w:rsidRPr="00701439" w:rsidRDefault="007145BA" w:rsidP="00060208">
            <w:pPr>
              <w:jc w:val="both"/>
              <w:rPr>
                <w:rFonts w:asciiTheme="minorHAnsi" w:hAnsiTheme="minorHAnsi" w:cstheme="minorHAnsi"/>
                <w:color w:val="000000"/>
                <w:sz w:val="20"/>
                <w:szCs w:val="20"/>
              </w:rPr>
            </w:pPr>
            <w:r w:rsidRPr="00701439">
              <w:rPr>
                <w:rFonts w:asciiTheme="minorHAnsi" w:hAnsiTheme="minorHAnsi" w:cstheme="minorHAnsi"/>
                <w:color w:val="000000"/>
                <w:sz w:val="20"/>
                <w:szCs w:val="20"/>
              </w:rPr>
              <w:t>Weighting</w:t>
            </w:r>
          </w:p>
        </w:tc>
        <w:tc>
          <w:tcPr>
            <w:tcW w:w="1474" w:type="dxa"/>
            <w:tcBorders>
              <w:top w:val="nil"/>
              <w:left w:val="single" w:sz="4" w:space="0" w:color="auto"/>
              <w:bottom w:val="single" w:sz="4" w:space="0" w:color="auto"/>
              <w:right w:val="single" w:sz="4" w:space="0" w:color="auto"/>
            </w:tcBorders>
            <w:shd w:val="clear" w:color="auto" w:fill="auto"/>
            <w:noWrap/>
            <w:vAlign w:val="bottom"/>
            <w:hideMark/>
          </w:tcPr>
          <w:p w14:paraId="2B2F0DF4" w14:textId="77777777" w:rsidR="007145BA" w:rsidRPr="00701439" w:rsidRDefault="007145BA" w:rsidP="00017AA9">
            <w:pPr>
              <w:jc w:val="center"/>
              <w:rPr>
                <w:rFonts w:asciiTheme="minorHAnsi" w:hAnsiTheme="minorHAnsi" w:cstheme="minorHAnsi"/>
                <w:color w:val="000000"/>
                <w:sz w:val="20"/>
                <w:szCs w:val="20"/>
              </w:rPr>
            </w:pPr>
            <w:r w:rsidRPr="00701439">
              <w:rPr>
                <w:rFonts w:asciiTheme="minorHAnsi" w:hAnsiTheme="minorHAnsi" w:cstheme="minorHAnsi"/>
                <w:color w:val="000000"/>
                <w:sz w:val="20"/>
                <w:szCs w:val="20"/>
              </w:rPr>
              <w:t>50%</w:t>
            </w:r>
          </w:p>
        </w:tc>
        <w:tc>
          <w:tcPr>
            <w:tcW w:w="1474" w:type="dxa"/>
            <w:tcBorders>
              <w:top w:val="nil"/>
              <w:left w:val="single" w:sz="4" w:space="0" w:color="auto"/>
              <w:bottom w:val="single" w:sz="4" w:space="0" w:color="auto"/>
              <w:right w:val="single" w:sz="4" w:space="0" w:color="auto"/>
            </w:tcBorders>
            <w:shd w:val="clear" w:color="auto" w:fill="auto"/>
            <w:noWrap/>
            <w:vAlign w:val="bottom"/>
            <w:hideMark/>
          </w:tcPr>
          <w:p w14:paraId="47370283" w14:textId="33C0606B" w:rsidR="007145BA" w:rsidRPr="00701439" w:rsidRDefault="00C53359" w:rsidP="00017AA9">
            <w:pPr>
              <w:jc w:val="center"/>
              <w:rPr>
                <w:rFonts w:asciiTheme="minorHAnsi" w:hAnsiTheme="minorHAnsi" w:cstheme="minorHAnsi"/>
                <w:color w:val="000000"/>
                <w:sz w:val="20"/>
                <w:szCs w:val="20"/>
              </w:rPr>
            </w:pPr>
            <w:r w:rsidRPr="00701439">
              <w:rPr>
                <w:rFonts w:asciiTheme="minorHAnsi" w:hAnsiTheme="minorHAnsi" w:cstheme="minorHAnsi"/>
                <w:color w:val="000000"/>
                <w:sz w:val="20"/>
                <w:szCs w:val="20"/>
              </w:rPr>
              <w:t>35</w:t>
            </w:r>
            <w:r w:rsidR="007145BA" w:rsidRPr="00701439">
              <w:rPr>
                <w:rFonts w:asciiTheme="minorHAnsi" w:hAnsiTheme="minorHAnsi" w:cstheme="minorHAnsi"/>
                <w:color w:val="000000"/>
                <w:sz w:val="20"/>
                <w:szCs w:val="20"/>
              </w:rPr>
              <w:t>%</w:t>
            </w:r>
          </w:p>
        </w:tc>
        <w:tc>
          <w:tcPr>
            <w:tcW w:w="1474" w:type="dxa"/>
            <w:tcBorders>
              <w:top w:val="nil"/>
              <w:left w:val="single" w:sz="4" w:space="0" w:color="auto"/>
              <w:bottom w:val="single" w:sz="4" w:space="0" w:color="auto"/>
              <w:right w:val="single" w:sz="4" w:space="0" w:color="auto"/>
            </w:tcBorders>
            <w:shd w:val="clear" w:color="auto" w:fill="auto"/>
            <w:noWrap/>
            <w:vAlign w:val="bottom"/>
            <w:hideMark/>
          </w:tcPr>
          <w:p w14:paraId="24683043" w14:textId="763FAFD3" w:rsidR="007145BA" w:rsidRPr="00701439" w:rsidRDefault="00C53359" w:rsidP="00017AA9">
            <w:pPr>
              <w:jc w:val="center"/>
              <w:rPr>
                <w:rFonts w:asciiTheme="minorHAnsi" w:hAnsiTheme="minorHAnsi" w:cstheme="minorHAnsi"/>
                <w:color w:val="000000"/>
                <w:sz w:val="20"/>
                <w:szCs w:val="20"/>
              </w:rPr>
            </w:pPr>
            <w:r w:rsidRPr="00701439">
              <w:rPr>
                <w:rFonts w:asciiTheme="minorHAnsi" w:hAnsiTheme="minorHAnsi" w:cstheme="minorHAnsi"/>
                <w:color w:val="000000"/>
                <w:sz w:val="20"/>
                <w:szCs w:val="20"/>
              </w:rPr>
              <w:t>10</w:t>
            </w:r>
            <w:r w:rsidR="007145BA" w:rsidRPr="00701439">
              <w:rPr>
                <w:rFonts w:asciiTheme="minorHAnsi" w:hAnsiTheme="minorHAnsi" w:cstheme="minorHAnsi"/>
                <w:color w:val="000000"/>
                <w:sz w:val="20"/>
                <w:szCs w:val="20"/>
              </w:rPr>
              <w:t>%</w:t>
            </w:r>
          </w:p>
        </w:tc>
        <w:tc>
          <w:tcPr>
            <w:tcW w:w="1474" w:type="dxa"/>
            <w:tcBorders>
              <w:top w:val="nil"/>
              <w:left w:val="single" w:sz="4" w:space="0" w:color="auto"/>
              <w:bottom w:val="single" w:sz="4" w:space="0" w:color="auto"/>
            </w:tcBorders>
            <w:shd w:val="clear" w:color="auto" w:fill="auto"/>
            <w:noWrap/>
            <w:vAlign w:val="bottom"/>
            <w:hideMark/>
          </w:tcPr>
          <w:p w14:paraId="4C10378E" w14:textId="77777777" w:rsidR="007145BA" w:rsidRPr="00701439" w:rsidRDefault="007145BA" w:rsidP="00017AA9">
            <w:pPr>
              <w:jc w:val="center"/>
              <w:rPr>
                <w:rFonts w:asciiTheme="minorHAnsi" w:hAnsiTheme="minorHAnsi" w:cstheme="minorHAnsi"/>
                <w:color w:val="000000"/>
                <w:sz w:val="20"/>
                <w:szCs w:val="20"/>
              </w:rPr>
            </w:pPr>
            <w:r w:rsidRPr="00701439">
              <w:rPr>
                <w:rFonts w:asciiTheme="minorHAnsi" w:hAnsiTheme="minorHAnsi" w:cstheme="minorHAnsi"/>
                <w:color w:val="000000"/>
                <w:sz w:val="20"/>
                <w:szCs w:val="20"/>
              </w:rPr>
              <w:t>5%</w:t>
            </w:r>
          </w:p>
        </w:tc>
      </w:tr>
      <w:tr w:rsidR="007145BA" w:rsidRPr="00701439" w14:paraId="14DD3E8F" w14:textId="77777777" w:rsidTr="00BF63E3">
        <w:trPr>
          <w:trHeight w:val="278"/>
        </w:trPr>
        <w:tc>
          <w:tcPr>
            <w:tcW w:w="2371" w:type="dxa"/>
            <w:tcBorders>
              <w:top w:val="single" w:sz="4" w:space="0" w:color="auto"/>
              <w:right w:val="single" w:sz="4" w:space="0" w:color="auto"/>
            </w:tcBorders>
            <w:shd w:val="clear" w:color="auto" w:fill="auto"/>
            <w:noWrap/>
            <w:vAlign w:val="bottom"/>
            <w:hideMark/>
          </w:tcPr>
          <w:p w14:paraId="440C98C2" w14:textId="77777777" w:rsidR="007145BA" w:rsidRPr="00701439" w:rsidRDefault="007145BA" w:rsidP="00060208">
            <w:pPr>
              <w:jc w:val="both"/>
              <w:rPr>
                <w:rFonts w:asciiTheme="minorHAnsi" w:hAnsiTheme="minorHAnsi" w:cstheme="minorHAnsi"/>
                <w:b/>
                <w:color w:val="000000"/>
                <w:sz w:val="20"/>
                <w:szCs w:val="20"/>
              </w:rPr>
            </w:pPr>
            <w:r w:rsidRPr="00701439">
              <w:rPr>
                <w:rFonts w:asciiTheme="minorHAnsi" w:hAnsiTheme="minorHAnsi" w:cstheme="minorHAnsi"/>
                <w:b/>
                <w:color w:val="000000"/>
                <w:sz w:val="20"/>
                <w:szCs w:val="20"/>
              </w:rPr>
              <w:t>2023</w:t>
            </w:r>
          </w:p>
        </w:tc>
        <w:tc>
          <w:tcPr>
            <w:tcW w:w="1474" w:type="dxa"/>
            <w:tcBorders>
              <w:top w:val="single" w:sz="4" w:space="0" w:color="auto"/>
              <w:left w:val="single" w:sz="4" w:space="0" w:color="auto"/>
              <w:bottom w:val="nil"/>
              <w:right w:val="single" w:sz="4" w:space="0" w:color="auto"/>
            </w:tcBorders>
            <w:shd w:val="clear" w:color="auto" w:fill="auto"/>
            <w:noWrap/>
            <w:vAlign w:val="bottom"/>
            <w:hideMark/>
          </w:tcPr>
          <w:p w14:paraId="324D230B" w14:textId="77777777" w:rsidR="007145BA" w:rsidRPr="00701439" w:rsidRDefault="007145BA" w:rsidP="00017AA9">
            <w:pPr>
              <w:jc w:val="center"/>
              <w:rPr>
                <w:rFonts w:asciiTheme="minorHAnsi" w:hAnsiTheme="minorHAnsi" w:cstheme="minorHAnsi"/>
                <w:color w:val="000000"/>
                <w:sz w:val="20"/>
                <w:szCs w:val="20"/>
              </w:rPr>
            </w:pPr>
          </w:p>
        </w:tc>
        <w:tc>
          <w:tcPr>
            <w:tcW w:w="1474" w:type="dxa"/>
            <w:tcBorders>
              <w:top w:val="single" w:sz="4" w:space="0" w:color="auto"/>
              <w:left w:val="single" w:sz="4" w:space="0" w:color="auto"/>
              <w:right w:val="single" w:sz="4" w:space="0" w:color="auto"/>
            </w:tcBorders>
            <w:shd w:val="clear" w:color="auto" w:fill="auto"/>
            <w:noWrap/>
            <w:vAlign w:val="bottom"/>
            <w:hideMark/>
          </w:tcPr>
          <w:p w14:paraId="54462B4C" w14:textId="77777777" w:rsidR="007145BA" w:rsidRPr="00701439" w:rsidRDefault="007145BA" w:rsidP="00017AA9">
            <w:pPr>
              <w:jc w:val="center"/>
              <w:rPr>
                <w:rFonts w:asciiTheme="minorHAnsi" w:hAnsiTheme="minorHAnsi" w:cstheme="minorHAnsi"/>
                <w:sz w:val="20"/>
                <w:szCs w:val="20"/>
              </w:rPr>
            </w:pPr>
          </w:p>
        </w:tc>
        <w:tc>
          <w:tcPr>
            <w:tcW w:w="1474" w:type="dxa"/>
            <w:tcBorders>
              <w:top w:val="single" w:sz="4" w:space="0" w:color="auto"/>
              <w:left w:val="single" w:sz="4" w:space="0" w:color="auto"/>
              <w:right w:val="single" w:sz="4" w:space="0" w:color="auto"/>
            </w:tcBorders>
            <w:shd w:val="clear" w:color="auto" w:fill="auto"/>
            <w:noWrap/>
            <w:vAlign w:val="bottom"/>
            <w:hideMark/>
          </w:tcPr>
          <w:p w14:paraId="22F7D555" w14:textId="77777777" w:rsidR="007145BA" w:rsidRPr="00701439" w:rsidRDefault="007145BA" w:rsidP="00017AA9">
            <w:pPr>
              <w:jc w:val="center"/>
              <w:rPr>
                <w:rFonts w:asciiTheme="minorHAnsi" w:hAnsiTheme="minorHAnsi" w:cstheme="minorHAnsi"/>
                <w:sz w:val="20"/>
                <w:szCs w:val="20"/>
              </w:rPr>
            </w:pPr>
          </w:p>
        </w:tc>
        <w:tc>
          <w:tcPr>
            <w:tcW w:w="1474" w:type="dxa"/>
            <w:tcBorders>
              <w:top w:val="single" w:sz="4" w:space="0" w:color="auto"/>
              <w:left w:val="single" w:sz="4" w:space="0" w:color="auto"/>
            </w:tcBorders>
            <w:shd w:val="clear" w:color="auto" w:fill="auto"/>
            <w:noWrap/>
            <w:vAlign w:val="bottom"/>
            <w:hideMark/>
          </w:tcPr>
          <w:p w14:paraId="18BFE5BD" w14:textId="77777777" w:rsidR="007145BA" w:rsidRPr="00701439" w:rsidRDefault="007145BA" w:rsidP="00017AA9">
            <w:pPr>
              <w:jc w:val="center"/>
              <w:rPr>
                <w:rFonts w:asciiTheme="minorHAnsi" w:hAnsiTheme="minorHAnsi" w:cstheme="minorHAnsi"/>
                <w:sz w:val="20"/>
                <w:szCs w:val="20"/>
              </w:rPr>
            </w:pPr>
          </w:p>
        </w:tc>
      </w:tr>
      <w:tr w:rsidR="007145BA" w:rsidRPr="00701439" w14:paraId="1629D61E" w14:textId="77777777" w:rsidTr="00BF63E3">
        <w:trPr>
          <w:trHeight w:val="278"/>
        </w:trPr>
        <w:tc>
          <w:tcPr>
            <w:tcW w:w="2371" w:type="dxa"/>
            <w:tcBorders>
              <w:bottom w:val="nil"/>
              <w:right w:val="single" w:sz="4" w:space="0" w:color="auto"/>
            </w:tcBorders>
            <w:shd w:val="clear" w:color="auto" w:fill="auto"/>
            <w:noWrap/>
            <w:vAlign w:val="bottom"/>
            <w:hideMark/>
          </w:tcPr>
          <w:p w14:paraId="06B59E96" w14:textId="77777777" w:rsidR="007145BA" w:rsidRPr="00701439" w:rsidRDefault="007145BA" w:rsidP="00060208">
            <w:pPr>
              <w:jc w:val="both"/>
              <w:rPr>
                <w:rFonts w:asciiTheme="minorHAnsi" w:hAnsiTheme="minorHAnsi" w:cstheme="minorHAnsi"/>
                <w:color w:val="000000"/>
                <w:sz w:val="20"/>
                <w:szCs w:val="20"/>
              </w:rPr>
            </w:pPr>
            <w:r w:rsidRPr="00701439">
              <w:rPr>
                <w:rFonts w:asciiTheme="minorHAnsi" w:hAnsiTheme="minorHAnsi" w:cstheme="minorHAnsi"/>
                <w:color w:val="000000"/>
                <w:sz w:val="20"/>
                <w:szCs w:val="20"/>
              </w:rPr>
              <w:t>Peak</w:t>
            </w:r>
          </w:p>
        </w:tc>
        <w:tc>
          <w:tcPr>
            <w:tcW w:w="1474" w:type="dxa"/>
            <w:tcBorders>
              <w:top w:val="nil"/>
              <w:left w:val="single" w:sz="4" w:space="0" w:color="auto"/>
              <w:bottom w:val="nil"/>
              <w:right w:val="single" w:sz="4" w:space="0" w:color="auto"/>
            </w:tcBorders>
            <w:shd w:val="clear" w:color="auto" w:fill="auto"/>
            <w:noWrap/>
            <w:vAlign w:val="bottom"/>
            <w:hideMark/>
          </w:tcPr>
          <w:p w14:paraId="0091A189" w14:textId="0AF491A1" w:rsidR="007145BA" w:rsidRPr="00701439" w:rsidRDefault="007145BA" w:rsidP="00017AA9">
            <w:pPr>
              <w:jc w:val="center"/>
              <w:rPr>
                <w:rFonts w:asciiTheme="minorHAnsi" w:hAnsiTheme="minorHAnsi" w:cstheme="minorHAnsi"/>
                <w:color w:val="000000"/>
                <w:sz w:val="20"/>
                <w:szCs w:val="20"/>
              </w:rPr>
            </w:pPr>
            <w:r w:rsidRPr="00701439">
              <w:rPr>
                <w:rFonts w:asciiTheme="minorHAnsi" w:hAnsiTheme="minorHAnsi" w:cstheme="minorHAnsi"/>
                <w:color w:val="000000"/>
                <w:sz w:val="20"/>
                <w:szCs w:val="20"/>
              </w:rPr>
              <w:t>4.5</w:t>
            </w:r>
          </w:p>
        </w:tc>
        <w:tc>
          <w:tcPr>
            <w:tcW w:w="1474" w:type="dxa"/>
            <w:tcBorders>
              <w:left w:val="single" w:sz="4" w:space="0" w:color="auto"/>
              <w:bottom w:val="nil"/>
              <w:right w:val="single" w:sz="4" w:space="0" w:color="auto"/>
            </w:tcBorders>
            <w:shd w:val="clear" w:color="auto" w:fill="auto"/>
            <w:noWrap/>
            <w:vAlign w:val="bottom"/>
            <w:hideMark/>
          </w:tcPr>
          <w:p w14:paraId="6DEEAB5B" w14:textId="4813E899" w:rsidR="007145BA" w:rsidRPr="00701439" w:rsidRDefault="007145BA" w:rsidP="00017AA9">
            <w:pPr>
              <w:jc w:val="center"/>
              <w:rPr>
                <w:rFonts w:asciiTheme="minorHAnsi" w:hAnsiTheme="minorHAnsi" w:cstheme="minorHAnsi"/>
                <w:color w:val="000000"/>
                <w:sz w:val="20"/>
                <w:szCs w:val="20"/>
              </w:rPr>
            </w:pPr>
            <w:r w:rsidRPr="00701439">
              <w:rPr>
                <w:rFonts w:asciiTheme="minorHAnsi" w:hAnsiTheme="minorHAnsi" w:cstheme="minorHAnsi"/>
                <w:color w:val="000000"/>
                <w:sz w:val="20"/>
                <w:szCs w:val="20"/>
              </w:rPr>
              <w:t>4.9</w:t>
            </w:r>
          </w:p>
        </w:tc>
        <w:tc>
          <w:tcPr>
            <w:tcW w:w="1474" w:type="dxa"/>
            <w:tcBorders>
              <w:left w:val="single" w:sz="4" w:space="0" w:color="auto"/>
              <w:bottom w:val="nil"/>
              <w:right w:val="single" w:sz="4" w:space="0" w:color="auto"/>
            </w:tcBorders>
            <w:shd w:val="clear" w:color="auto" w:fill="auto"/>
            <w:noWrap/>
            <w:vAlign w:val="bottom"/>
            <w:hideMark/>
          </w:tcPr>
          <w:p w14:paraId="7830B0CD" w14:textId="2A97BC80" w:rsidR="007145BA" w:rsidRPr="00701439" w:rsidRDefault="007145BA" w:rsidP="00017AA9">
            <w:pPr>
              <w:jc w:val="center"/>
              <w:rPr>
                <w:rFonts w:asciiTheme="minorHAnsi" w:hAnsiTheme="minorHAnsi" w:cstheme="minorHAnsi"/>
                <w:color w:val="000000"/>
                <w:sz w:val="20"/>
                <w:szCs w:val="20"/>
              </w:rPr>
            </w:pPr>
            <w:r w:rsidRPr="00701439">
              <w:rPr>
                <w:rFonts w:asciiTheme="minorHAnsi" w:hAnsiTheme="minorHAnsi" w:cstheme="minorHAnsi"/>
                <w:color w:val="000000"/>
                <w:sz w:val="20"/>
                <w:szCs w:val="20"/>
              </w:rPr>
              <w:t>3.6</w:t>
            </w:r>
          </w:p>
        </w:tc>
        <w:tc>
          <w:tcPr>
            <w:tcW w:w="1474" w:type="dxa"/>
            <w:tcBorders>
              <w:left w:val="single" w:sz="4" w:space="0" w:color="auto"/>
              <w:bottom w:val="nil"/>
            </w:tcBorders>
            <w:shd w:val="clear" w:color="auto" w:fill="auto"/>
            <w:noWrap/>
            <w:vAlign w:val="bottom"/>
            <w:hideMark/>
          </w:tcPr>
          <w:p w14:paraId="7EFB9FAE" w14:textId="6F3D9D68" w:rsidR="007145BA" w:rsidRPr="00701439" w:rsidRDefault="007145BA" w:rsidP="00017AA9">
            <w:pPr>
              <w:jc w:val="center"/>
              <w:rPr>
                <w:rFonts w:asciiTheme="minorHAnsi" w:hAnsiTheme="minorHAnsi" w:cstheme="minorHAnsi"/>
                <w:color w:val="000000"/>
                <w:sz w:val="20"/>
                <w:szCs w:val="20"/>
              </w:rPr>
            </w:pPr>
            <w:r w:rsidRPr="00701439">
              <w:rPr>
                <w:rFonts w:asciiTheme="minorHAnsi" w:hAnsiTheme="minorHAnsi" w:cstheme="minorHAnsi"/>
                <w:color w:val="000000"/>
                <w:sz w:val="20"/>
                <w:szCs w:val="20"/>
              </w:rPr>
              <w:t>5.8</w:t>
            </w:r>
          </w:p>
        </w:tc>
      </w:tr>
      <w:tr w:rsidR="007145BA" w:rsidRPr="00701439" w14:paraId="7B8AC4C6" w14:textId="77777777" w:rsidTr="00BF63E3">
        <w:trPr>
          <w:trHeight w:val="278"/>
        </w:trPr>
        <w:tc>
          <w:tcPr>
            <w:tcW w:w="2371" w:type="dxa"/>
            <w:tcBorders>
              <w:top w:val="nil"/>
              <w:bottom w:val="single" w:sz="4" w:space="0" w:color="auto"/>
              <w:right w:val="single" w:sz="4" w:space="0" w:color="auto"/>
            </w:tcBorders>
            <w:shd w:val="clear" w:color="auto" w:fill="auto"/>
            <w:noWrap/>
            <w:vAlign w:val="bottom"/>
            <w:hideMark/>
          </w:tcPr>
          <w:p w14:paraId="5E07F2C5" w14:textId="77777777" w:rsidR="007145BA" w:rsidRPr="00701439" w:rsidRDefault="007145BA" w:rsidP="00060208">
            <w:pPr>
              <w:jc w:val="both"/>
              <w:rPr>
                <w:rFonts w:asciiTheme="minorHAnsi" w:hAnsiTheme="minorHAnsi" w:cstheme="minorHAnsi"/>
                <w:color w:val="000000"/>
                <w:sz w:val="20"/>
                <w:szCs w:val="20"/>
              </w:rPr>
            </w:pPr>
            <w:r w:rsidRPr="00701439">
              <w:rPr>
                <w:rFonts w:asciiTheme="minorHAnsi" w:hAnsiTheme="minorHAnsi" w:cstheme="minorHAnsi"/>
                <w:color w:val="000000"/>
                <w:sz w:val="20"/>
                <w:szCs w:val="20"/>
              </w:rPr>
              <w:t>Average</w:t>
            </w:r>
          </w:p>
        </w:tc>
        <w:tc>
          <w:tcPr>
            <w:tcW w:w="1474" w:type="dxa"/>
            <w:tcBorders>
              <w:top w:val="nil"/>
              <w:left w:val="single" w:sz="4" w:space="0" w:color="auto"/>
              <w:bottom w:val="single" w:sz="4" w:space="0" w:color="auto"/>
              <w:right w:val="single" w:sz="4" w:space="0" w:color="auto"/>
            </w:tcBorders>
            <w:shd w:val="clear" w:color="auto" w:fill="auto"/>
            <w:noWrap/>
            <w:vAlign w:val="bottom"/>
            <w:hideMark/>
          </w:tcPr>
          <w:p w14:paraId="71F96068" w14:textId="2A15DA0E" w:rsidR="007145BA" w:rsidRPr="00701439" w:rsidRDefault="007145BA" w:rsidP="00017AA9">
            <w:pPr>
              <w:jc w:val="center"/>
              <w:rPr>
                <w:rFonts w:asciiTheme="minorHAnsi" w:hAnsiTheme="minorHAnsi" w:cstheme="minorHAnsi"/>
                <w:color w:val="000000"/>
                <w:sz w:val="20"/>
                <w:szCs w:val="20"/>
              </w:rPr>
            </w:pPr>
            <w:r w:rsidRPr="00701439">
              <w:rPr>
                <w:rFonts w:asciiTheme="minorHAnsi" w:hAnsiTheme="minorHAnsi" w:cstheme="minorHAnsi"/>
                <w:color w:val="000000"/>
                <w:sz w:val="20"/>
                <w:szCs w:val="20"/>
              </w:rPr>
              <w:t>4.1</w:t>
            </w:r>
          </w:p>
        </w:tc>
        <w:tc>
          <w:tcPr>
            <w:tcW w:w="1474" w:type="dxa"/>
            <w:tcBorders>
              <w:top w:val="nil"/>
              <w:left w:val="single" w:sz="4" w:space="0" w:color="auto"/>
              <w:bottom w:val="single" w:sz="4" w:space="0" w:color="auto"/>
              <w:right w:val="single" w:sz="4" w:space="0" w:color="auto"/>
            </w:tcBorders>
            <w:shd w:val="clear" w:color="auto" w:fill="auto"/>
            <w:noWrap/>
            <w:vAlign w:val="bottom"/>
            <w:hideMark/>
          </w:tcPr>
          <w:p w14:paraId="06F464C1" w14:textId="7AC40858" w:rsidR="007145BA" w:rsidRPr="00701439" w:rsidRDefault="007145BA" w:rsidP="00017AA9">
            <w:pPr>
              <w:jc w:val="center"/>
              <w:rPr>
                <w:rFonts w:asciiTheme="minorHAnsi" w:hAnsiTheme="minorHAnsi" w:cstheme="minorHAnsi"/>
                <w:color w:val="000000"/>
                <w:sz w:val="20"/>
                <w:szCs w:val="20"/>
              </w:rPr>
            </w:pPr>
            <w:r w:rsidRPr="00701439">
              <w:rPr>
                <w:rFonts w:asciiTheme="minorHAnsi" w:hAnsiTheme="minorHAnsi" w:cstheme="minorHAnsi"/>
                <w:color w:val="000000"/>
                <w:sz w:val="20"/>
                <w:szCs w:val="20"/>
              </w:rPr>
              <w:t>4.2</w:t>
            </w:r>
          </w:p>
        </w:tc>
        <w:tc>
          <w:tcPr>
            <w:tcW w:w="1474" w:type="dxa"/>
            <w:tcBorders>
              <w:top w:val="nil"/>
              <w:left w:val="single" w:sz="4" w:space="0" w:color="auto"/>
              <w:bottom w:val="single" w:sz="4" w:space="0" w:color="auto"/>
              <w:right w:val="single" w:sz="4" w:space="0" w:color="auto"/>
            </w:tcBorders>
            <w:shd w:val="clear" w:color="auto" w:fill="auto"/>
            <w:noWrap/>
            <w:vAlign w:val="bottom"/>
            <w:hideMark/>
          </w:tcPr>
          <w:p w14:paraId="68C9F409" w14:textId="6B6C8E75" w:rsidR="007145BA" w:rsidRPr="00701439" w:rsidRDefault="007145BA" w:rsidP="00017AA9">
            <w:pPr>
              <w:jc w:val="center"/>
              <w:rPr>
                <w:rFonts w:asciiTheme="minorHAnsi" w:hAnsiTheme="minorHAnsi" w:cstheme="minorHAnsi"/>
                <w:color w:val="000000"/>
                <w:sz w:val="20"/>
                <w:szCs w:val="20"/>
              </w:rPr>
            </w:pPr>
            <w:r w:rsidRPr="00701439">
              <w:rPr>
                <w:rFonts w:asciiTheme="minorHAnsi" w:hAnsiTheme="minorHAnsi" w:cstheme="minorHAnsi"/>
                <w:color w:val="000000"/>
                <w:sz w:val="20"/>
                <w:szCs w:val="20"/>
              </w:rPr>
              <w:t>3.4</w:t>
            </w:r>
          </w:p>
        </w:tc>
        <w:tc>
          <w:tcPr>
            <w:tcW w:w="1474" w:type="dxa"/>
            <w:tcBorders>
              <w:top w:val="nil"/>
              <w:left w:val="single" w:sz="4" w:space="0" w:color="auto"/>
              <w:bottom w:val="single" w:sz="4" w:space="0" w:color="auto"/>
            </w:tcBorders>
            <w:shd w:val="clear" w:color="auto" w:fill="auto"/>
            <w:noWrap/>
            <w:vAlign w:val="bottom"/>
            <w:hideMark/>
          </w:tcPr>
          <w:p w14:paraId="26A3F8C1" w14:textId="6A561089" w:rsidR="007145BA" w:rsidRPr="00701439" w:rsidRDefault="007145BA" w:rsidP="00017AA9">
            <w:pPr>
              <w:jc w:val="center"/>
              <w:rPr>
                <w:rFonts w:asciiTheme="minorHAnsi" w:hAnsiTheme="minorHAnsi" w:cstheme="minorHAnsi"/>
                <w:color w:val="000000"/>
                <w:sz w:val="20"/>
                <w:szCs w:val="20"/>
              </w:rPr>
            </w:pPr>
            <w:r w:rsidRPr="00701439">
              <w:rPr>
                <w:rFonts w:asciiTheme="minorHAnsi" w:hAnsiTheme="minorHAnsi" w:cstheme="minorHAnsi"/>
                <w:color w:val="000000"/>
                <w:sz w:val="20"/>
                <w:szCs w:val="20"/>
              </w:rPr>
              <w:t>4.6</w:t>
            </w:r>
          </w:p>
        </w:tc>
      </w:tr>
      <w:tr w:rsidR="007145BA" w:rsidRPr="00701439" w14:paraId="2F0F43B2" w14:textId="77777777" w:rsidTr="00BF63E3">
        <w:trPr>
          <w:trHeight w:val="278"/>
        </w:trPr>
        <w:tc>
          <w:tcPr>
            <w:tcW w:w="2371" w:type="dxa"/>
            <w:tcBorders>
              <w:top w:val="single" w:sz="4" w:space="0" w:color="auto"/>
              <w:right w:val="single" w:sz="4" w:space="0" w:color="auto"/>
            </w:tcBorders>
            <w:shd w:val="clear" w:color="auto" w:fill="auto"/>
            <w:noWrap/>
            <w:vAlign w:val="bottom"/>
            <w:hideMark/>
          </w:tcPr>
          <w:p w14:paraId="15ABD6C5" w14:textId="77777777" w:rsidR="007145BA" w:rsidRPr="00701439" w:rsidRDefault="007145BA" w:rsidP="00060208">
            <w:pPr>
              <w:jc w:val="both"/>
              <w:rPr>
                <w:rFonts w:asciiTheme="minorHAnsi" w:hAnsiTheme="minorHAnsi" w:cstheme="minorHAnsi"/>
                <w:b/>
                <w:color w:val="000000"/>
                <w:sz w:val="20"/>
                <w:szCs w:val="20"/>
              </w:rPr>
            </w:pPr>
            <w:r w:rsidRPr="00701439">
              <w:rPr>
                <w:rFonts w:asciiTheme="minorHAnsi" w:hAnsiTheme="minorHAnsi" w:cstheme="minorHAnsi"/>
                <w:b/>
                <w:color w:val="000000"/>
                <w:sz w:val="20"/>
                <w:szCs w:val="20"/>
              </w:rPr>
              <w:t>2024</w:t>
            </w:r>
          </w:p>
        </w:tc>
        <w:tc>
          <w:tcPr>
            <w:tcW w:w="1474" w:type="dxa"/>
            <w:tcBorders>
              <w:top w:val="single" w:sz="4" w:space="0" w:color="auto"/>
              <w:left w:val="single" w:sz="4" w:space="0" w:color="auto"/>
              <w:bottom w:val="nil"/>
              <w:right w:val="single" w:sz="4" w:space="0" w:color="auto"/>
            </w:tcBorders>
            <w:shd w:val="clear" w:color="auto" w:fill="auto"/>
            <w:noWrap/>
            <w:vAlign w:val="bottom"/>
            <w:hideMark/>
          </w:tcPr>
          <w:p w14:paraId="7C5AFA56" w14:textId="77777777" w:rsidR="007145BA" w:rsidRPr="00701439" w:rsidRDefault="007145BA" w:rsidP="00017AA9">
            <w:pPr>
              <w:jc w:val="center"/>
              <w:rPr>
                <w:rFonts w:asciiTheme="minorHAnsi" w:hAnsiTheme="minorHAnsi" w:cstheme="minorHAnsi"/>
                <w:color w:val="000000"/>
                <w:sz w:val="20"/>
                <w:szCs w:val="20"/>
              </w:rPr>
            </w:pPr>
          </w:p>
        </w:tc>
        <w:tc>
          <w:tcPr>
            <w:tcW w:w="1474" w:type="dxa"/>
            <w:tcBorders>
              <w:top w:val="single" w:sz="4" w:space="0" w:color="auto"/>
              <w:left w:val="single" w:sz="4" w:space="0" w:color="auto"/>
              <w:right w:val="single" w:sz="4" w:space="0" w:color="auto"/>
            </w:tcBorders>
            <w:shd w:val="clear" w:color="auto" w:fill="auto"/>
            <w:noWrap/>
            <w:vAlign w:val="bottom"/>
            <w:hideMark/>
          </w:tcPr>
          <w:p w14:paraId="4942ACFA" w14:textId="77777777" w:rsidR="007145BA" w:rsidRPr="00701439" w:rsidRDefault="007145BA" w:rsidP="00017AA9">
            <w:pPr>
              <w:jc w:val="center"/>
              <w:rPr>
                <w:rFonts w:asciiTheme="minorHAnsi" w:hAnsiTheme="minorHAnsi" w:cstheme="minorHAnsi"/>
                <w:sz w:val="20"/>
                <w:szCs w:val="20"/>
              </w:rPr>
            </w:pPr>
          </w:p>
        </w:tc>
        <w:tc>
          <w:tcPr>
            <w:tcW w:w="1474" w:type="dxa"/>
            <w:tcBorders>
              <w:top w:val="single" w:sz="4" w:space="0" w:color="auto"/>
              <w:left w:val="single" w:sz="4" w:space="0" w:color="auto"/>
              <w:right w:val="single" w:sz="4" w:space="0" w:color="auto"/>
            </w:tcBorders>
            <w:shd w:val="clear" w:color="auto" w:fill="auto"/>
            <w:noWrap/>
            <w:vAlign w:val="bottom"/>
            <w:hideMark/>
          </w:tcPr>
          <w:p w14:paraId="1DF2D6DA" w14:textId="77777777" w:rsidR="007145BA" w:rsidRPr="00701439" w:rsidRDefault="007145BA" w:rsidP="00017AA9">
            <w:pPr>
              <w:jc w:val="center"/>
              <w:rPr>
                <w:rFonts w:asciiTheme="minorHAnsi" w:hAnsiTheme="minorHAnsi" w:cstheme="minorHAnsi"/>
                <w:sz w:val="20"/>
                <w:szCs w:val="20"/>
              </w:rPr>
            </w:pPr>
          </w:p>
        </w:tc>
        <w:tc>
          <w:tcPr>
            <w:tcW w:w="1474" w:type="dxa"/>
            <w:tcBorders>
              <w:top w:val="single" w:sz="4" w:space="0" w:color="auto"/>
              <w:left w:val="single" w:sz="4" w:space="0" w:color="auto"/>
            </w:tcBorders>
            <w:shd w:val="clear" w:color="auto" w:fill="auto"/>
            <w:noWrap/>
            <w:vAlign w:val="bottom"/>
            <w:hideMark/>
          </w:tcPr>
          <w:p w14:paraId="08292F7B" w14:textId="77777777" w:rsidR="007145BA" w:rsidRPr="00701439" w:rsidRDefault="007145BA" w:rsidP="00017AA9">
            <w:pPr>
              <w:jc w:val="center"/>
              <w:rPr>
                <w:rFonts w:asciiTheme="minorHAnsi" w:hAnsiTheme="minorHAnsi" w:cstheme="minorHAnsi"/>
                <w:sz w:val="20"/>
                <w:szCs w:val="20"/>
              </w:rPr>
            </w:pPr>
          </w:p>
        </w:tc>
      </w:tr>
      <w:tr w:rsidR="007145BA" w:rsidRPr="00701439" w14:paraId="32D3776B" w14:textId="77777777" w:rsidTr="00BF63E3">
        <w:trPr>
          <w:trHeight w:val="278"/>
        </w:trPr>
        <w:tc>
          <w:tcPr>
            <w:tcW w:w="2371" w:type="dxa"/>
            <w:tcBorders>
              <w:right w:val="single" w:sz="4" w:space="0" w:color="auto"/>
            </w:tcBorders>
            <w:shd w:val="clear" w:color="auto" w:fill="auto"/>
            <w:noWrap/>
            <w:vAlign w:val="bottom"/>
            <w:hideMark/>
          </w:tcPr>
          <w:p w14:paraId="77A4DE79" w14:textId="77777777" w:rsidR="007145BA" w:rsidRPr="00701439" w:rsidRDefault="007145BA" w:rsidP="00060208">
            <w:pPr>
              <w:jc w:val="both"/>
              <w:rPr>
                <w:rFonts w:asciiTheme="minorHAnsi" w:hAnsiTheme="minorHAnsi" w:cstheme="minorHAnsi"/>
                <w:color w:val="000000"/>
                <w:sz w:val="20"/>
                <w:szCs w:val="20"/>
              </w:rPr>
            </w:pPr>
            <w:r w:rsidRPr="00701439">
              <w:rPr>
                <w:rFonts w:asciiTheme="minorHAnsi" w:hAnsiTheme="minorHAnsi" w:cstheme="minorHAnsi"/>
                <w:color w:val="000000"/>
                <w:sz w:val="20"/>
                <w:szCs w:val="20"/>
              </w:rPr>
              <w:t>Peak</w:t>
            </w:r>
          </w:p>
        </w:tc>
        <w:tc>
          <w:tcPr>
            <w:tcW w:w="1474" w:type="dxa"/>
            <w:tcBorders>
              <w:top w:val="nil"/>
              <w:left w:val="single" w:sz="4" w:space="0" w:color="auto"/>
              <w:bottom w:val="nil"/>
              <w:right w:val="single" w:sz="4" w:space="0" w:color="auto"/>
            </w:tcBorders>
            <w:shd w:val="clear" w:color="auto" w:fill="auto"/>
            <w:noWrap/>
            <w:vAlign w:val="bottom"/>
            <w:hideMark/>
          </w:tcPr>
          <w:p w14:paraId="0AF7CDDC" w14:textId="628899C8" w:rsidR="007145BA" w:rsidRPr="00701439" w:rsidRDefault="007145BA" w:rsidP="00017AA9">
            <w:pPr>
              <w:jc w:val="center"/>
              <w:rPr>
                <w:rFonts w:asciiTheme="minorHAnsi" w:hAnsiTheme="minorHAnsi" w:cstheme="minorHAnsi"/>
                <w:color w:val="000000"/>
                <w:sz w:val="20"/>
                <w:szCs w:val="20"/>
              </w:rPr>
            </w:pPr>
            <w:r w:rsidRPr="00701439">
              <w:rPr>
                <w:rFonts w:asciiTheme="minorHAnsi" w:hAnsiTheme="minorHAnsi" w:cstheme="minorHAnsi"/>
                <w:color w:val="000000"/>
                <w:sz w:val="20"/>
                <w:szCs w:val="20"/>
              </w:rPr>
              <w:t>4.8</w:t>
            </w:r>
          </w:p>
        </w:tc>
        <w:tc>
          <w:tcPr>
            <w:tcW w:w="1474" w:type="dxa"/>
            <w:tcBorders>
              <w:left w:val="single" w:sz="4" w:space="0" w:color="auto"/>
              <w:right w:val="single" w:sz="4" w:space="0" w:color="auto"/>
            </w:tcBorders>
            <w:shd w:val="clear" w:color="auto" w:fill="auto"/>
            <w:noWrap/>
            <w:vAlign w:val="bottom"/>
            <w:hideMark/>
          </w:tcPr>
          <w:p w14:paraId="5FA114D0" w14:textId="342EA35F" w:rsidR="007145BA" w:rsidRPr="00701439" w:rsidRDefault="007145BA" w:rsidP="00017AA9">
            <w:pPr>
              <w:jc w:val="center"/>
              <w:rPr>
                <w:rFonts w:asciiTheme="minorHAnsi" w:hAnsiTheme="minorHAnsi" w:cstheme="minorHAnsi"/>
                <w:color w:val="000000"/>
                <w:sz w:val="20"/>
                <w:szCs w:val="20"/>
              </w:rPr>
            </w:pPr>
            <w:r w:rsidRPr="00701439">
              <w:rPr>
                <w:rFonts w:asciiTheme="minorHAnsi" w:hAnsiTheme="minorHAnsi" w:cstheme="minorHAnsi"/>
                <w:color w:val="000000"/>
                <w:sz w:val="20"/>
                <w:szCs w:val="20"/>
              </w:rPr>
              <w:t>6.4</w:t>
            </w:r>
          </w:p>
        </w:tc>
        <w:tc>
          <w:tcPr>
            <w:tcW w:w="1474" w:type="dxa"/>
            <w:tcBorders>
              <w:left w:val="single" w:sz="4" w:space="0" w:color="auto"/>
              <w:right w:val="single" w:sz="4" w:space="0" w:color="auto"/>
            </w:tcBorders>
            <w:shd w:val="clear" w:color="auto" w:fill="auto"/>
            <w:noWrap/>
            <w:vAlign w:val="bottom"/>
            <w:hideMark/>
          </w:tcPr>
          <w:p w14:paraId="41A849A0" w14:textId="79FFABD5" w:rsidR="007145BA" w:rsidRPr="00701439" w:rsidRDefault="007145BA" w:rsidP="00017AA9">
            <w:pPr>
              <w:jc w:val="center"/>
              <w:rPr>
                <w:rFonts w:asciiTheme="minorHAnsi" w:hAnsiTheme="minorHAnsi" w:cstheme="minorHAnsi"/>
                <w:color w:val="000000"/>
                <w:sz w:val="20"/>
                <w:szCs w:val="20"/>
              </w:rPr>
            </w:pPr>
            <w:r w:rsidRPr="00701439">
              <w:rPr>
                <w:rFonts w:asciiTheme="minorHAnsi" w:hAnsiTheme="minorHAnsi" w:cstheme="minorHAnsi"/>
                <w:color w:val="000000"/>
                <w:sz w:val="20"/>
                <w:szCs w:val="20"/>
              </w:rPr>
              <w:t>3.9</w:t>
            </w:r>
          </w:p>
        </w:tc>
        <w:tc>
          <w:tcPr>
            <w:tcW w:w="1474" w:type="dxa"/>
            <w:tcBorders>
              <w:left w:val="single" w:sz="4" w:space="0" w:color="auto"/>
            </w:tcBorders>
            <w:shd w:val="clear" w:color="auto" w:fill="auto"/>
            <w:noWrap/>
            <w:vAlign w:val="bottom"/>
            <w:hideMark/>
          </w:tcPr>
          <w:p w14:paraId="701D65B3" w14:textId="46F0B541" w:rsidR="007145BA" w:rsidRPr="00701439" w:rsidRDefault="007145BA" w:rsidP="00017AA9">
            <w:pPr>
              <w:jc w:val="center"/>
              <w:rPr>
                <w:rFonts w:asciiTheme="minorHAnsi" w:hAnsiTheme="minorHAnsi" w:cstheme="minorHAnsi"/>
                <w:color w:val="000000"/>
                <w:sz w:val="20"/>
                <w:szCs w:val="20"/>
              </w:rPr>
            </w:pPr>
            <w:r w:rsidRPr="00701439">
              <w:rPr>
                <w:rFonts w:asciiTheme="minorHAnsi" w:hAnsiTheme="minorHAnsi" w:cstheme="minorHAnsi"/>
                <w:color w:val="000000"/>
                <w:sz w:val="20"/>
                <w:szCs w:val="20"/>
              </w:rPr>
              <w:t>8.5</w:t>
            </w:r>
          </w:p>
        </w:tc>
      </w:tr>
      <w:tr w:rsidR="007145BA" w:rsidRPr="00701439" w14:paraId="044E2814" w14:textId="77777777" w:rsidTr="00BF63E3">
        <w:trPr>
          <w:trHeight w:val="278"/>
        </w:trPr>
        <w:tc>
          <w:tcPr>
            <w:tcW w:w="2371" w:type="dxa"/>
            <w:tcBorders>
              <w:right w:val="single" w:sz="4" w:space="0" w:color="auto"/>
            </w:tcBorders>
            <w:shd w:val="clear" w:color="auto" w:fill="auto"/>
            <w:noWrap/>
            <w:vAlign w:val="bottom"/>
            <w:hideMark/>
          </w:tcPr>
          <w:p w14:paraId="75991338" w14:textId="77777777" w:rsidR="007145BA" w:rsidRPr="00701439" w:rsidRDefault="007145BA" w:rsidP="00060208">
            <w:pPr>
              <w:jc w:val="both"/>
              <w:rPr>
                <w:rFonts w:asciiTheme="minorHAnsi" w:hAnsiTheme="minorHAnsi" w:cstheme="minorHAnsi"/>
                <w:color w:val="000000"/>
                <w:sz w:val="20"/>
                <w:szCs w:val="20"/>
              </w:rPr>
            </w:pPr>
            <w:r w:rsidRPr="00701439">
              <w:rPr>
                <w:rFonts w:asciiTheme="minorHAnsi" w:hAnsiTheme="minorHAnsi" w:cstheme="minorHAnsi"/>
                <w:color w:val="000000"/>
                <w:sz w:val="20"/>
                <w:szCs w:val="20"/>
              </w:rPr>
              <w:t>Average</w:t>
            </w:r>
          </w:p>
        </w:tc>
        <w:tc>
          <w:tcPr>
            <w:tcW w:w="1474" w:type="dxa"/>
            <w:tcBorders>
              <w:top w:val="nil"/>
              <w:left w:val="single" w:sz="4" w:space="0" w:color="auto"/>
              <w:bottom w:val="single" w:sz="4" w:space="0" w:color="auto"/>
              <w:right w:val="single" w:sz="4" w:space="0" w:color="auto"/>
            </w:tcBorders>
            <w:shd w:val="clear" w:color="auto" w:fill="auto"/>
            <w:noWrap/>
            <w:vAlign w:val="bottom"/>
            <w:hideMark/>
          </w:tcPr>
          <w:p w14:paraId="0C8332E6" w14:textId="3EA45F9A" w:rsidR="007145BA" w:rsidRPr="00701439" w:rsidRDefault="007145BA" w:rsidP="00017AA9">
            <w:pPr>
              <w:jc w:val="center"/>
              <w:rPr>
                <w:rFonts w:asciiTheme="minorHAnsi" w:hAnsiTheme="minorHAnsi" w:cstheme="minorHAnsi"/>
                <w:color w:val="000000"/>
                <w:sz w:val="20"/>
                <w:szCs w:val="20"/>
              </w:rPr>
            </w:pPr>
            <w:r w:rsidRPr="00701439">
              <w:rPr>
                <w:rFonts w:asciiTheme="minorHAnsi" w:hAnsiTheme="minorHAnsi" w:cstheme="minorHAnsi"/>
                <w:color w:val="000000"/>
                <w:sz w:val="20"/>
                <w:szCs w:val="20"/>
              </w:rPr>
              <w:t>4.7</w:t>
            </w:r>
          </w:p>
        </w:tc>
        <w:tc>
          <w:tcPr>
            <w:tcW w:w="1474" w:type="dxa"/>
            <w:tcBorders>
              <w:left w:val="single" w:sz="4" w:space="0" w:color="auto"/>
              <w:bottom w:val="single" w:sz="4" w:space="0" w:color="auto"/>
              <w:right w:val="single" w:sz="4" w:space="0" w:color="auto"/>
            </w:tcBorders>
            <w:shd w:val="clear" w:color="auto" w:fill="auto"/>
            <w:noWrap/>
            <w:vAlign w:val="bottom"/>
            <w:hideMark/>
          </w:tcPr>
          <w:p w14:paraId="2044563B" w14:textId="3347A6D8" w:rsidR="007145BA" w:rsidRPr="00701439" w:rsidRDefault="007145BA" w:rsidP="00017AA9">
            <w:pPr>
              <w:jc w:val="center"/>
              <w:rPr>
                <w:rFonts w:asciiTheme="minorHAnsi" w:hAnsiTheme="minorHAnsi" w:cstheme="minorHAnsi"/>
                <w:color w:val="000000"/>
                <w:sz w:val="20"/>
                <w:szCs w:val="20"/>
              </w:rPr>
            </w:pPr>
            <w:r w:rsidRPr="00701439">
              <w:rPr>
                <w:rFonts w:asciiTheme="minorHAnsi" w:hAnsiTheme="minorHAnsi" w:cstheme="minorHAnsi"/>
                <w:color w:val="000000"/>
                <w:sz w:val="20"/>
                <w:szCs w:val="20"/>
              </w:rPr>
              <w:t>5.8</w:t>
            </w:r>
          </w:p>
        </w:tc>
        <w:tc>
          <w:tcPr>
            <w:tcW w:w="1474" w:type="dxa"/>
            <w:tcBorders>
              <w:left w:val="single" w:sz="4" w:space="0" w:color="auto"/>
              <w:bottom w:val="single" w:sz="4" w:space="0" w:color="auto"/>
              <w:right w:val="single" w:sz="4" w:space="0" w:color="auto"/>
            </w:tcBorders>
            <w:shd w:val="clear" w:color="auto" w:fill="auto"/>
            <w:noWrap/>
            <w:vAlign w:val="bottom"/>
            <w:hideMark/>
          </w:tcPr>
          <w:p w14:paraId="78ACE381" w14:textId="31CB0BB6" w:rsidR="007145BA" w:rsidRPr="00701439" w:rsidRDefault="007145BA" w:rsidP="00017AA9">
            <w:pPr>
              <w:jc w:val="center"/>
              <w:rPr>
                <w:rFonts w:asciiTheme="minorHAnsi" w:hAnsiTheme="minorHAnsi" w:cstheme="minorHAnsi"/>
                <w:color w:val="000000"/>
                <w:sz w:val="20"/>
                <w:szCs w:val="20"/>
              </w:rPr>
            </w:pPr>
            <w:r w:rsidRPr="00701439">
              <w:rPr>
                <w:rFonts w:asciiTheme="minorHAnsi" w:hAnsiTheme="minorHAnsi" w:cstheme="minorHAnsi"/>
                <w:color w:val="000000"/>
                <w:sz w:val="20"/>
                <w:szCs w:val="20"/>
              </w:rPr>
              <w:t>3.6</w:t>
            </w:r>
          </w:p>
        </w:tc>
        <w:tc>
          <w:tcPr>
            <w:tcW w:w="1474" w:type="dxa"/>
            <w:tcBorders>
              <w:left w:val="single" w:sz="4" w:space="0" w:color="auto"/>
            </w:tcBorders>
            <w:shd w:val="clear" w:color="auto" w:fill="auto"/>
            <w:noWrap/>
            <w:vAlign w:val="bottom"/>
            <w:hideMark/>
          </w:tcPr>
          <w:p w14:paraId="1BA0D669" w14:textId="2042E1B0" w:rsidR="007145BA" w:rsidRPr="00701439" w:rsidRDefault="007145BA" w:rsidP="00017AA9">
            <w:pPr>
              <w:jc w:val="center"/>
              <w:rPr>
                <w:rFonts w:asciiTheme="minorHAnsi" w:hAnsiTheme="minorHAnsi" w:cstheme="minorHAnsi"/>
                <w:color w:val="000000"/>
                <w:sz w:val="20"/>
                <w:szCs w:val="20"/>
              </w:rPr>
            </w:pPr>
            <w:r w:rsidRPr="00701439">
              <w:rPr>
                <w:rFonts w:asciiTheme="minorHAnsi" w:hAnsiTheme="minorHAnsi" w:cstheme="minorHAnsi"/>
                <w:color w:val="000000"/>
                <w:sz w:val="20"/>
                <w:szCs w:val="20"/>
              </w:rPr>
              <w:t>7.4</w:t>
            </w:r>
          </w:p>
        </w:tc>
      </w:tr>
    </w:tbl>
    <w:p w14:paraId="53069031" w14:textId="77777777" w:rsidR="00F965D1" w:rsidRPr="00701439" w:rsidRDefault="00F965D1" w:rsidP="00E534C5">
      <w:pPr>
        <w:pStyle w:val="NoSpacing"/>
        <w:jc w:val="both"/>
        <w:rPr>
          <w:rStyle w:val="Strong"/>
          <w:sz w:val="20"/>
          <w:szCs w:val="20"/>
        </w:rPr>
      </w:pPr>
      <w:bookmarkStart w:id="9" w:name="_Hlk64536414"/>
    </w:p>
    <w:p w14:paraId="6E0759C9" w14:textId="77777777" w:rsidR="0093720F" w:rsidRPr="00701439" w:rsidRDefault="0093720F" w:rsidP="0093720F">
      <w:pPr>
        <w:pStyle w:val="NoSpacing"/>
        <w:jc w:val="both"/>
        <w:rPr>
          <w:rStyle w:val="Strong"/>
          <w:b w:val="0"/>
          <w:bCs w:val="0"/>
          <w:sz w:val="20"/>
          <w:szCs w:val="20"/>
        </w:rPr>
      </w:pPr>
      <w:r w:rsidRPr="00701439">
        <w:rPr>
          <w:rStyle w:val="Strong"/>
          <w:b w:val="0"/>
          <w:bCs w:val="0"/>
          <w:sz w:val="20"/>
          <w:szCs w:val="20"/>
        </w:rPr>
        <w:t xml:space="preserve">Management has placed a significant focus on the </w:t>
      </w:r>
      <w:proofErr w:type="gramStart"/>
      <w:r w:rsidRPr="00701439">
        <w:rPr>
          <w:rStyle w:val="Strong"/>
          <w:b w:val="0"/>
          <w:bCs w:val="0"/>
          <w:sz w:val="20"/>
          <w:szCs w:val="20"/>
        </w:rPr>
        <w:t>cost of living</w:t>
      </w:r>
      <w:proofErr w:type="gramEnd"/>
      <w:r w:rsidRPr="00701439">
        <w:rPr>
          <w:rStyle w:val="Strong"/>
          <w:b w:val="0"/>
          <w:bCs w:val="0"/>
          <w:sz w:val="20"/>
          <w:szCs w:val="20"/>
        </w:rPr>
        <w:t xml:space="preserve"> crisis and post-model overlays are recognised across all products. However, credit performance across the Group remains stable and internal analysis shows no obvious </w:t>
      </w:r>
      <w:proofErr w:type="gramStart"/>
      <w:r w:rsidRPr="00701439">
        <w:rPr>
          <w:rStyle w:val="Strong"/>
          <w:b w:val="0"/>
          <w:bCs w:val="0"/>
          <w:sz w:val="20"/>
          <w:szCs w:val="20"/>
        </w:rPr>
        <w:t>signs</w:t>
      </w:r>
      <w:proofErr w:type="gramEnd"/>
    </w:p>
    <w:p w14:paraId="3D3D241C" w14:textId="2B0C73D9" w:rsidR="0093720F" w:rsidRPr="00701439" w:rsidRDefault="0093720F" w:rsidP="0093720F">
      <w:pPr>
        <w:pStyle w:val="NoSpacing"/>
        <w:jc w:val="both"/>
        <w:rPr>
          <w:rStyle w:val="Strong"/>
          <w:sz w:val="20"/>
          <w:szCs w:val="20"/>
        </w:rPr>
      </w:pPr>
      <w:r w:rsidRPr="00701439">
        <w:rPr>
          <w:rStyle w:val="Strong"/>
          <w:b w:val="0"/>
          <w:bCs w:val="0"/>
          <w:sz w:val="20"/>
          <w:szCs w:val="20"/>
        </w:rPr>
        <w:t xml:space="preserve">of stress from the </w:t>
      </w:r>
      <w:proofErr w:type="gramStart"/>
      <w:r w:rsidRPr="00701439">
        <w:rPr>
          <w:rStyle w:val="Strong"/>
          <w:b w:val="0"/>
          <w:bCs w:val="0"/>
          <w:sz w:val="20"/>
          <w:szCs w:val="20"/>
        </w:rPr>
        <w:t>cost of living</w:t>
      </w:r>
      <w:proofErr w:type="gramEnd"/>
      <w:r w:rsidRPr="00701439">
        <w:rPr>
          <w:rStyle w:val="Strong"/>
          <w:b w:val="0"/>
          <w:bCs w:val="0"/>
          <w:sz w:val="20"/>
          <w:szCs w:val="20"/>
        </w:rPr>
        <w:t xml:space="preserve"> crisis at this stage. The Group’s customers are more agile in managing their finances during times of affordability constraints. A significant proportion of the Groups customers are also expected to benefit from wage increases during 2023 which will help alleviate financial stress</w:t>
      </w:r>
      <w:r w:rsidRPr="00701439">
        <w:rPr>
          <w:rStyle w:val="Strong"/>
          <w:sz w:val="20"/>
          <w:szCs w:val="20"/>
        </w:rPr>
        <w:t>.</w:t>
      </w:r>
    </w:p>
    <w:p w14:paraId="6086EC51" w14:textId="77777777" w:rsidR="00AC3CA7" w:rsidRPr="00701439" w:rsidRDefault="00AC3CA7" w:rsidP="0093720F">
      <w:pPr>
        <w:pStyle w:val="NoSpacing"/>
        <w:jc w:val="both"/>
        <w:rPr>
          <w:rStyle w:val="Strong"/>
          <w:sz w:val="20"/>
          <w:szCs w:val="20"/>
        </w:rPr>
      </w:pPr>
    </w:p>
    <w:p w14:paraId="4BE9DF66" w14:textId="175A86FF" w:rsidR="00AC3CA7" w:rsidRPr="00701439" w:rsidRDefault="00AC3CA7" w:rsidP="00AC3CA7">
      <w:pPr>
        <w:pStyle w:val="NoSpacing"/>
        <w:jc w:val="both"/>
        <w:rPr>
          <w:rStyle w:val="Strong"/>
          <w:b w:val="0"/>
          <w:sz w:val="20"/>
          <w:szCs w:val="20"/>
        </w:rPr>
      </w:pPr>
      <w:r w:rsidRPr="00701439">
        <w:rPr>
          <w:rStyle w:val="Strong"/>
          <w:b w:val="0"/>
          <w:sz w:val="20"/>
          <w:szCs w:val="20"/>
        </w:rPr>
        <w:t xml:space="preserve">Management judgement has been used to determine appropriate amounts to be held as </w:t>
      </w:r>
      <w:proofErr w:type="gramStart"/>
      <w:r w:rsidRPr="00701439">
        <w:rPr>
          <w:rStyle w:val="Strong"/>
          <w:b w:val="0"/>
          <w:sz w:val="20"/>
          <w:szCs w:val="20"/>
        </w:rPr>
        <w:t>cost of living</w:t>
      </w:r>
      <w:proofErr w:type="gramEnd"/>
      <w:r w:rsidRPr="00701439">
        <w:rPr>
          <w:rStyle w:val="Strong"/>
          <w:b w:val="0"/>
          <w:sz w:val="20"/>
          <w:szCs w:val="20"/>
        </w:rPr>
        <w:t xml:space="preserve"> post-model overlays taking into account the total level of provisioning held across the portfolio including the macroeconomic provision. Scenario modelling techniques have been used to support the amount of post-model overlays recognised for a potential cost of living impact</w:t>
      </w:r>
      <w:r w:rsidR="00E64FD9" w:rsidRPr="00701439">
        <w:rPr>
          <w:rStyle w:val="Strong"/>
          <w:b w:val="0"/>
          <w:bCs w:val="0"/>
          <w:sz w:val="20"/>
          <w:szCs w:val="20"/>
        </w:rPr>
        <w:t>.</w:t>
      </w:r>
    </w:p>
    <w:p w14:paraId="0FCA10A1" w14:textId="77777777" w:rsidR="00E64FD9" w:rsidRPr="00701439" w:rsidRDefault="00E64FD9" w:rsidP="00AC3CA7">
      <w:pPr>
        <w:pStyle w:val="NoSpacing"/>
        <w:jc w:val="both"/>
        <w:rPr>
          <w:rStyle w:val="Strong"/>
          <w:sz w:val="20"/>
          <w:szCs w:val="20"/>
        </w:rPr>
      </w:pPr>
    </w:p>
    <w:p w14:paraId="2EE72803" w14:textId="23AF0CE0" w:rsidR="00E64FD9" w:rsidRPr="00701439" w:rsidRDefault="00E64FD9" w:rsidP="00E64FD9">
      <w:pPr>
        <w:pStyle w:val="NoSpacing"/>
        <w:jc w:val="both"/>
        <w:rPr>
          <w:rStyle w:val="Strong"/>
          <w:b w:val="0"/>
          <w:bCs w:val="0"/>
          <w:sz w:val="20"/>
          <w:szCs w:val="20"/>
        </w:rPr>
      </w:pPr>
      <w:r w:rsidRPr="00701439">
        <w:rPr>
          <w:rStyle w:val="Strong"/>
          <w:b w:val="0"/>
          <w:bCs w:val="0"/>
          <w:sz w:val="20"/>
          <w:szCs w:val="20"/>
        </w:rPr>
        <w:t>A breakdown of the in-model and post-model overlays is included within note 8.</w:t>
      </w:r>
    </w:p>
    <w:p w14:paraId="69E4BA7D" w14:textId="755C946D" w:rsidR="00F965D1" w:rsidRPr="00701439" w:rsidRDefault="00F965D1" w:rsidP="00E534C5">
      <w:pPr>
        <w:pStyle w:val="NoSpacing"/>
        <w:jc w:val="both"/>
        <w:rPr>
          <w:rStyle w:val="Strong"/>
          <w:sz w:val="20"/>
          <w:szCs w:val="20"/>
        </w:rPr>
      </w:pPr>
    </w:p>
    <w:p w14:paraId="4B5F2DFD" w14:textId="77777777" w:rsidR="0029706F" w:rsidRPr="00701439" w:rsidRDefault="0029706F" w:rsidP="00E534C5">
      <w:pPr>
        <w:pStyle w:val="NoSpacing"/>
        <w:jc w:val="both"/>
        <w:rPr>
          <w:rStyle w:val="Strong"/>
          <w:color w:val="4747FF"/>
        </w:rPr>
      </w:pPr>
    </w:p>
    <w:p w14:paraId="2D76C34E" w14:textId="77777777" w:rsidR="00970568" w:rsidRPr="00701439" w:rsidRDefault="00970568" w:rsidP="00E534C5">
      <w:pPr>
        <w:pStyle w:val="NoSpacing"/>
        <w:jc w:val="both"/>
        <w:rPr>
          <w:rStyle w:val="Strong"/>
          <w:color w:val="4747FF"/>
        </w:rPr>
      </w:pPr>
    </w:p>
    <w:p w14:paraId="6BFF9647" w14:textId="77777777" w:rsidR="009F2BB1" w:rsidRPr="00701439" w:rsidRDefault="009F2BB1" w:rsidP="00E534C5">
      <w:pPr>
        <w:pStyle w:val="NoSpacing"/>
        <w:jc w:val="both"/>
        <w:rPr>
          <w:rStyle w:val="Strong"/>
          <w:color w:val="4747FF"/>
        </w:rPr>
      </w:pPr>
    </w:p>
    <w:p w14:paraId="6C4FF6DA" w14:textId="77777777" w:rsidR="009F2BB1" w:rsidRPr="00701439" w:rsidRDefault="009F2BB1" w:rsidP="00E534C5">
      <w:pPr>
        <w:pStyle w:val="NoSpacing"/>
        <w:jc w:val="both"/>
        <w:rPr>
          <w:rStyle w:val="Strong"/>
          <w:color w:val="4747FF"/>
        </w:rPr>
      </w:pPr>
    </w:p>
    <w:p w14:paraId="732251AB" w14:textId="77777777" w:rsidR="00483770" w:rsidRPr="00701439" w:rsidRDefault="00483770" w:rsidP="00E534C5">
      <w:pPr>
        <w:pStyle w:val="NoSpacing"/>
        <w:jc w:val="both"/>
        <w:rPr>
          <w:rStyle w:val="Strong"/>
          <w:color w:val="4747FF"/>
        </w:rPr>
      </w:pPr>
    </w:p>
    <w:p w14:paraId="42CC527C" w14:textId="77777777" w:rsidR="00483770" w:rsidRPr="00701439" w:rsidRDefault="00483770" w:rsidP="00E534C5">
      <w:pPr>
        <w:pStyle w:val="NoSpacing"/>
        <w:jc w:val="both"/>
        <w:rPr>
          <w:rStyle w:val="Strong"/>
          <w:color w:val="4747FF"/>
        </w:rPr>
      </w:pPr>
    </w:p>
    <w:p w14:paraId="275B9E98" w14:textId="77777777" w:rsidR="00483770" w:rsidRPr="00701439" w:rsidRDefault="00483770" w:rsidP="00E534C5">
      <w:pPr>
        <w:pStyle w:val="NoSpacing"/>
        <w:jc w:val="both"/>
        <w:rPr>
          <w:rStyle w:val="Strong"/>
          <w:color w:val="4747FF"/>
        </w:rPr>
      </w:pPr>
    </w:p>
    <w:p w14:paraId="6A1A0528" w14:textId="77777777" w:rsidR="00483770" w:rsidRPr="00701439" w:rsidRDefault="00483770" w:rsidP="00E534C5">
      <w:pPr>
        <w:pStyle w:val="NoSpacing"/>
        <w:jc w:val="both"/>
        <w:rPr>
          <w:rStyle w:val="Strong"/>
          <w:color w:val="4747FF"/>
        </w:rPr>
      </w:pPr>
    </w:p>
    <w:p w14:paraId="181B0CF7" w14:textId="1A0C7833" w:rsidR="00F01EC8" w:rsidRPr="00701439" w:rsidRDefault="00AE29B0" w:rsidP="00E534C5">
      <w:pPr>
        <w:pStyle w:val="NoSpacing"/>
        <w:jc w:val="both"/>
        <w:rPr>
          <w:rStyle w:val="Strong"/>
          <w:color w:val="4747FF"/>
        </w:rPr>
      </w:pPr>
      <w:r w:rsidRPr="00701439">
        <w:rPr>
          <w:rStyle w:val="Strong"/>
          <w:color w:val="4747FF"/>
        </w:rPr>
        <w:lastRenderedPageBreak/>
        <w:t>Credit Cards</w:t>
      </w:r>
    </w:p>
    <w:tbl>
      <w:tblPr>
        <w:tblW w:w="9780" w:type="dxa"/>
        <w:tblLayout w:type="fixed"/>
        <w:tblLook w:val="04A0" w:firstRow="1" w:lastRow="0" w:firstColumn="1" w:lastColumn="0" w:noHBand="0" w:noVBand="1"/>
      </w:tblPr>
      <w:tblGrid>
        <w:gridCol w:w="6378"/>
        <w:gridCol w:w="1134"/>
        <w:gridCol w:w="1134"/>
        <w:gridCol w:w="1134"/>
      </w:tblGrid>
      <w:tr w:rsidR="00F01EC8" w:rsidRPr="00701439" w14:paraId="607219C1" w14:textId="77777777" w:rsidTr="00AF2F0C">
        <w:tc>
          <w:tcPr>
            <w:tcW w:w="6378" w:type="dxa"/>
          </w:tcPr>
          <w:p w14:paraId="60CD1514" w14:textId="77777777" w:rsidR="00F01EC8" w:rsidRPr="00701439" w:rsidRDefault="00F01EC8" w:rsidP="00E534C5">
            <w:pPr>
              <w:pStyle w:val="NoSpacing"/>
              <w:jc w:val="both"/>
              <w:rPr>
                <w:sz w:val="20"/>
                <w:szCs w:val="20"/>
              </w:rPr>
            </w:pPr>
          </w:p>
        </w:tc>
        <w:tc>
          <w:tcPr>
            <w:tcW w:w="3402" w:type="dxa"/>
            <w:gridSpan w:val="3"/>
            <w:hideMark/>
          </w:tcPr>
          <w:p w14:paraId="7FCAC7AA" w14:textId="77777777" w:rsidR="00F965D1" w:rsidRPr="00701439" w:rsidRDefault="00F965D1" w:rsidP="00E534C5">
            <w:pPr>
              <w:pStyle w:val="NoSpacing"/>
              <w:jc w:val="center"/>
              <w:rPr>
                <w:sz w:val="20"/>
                <w:szCs w:val="20"/>
              </w:rPr>
            </w:pPr>
          </w:p>
          <w:p w14:paraId="36AE86B2" w14:textId="7D88AFBC" w:rsidR="00F01EC8" w:rsidRPr="00701439" w:rsidRDefault="00196A38" w:rsidP="00E534C5">
            <w:pPr>
              <w:pStyle w:val="NoSpacing"/>
              <w:jc w:val="center"/>
              <w:rPr>
                <w:sz w:val="20"/>
                <w:szCs w:val="20"/>
              </w:rPr>
            </w:pPr>
            <w:r w:rsidRPr="00701439">
              <w:rPr>
                <w:sz w:val="20"/>
                <w:szCs w:val="20"/>
              </w:rPr>
              <w:t>Twelve months</w:t>
            </w:r>
            <w:r w:rsidR="00F01EC8" w:rsidRPr="00701439">
              <w:rPr>
                <w:sz w:val="20"/>
                <w:szCs w:val="20"/>
              </w:rPr>
              <w:t xml:space="preserve"> ended </w:t>
            </w:r>
            <w:r w:rsidRPr="00701439">
              <w:rPr>
                <w:sz w:val="20"/>
                <w:szCs w:val="20"/>
              </w:rPr>
              <w:t>31 December</w:t>
            </w:r>
          </w:p>
        </w:tc>
      </w:tr>
      <w:tr w:rsidR="00F01EC8" w:rsidRPr="00701439" w14:paraId="7FB7FED4" w14:textId="77777777" w:rsidTr="00AF2F0C">
        <w:tc>
          <w:tcPr>
            <w:tcW w:w="6378" w:type="dxa"/>
          </w:tcPr>
          <w:p w14:paraId="1452D8B5" w14:textId="77777777" w:rsidR="00F01EC8" w:rsidRPr="00701439" w:rsidRDefault="00F01EC8" w:rsidP="00E534C5">
            <w:pPr>
              <w:pStyle w:val="NoSpacing"/>
              <w:jc w:val="both"/>
              <w:rPr>
                <w:sz w:val="20"/>
                <w:szCs w:val="20"/>
              </w:rPr>
            </w:pPr>
          </w:p>
        </w:tc>
        <w:tc>
          <w:tcPr>
            <w:tcW w:w="1134" w:type="dxa"/>
            <w:hideMark/>
          </w:tcPr>
          <w:p w14:paraId="49505831" w14:textId="052FAD81" w:rsidR="00F01EC8" w:rsidRPr="00701439" w:rsidRDefault="00AE29B0" w:rsidP="00E534C5">
            <w:pPr>
              <w:pStyle w:val="NoSpacing"/>
              <w:jc w:val="center"/>
              <w:rPr>
                <w:sz w:val="20"/>
                <w:szCs w:val="20"/>
              </w:rPr>
            </w:pPr>
            <w:r w:rsidRPr="00701439">
              <w:rPr>
                <w:sz w:val="20"/>
                <w:szCs w:val="20"/>
              </w:rPr>
              <w:t>202</w:t>
            </w:r>
            <w:r w:rsidR="00976689" w:rsidRPr="00701439">
              <w:rPr>
                <w:sz w:val="20"/>
                <w:szCs w:val="20"/>
              </w:rPr>
              <w:t>2</w:t>
            </w:r>
          </w:p>
        </w:tc>
        <w:tc>
          <w:tcPr>
            <w:tcW w:w="1134" w:type="dxa"/>
            <w:hideMark/>
          </w:tcPr>
          <w:p w14:paraId="2A5431BC" w14:textId="111FE65D" w:rsidR="00F01EC8" w:rsidRPr="00701439" w:rsidRDefault="00AE29B0" w:rsidP="00E534C5">
            <w:pPr>
              <w:pStyle w:val="NoSpacing"/>
              <w:jc w:val="center"/>
              <w:rPr>
                <w:sz w:val="20"/>
                <w:szCs w:val="20"/>
              </w:rPr>
            </w:pPr>
            <w:r w:rsidRPr="00701439">
              <w:rPr>
                <w:sz w:val="20"/>
                <w:szCs w:val="20"/>
              </w:rPr>
              <w:t>202</w:t>
            </w:r>
            <w:r w:rsidR="00976689" w:rsidRPr="00701439">
              <w:rPr>
                <w:sz w:val="20"/>
                <w:szCs w:val="20"/>
              </w:rPr>
              <w:t>1</w:t>
            </w:r>
          </w:p>
        </w:tc>
        <w:tc>
          <w:tcPr>
            <w:tcW w:w="1134" w:type="dxa"/>
            <w:vMerge w:val="restart"/>
            <w:tcBorders>
              <w:top w:val="nil"/>
              <w:left w:val="nil"/>
              <w:bottom w:val="single" w:sz="4" w:space="0" w:color="auto"/>
              <w:right w:val="nil"/>
            </w:tcBorders>
            <w:vAlign w:val="center"/>
            <w:hideMark/>
          </w:tcPr>
          <w:p w14:paraId="7B04BC48" w14:textId="77777777" w:rsidR="00F01EC8" w:rsidRPr="00701439" w:rsidRDefault="00F01EC8" w:rsidP="00E534C5">
            <w:pPr>
              <w:pStyle w:val="NoSpacing"/>
              <w:jc w:val="center"/>
              <w:rPr>
                <w:i/>
                <w:sz w:val="20"/>
                <w:szCs w:val="20"/>
              </w:rPr>
            </w:pPr>
            <w:r w:rsidRPr="00701439">
              <w:rPr>
                <w:i/>
                <w:sz w:val="20"/>
                <w:szCs w:val="20"/>
              </w:rPr>
              <w:t>Change</w:t>
            </w:r>
          </w:p>
        </w:tc>
      </w:tr>
      <w:tr w:rsidR="00F01EC8" w:rsidRPr="00701439" w14:paraId="163B4F21" w14:textId="77777777" w:rsidTr="00AF2F0C">
        <w:tc>
          <w:tcPr>
            <w:tcW w:w="6378" w:type="dxa"/>
          </w:tcPr>
          <w:p w14:paraId="50B801C7" w14:textId="77777777" w:rsidR="00F01EC8" w:rsidRPr="00701439" w:rsidRDefault="00F01EC8" w:rsidP="00E534C5">
            <w:pPr>
              <w:pStyle w:val="NoSpacing"/>
              <w:jc w:val="both"/>
              <w:rPr>
                <w:sz w:val="20"/>
                <w:szCs w:val="20"/>
              </w:rPr>
            </w:pPr>
          </w:p>
        </w:tc>
        <w:tc>
          <w:tcPr>
            <w:tcW w:w="1134" w:type="dxa"/>
            <w:tcBorders>
              <w:top w:val="nil"/>
              <w:left w:val="nil"/>
              <w:bottom w:val="single" w:sz="4" w:space="0" w:color="auto"/>
              <w:right w:val="nil"/>
            </w:tcBorders>
            <w:vAlign w:val="bottom"/>
            <w:hideMark/>
          </w:tcPr>
          <w:p w14:paraId="3E290563" w14:textId="77777777" w:rsidR="00F01EC8" w:rsidRPr="00701439" w:rsidRDefault="00F01EC8" w:rsidP="00E534C5">
            <w:pPr>
              <w:pStyle w:val="NoSpacing"/>
              <w:jc w:val="center"/>
              <w:rPr>
                <w:sz w:val="20"/>
                <w:szCs w:val="20"/>
              </w:rPr>
            </w:pPr>
            <w:r w:rsidRPr="00701439">
              <w:rPr>
                <w:sz w:val="20"/>
                <w:szCs w:val="20"/>
              </w:rPr>
              <w:t>£m</w:t>
            </w:r>
          </w:p>
        </w:tc>
        <w:tc>
          <w:tcPr>
            <w:tcW w:w="1134" w:type="dxa"/>
            <w:tcBorders>
              <w:top w:val="nil"/>
              <w:left w:val="nil"/>
              <w:bottom w:val="single" w:sz="4" w:space="0" w:color="auto"/>
              <w:right w:val="nil"/>
            </w:tcBorders>
            <w:vAlign w:val="bottom"/>
            <w:hideMark/>
          </w:tcPr>
          <w:p w14:paraId="46C0757D" w14:textId="77777777" w:rsidR="00F01EC8" w:rsidRPr="00701439" w:rsidRDefault="00F01EC8" w:rsidP="00E534C5">
            <w:pPr>
              <w:pStyle w:val="NoSpacing"/>
              <w:jc w:val="center"/>
              <w:rPr>
                <w:sz w:val="20"/>
                <w:szCs w:val="20"/>
              </w:rPr>
            </w:pPr>
            <w:r w:rsidRPr="00701439">
              <w:rPr>
                <w:sz w:val="20"/>
                <w:szCs w:val="20"/>
              </w:rPr>
              <w:t>£m</w:t>
            </w:r>
          </w:p>
        </w:tc>
        <w:tc>
          <w:tcPr>
            <w:tcW w:w="1134" w:type="dxa"/>
            <w:vMerge/>
            <w:tcBorders>
              <w:top w:val="nil"/>
              <w:left w:val="nil"/>
              <w:bottom w:val="single" w:sz="4" w:space="0" w:color="auto"/>
              <w:right w:val="nil"/>
            </w:tcBorders>
            <w:vAlign w:val="center"/>
            <w:hideMark/>
          </w:tcPr>
          <w:p w14:paraId="60682409" w14:textId="77777777" w:rsidR="00F01EC8" w:rsidRPr="00701439" w:rsidRDefault="00F01EC8" w:rsidP="00E534C5">
            <w:pPr>
              <w:jc w:val="center"/>
              <w:rPr>
                <w:rFonts w:asciiTheme="minorHAnsi" w:hAnsiTheme="minorHAnsi"/>
                <w:i/>
                <w:sz w:val="20"/>
                <w:szCs w:val="20"/>
                <w:lang w:eastAsia="en-US"/>
              </w:rPr>
            </w:pPr>
          </w:p>
        </w:tc>
      </w:tr>
      <w:tr w:rsidR="00F01EC8" w:rsidRPr="00701439" w14:paraId="2E3B50EB" w14:textId="77777777" w:rsidTr="00AF2F0C">
        <w:tc>
          <w:tcPr>
            <w:tcW w:w="6378" w:type="dxa"/>
          </w:tcPr>
          <w:p w14:paraId="7C576101" w14:textId="77777777" w:rsidR="00F01EC8" w:rsidRPr="00701439" w:rsidRDefault="00F01EC8" w:rsidP="00E534C5">
            <w:pPr>
              <w:pStyle w:val="NoSpacing"/>
              <w:jc w:val="both"/>
              <w:rPr>
                <w:sz w:val="20"/>
                <w:szCs w:val="20"/>
              </w:rPr>
            </w:pPr>
          </w:p>
        </w:tc>
        <w:tc>
          <w:tcPr>
            <w:tcW w:w="1134" w:type="dxa"/>
            <w:tcBorders>
              <w:top w:val="single" w:sz="4" w:space="0" w:color="auto"/>
              <w:left w:val="nil"/>
              <w:bottom w:val="nil"/>
              <w:right w:val="nil"/>
            </w:tcBorders>
            <w:vAlign w:val="bottom"/>
          </w:tcPr>
          <w:p w14:paraId="3F315029" w14:textId="77777777" w:rsidR="00F01EC8" w:rsidRPr="00701439" w:rsidRDefault="00F01EC8" w:rsidP="00E534C5">
            <w:pPr>
              <w:pStyle w:val="NoSpacing"/>
              <w:jc w:val="center"/>
              <w:rPr>
                <w:sz w:val="20"/>
                <w:szCs w:val="20"/>
              </w:rPr>
            </w:pPr>
          </w:p>
        </w:tc>
        <w:tc>
          <w:tcPr>
            <w:tcW w:w="1134" w:type="dxa"/>
            <w:tcBorders>
              <w:top w:val="single" w:sz="4" w:space="0" w:color="auto"/>
              <w:left w:val="nil"/>
              <w:bottom w:val="nil"/>
              <w:right w:val="nil"/>
            </w:tcBorders>
            <w:vAlign w:val="bottom"/>
          </w:tcPr>
          <w:p w14:paraId="61DD04D7" w14:textId="77777777" w:rsidR="00F01EC8" w:rsidRPr="00701439" w:rsidRDefault="00F01EC8" w:rsidP="00E534C5">
            <w:pPr>
              <w:pStyle w:val="NoSpacing"/>
              <w:jc w:val="center"/>
              <w:rPr>
                <w:sz w:val="20"/>
                <w:szCs w:val="20"/>
              </w:rPr>
            </w:pPr>
          </w:p>
        </w:tc>
        <w:tc>
          <w:tcPr>
            <w:tcW w:w="1134" w:type="dxa"/>
            <w:tcBorders>
              <w:top w:val="single" w:sz="4" w:space="0" w:color="auto"/>
              <w:left w:val="nil"/>
              <w:bottom w:val="nil"/>
              <w:right w:val="nil"/>
            </w:tcBorders>
            <w:vAlign w:val="bottom"/>
          </w:tcPr>
          <w:p w14:paraId="770FA509" w14:textId="77777777" w:rsidR="00F01EC8" w:rsidRPr="00701439" w:rsidRDefault="00F01EC8" w:rsidP="00E534C5">
            <w:pPr>
              <w:pStyle w:val="NoSpacing"/>
              <w:jc w:val="center"/>
              <w:rPr>
                <w:i/>
                <w:sz w:val="20"/>
                <w:szCs w:val="20"/>
              </w:rPr>
            </w:pPr>
          </w:p>
        </w:tc>
      </w:tr>
      <w:tr w:rsidR="00976689" w:rsidRPr="00701439" w14:paraId="652A1458" w14:textId="77777777" w:rsidTr="00AF2F0C">
        <w:tc>
          <w:tcPr>
            <w:tcW w:w="6378" w:type="dxa"/>
            <w:vAlign w:val="bottom"/>
            <w:hideMark/>
          </w:tcPr>
          <w:p w14:paraId="349C0A95" w14:textId="25276E05" w:rsidR="00976689" w:rsidRPr="00701439" w:rsidRDefault="00B21BCD" w:rsidP="00976689">
            <w:pPr>
              <w:pStyle w:val="NoSpacing"/>
              <w:jc w:val="both"/>
              <w:rPr>
                <w:sz w:val="20"/>
                <w:szCs w:val="20"/>
              </w:rPr>
            </w:pPr>
            <w:r w:rsidRPr="00701439">
              <w:rPr>
                <w:sz w:val="20"/>
                <w:szCs w:val="20"/>
              </w:rPr>
              <w:t>Total c</w:t>
            </w:r>
            <w:r w:rsidR="00976689" w:rsidRPr="00701439">
              <w:rPr>
                <w:sz w:val="20"/>
                <w:szCs w:val="20"/>
              </w:rPr>
              <w:t>ustomer numbers ('000)</w:t>
            </w:r>
          </w:p>
        </w:tc>
        <w:tc>
          <w:tcPr>
            <w:tcW w:w="1134" w:type="dxa"/>
            <w:vAlign w:val="bottom"/>
          </w:tcPr>
          <w:p w14:paraId="614ECD58" w14:textId="596C9FE8" w:rsidR="00976689" w:rsidRPr="00701439" w:rsidRDefault="00976689" w:rsidP="00976689">
            <w:pPr>
              <w:pStyle w:val="NoSpacing"/>
              <w:jc w:val="center"/>
              <w:rPr>
                <w:sz w:val="20"/>
                <w:szCs w:val="20"/>
              </w:rPr>
            </w:pPr>
            <w:r w:rsidRPr="00701439">
              <w:rPr>
                <w:sz w:val="20"/>
                <w:szCs w:val="20"/>
              </w:rPr>
              <w:t>1,541</w:t>
            </w:r>
          </w:p>
        </w:tc>
        <w:tc>
          <w:tcPr>
            <w:tcW w:w="1134" w:type="dxa"/>
            <w:vAlign w:val="bottom"/>
          </w:tcPr>
          <w:p w14:paraId="2728934B" w14:textId="0FD52F9E" w:rsidR="00976689" w:rsidRPr="00701439" w:rsidRDefault="00976689" w:rsidP="00976689">
            <w:pPr>
              <w:pStyle w:val="NoSpacing"/>
              <w:jc w:val="center"/>
              <w:rPr>
                <w:sz w:val="20"/>
                <w:szCs w:val="20"/>
              </w:rPr>
            </w:pPr>
            <w:r w:rsidRPr="00701439">
              <w:rPr>
                <w:sz w:val="20"/>
                <w:szCs w:val="20"/>
              </w:rPr>
              <w:t>1,541</w:t>
            </w:r>
          </w:p>
        </w:tc>
        <w:tc>
          <w:tcPr>
            <w:tcW w:w="1134" w:type="dxa"/>
            <w:vAlign w:val="bottom"/>
          </w:tcPr>
          <w:p w14:paraId="5AA7746B" w14:textId="5E39F9B7" w:rsidR="00976689" w:rsidRPr="00701439" w:rsidRDefault="00B9494F" w:rsidP="00976689">
            <w:pPr>
              <w:pStyle w:val="NoSpacing"/>
              <w:jc w:val="center"/>
              <w:rPr>
                <w:i/>
                <w:sz w:val="20"/>
                <w:szCs w:val="20"/>
              </w:rPr>
            </w:pPr>
            <w:r w:rsidRPr="00701439">
              <w:rPr>
                <w:i/>
                <w:sz w:val="20"/>
                <w:szCs w:val="20"/>
              </w:rPr>
              <w:t>-</w:t>
            </w:r>
            <w:r w:rsidR="00976689" w:rsidRPr="00701439">
              <w:rPr>
                <w:i/>
                <w:sz w:val="20"/>
                <w:szCs w:val="20"/>
              </w:rPr>
              <w:t>%</w:t>
            </w:r>
          </w:p>
        </w:tc>
      </w:tr>
      <w:tr w:rsidR="00FA01D3" w:rsidRPr="00701439" w14:paraId="2612740B" w14:textId="77777777" w:rsidTr="00AF2F0C">
        <w:tc>
          <w:tcPr>
            <w:tcW w:w="6378" w:type="dxa"/>
            <w:vAlign w:val="bottom"/>
          </w:tcPr>
          <w:p w14:paraId="4D83BF1B" w14:textId="540AE620" w:rsidR="00FA01D3" w:rsidRPr="00701439" w:rsidRDefault="00A2678E" w:rsidP="00976689">
            <w:pPr>
              <w:pStyle w:val="NoSpacing"/>
              <w:jc w:val="both"/>
              <w:rPr>
                <w:sz w:val="20"/>
                <w:szCs w:val="20"/>
              </w:rPr>
            </w:pPr>
            <w:r w:rsidRPr="00701439">
              <w:rPr>
                <w:sz w:val="20"/>
                <w:szCs w:val="20"/>
              </w:rPr>
              <w:t>Active customer numbers (</w:t>
            </w:r>
            <w:r w:rsidR="004D3559" w:rsidRPr="00701439">
              <w:rPr>
                <w:sz w:val="20"/>
                <w:szCs w:val="20"/>
              </w:rPr>
              <w:t>'</w:t>
            </w:r>
            <w:r w:rsidRPr="00701439">
              <w:rPr>
                <w:sz w:val="20"/>
                <w:szCs w:val="20"/>
              </w:rPr>
              <w:t>000)</w:t>
            </w:r>
          </w:p>
        </w:tc>
        <w:tc>
          <w:tcPr>
            <w:tcW w:w="1134" w:type="dxa"/>
            <w:vAlign w:val="bottom"/>
          </w:tcPr>
          <w:p w14:paraId="52475370" w14:textId="4487B88B" w:rsidR="00FA01D3" w:rsidRPr="00701439" w:rsidRDefault="00B503ED" w:rsidP="00976689">
            <w:pPr>
              <w:pStyle w:val="NoSpacing"/>
              <w:jc w:val="center"/>
              <w:rPr>
                <w:sz w:val="20"/>
                <w:szCs w:val="20"/>
              </w:rPr>
            </w:pPr>
            <w:r w:rsidRPr="00701439">
              <w:rPr>
                <w:sz w:val="20"/>
                <w:szCs w:val="20"/>
              </w:rPr>
              <w:t>1,2</w:t>
            </w:r>
            <w:r w:rsidR="001C4467" w:rsidRPr="00701439">
              <w:rPr>
                <w:sz w:val="20"/>
                <w:szCs w:val="20"/>
              </w:rPr>
              <w:t>21</w:t>
            </w:r>
          </w:p>
        </w:tc>
        <w:tc>
          <w:tcPr>
            <w:tcW w:w="1134" w:type="dxa"/>
            <w:vAlign w:val="bottom"/>
          </w:tcPr>
          <w:p w14:paraId="1558C75B" w14:textId="1B4DC629" w:rsidR="00FA01D3" w:rsidRPr="00701439" w:rsidRDefault="001C4467" w:rsidP="00976689">
            <w:pPr>
              <w:pStyle w:val="NoSpacing"/>
              <w:jc w:val="center"/>
              <w:rPr>
                <w:sz w:val="20"/>
                <w:szCs w:val="20"/>
              </w:rPr>
            </w:pPr>
            <w:r w:rsidRPr="00701439">
              <w:rPr>
                <w:sz w:val="20"/>
                <w:szCs w:val="20"/>
              </w:rPr>
              <w:t>1,266</w:t>
            </w:r>
          </w:p>
        </w:tc>
        <w:tc>
          <w:tcPr>
            <w:tcW w:w="1134" w:type="dxa"/>
            <w:vAlign w:val="bottom"/>
          </w:tcPr>
          <w:p w14:paraId="09E4B578" w14:textId="3AF91EF1" w:rsidR="00FA01D3" w:rsidRPr="00701439" w:rsidRDefault="00CD6A42" w:rsidP="00976689">
            <w:pPr>
              <w:pStyle w:val="NoSpacing"/>
              <w:jc w:val="center"/>
              <w:rPr>
                <w:i/>
                <w:sz w:val="20"/>
                <w:szCs w:val="20"/>
              </w:rPr>
            </w:pPr>
            <w:r w:rsidRPr="00701439">
              <w:rPr>
                <w:i/>
                <w:sz w:val="20"/>
                <w:szCs w:val="20"/>
              </w:rPr>
              <w:t>(3.6%)</w:t>
            </w:r>
          </w:p>
        </w:tc>
      </w:tr>
      <w:tr w:rsidR="00976689" w:rsidRPr="00701439" w14:paraId="20996479" w14:textId="77777777" w:rsidTr="00AF2F0C">
        <w:tc>
          <w:tcPr>
            <w:tcW w:w="6378" w:type="dxa"/>
            <w:vAlign w:val="bottom"/>
            <w:hideMark/>
          </w:tcPr>
          <w:p w14:paraId="1A5B6E41" w14:textId="77777777" w:rsidR="00976689" w:rsidRPr="00701439" w:rsidRDefault="00976689" w:rsidP="00976689">
            <w:pPr>
              <w:pStyle w:val="NoSpacing"/>
              <w:jc w:val="both"/>
              <w:rPr>
                <w:sz w:val="20"/>
                <w:szCs w:val="20"/>
              </w:rPr>
            </w:pPr>
            <w:r w:rsidRPr="00701439">
              <w:rPr>
                <w:sz w:val="20"/>
                <w:szCs w:val="20"/>
              </w:rPr>
              <w:t>Period-end receivables</w:t>
            </w:r>
          </w:p>
        </w:tc>
        <w:tc>
          <w:tcPr>
            <w:tcW w:w="1134" w:type="dxa"/>
            <w:vAlign w:val="bottom"/>
          </w:tcPr>
          <w:p w14:paraId="40A177E0" w14:textId="3A232434" w:rsidR="00976689" w:rsidRPr="00701439" w:rsidRDefault="00976689" w:rsidP="00976689">
            <w:pPr>
              <w:pStyle w:val="NoSpacing"/>
              <w:jc w:val="center"/>
              <w:rPr>
                <w:sz w:val="20"/>
                <w:szCs w:val="20"/>
              </w:rPr>
            </w:pPr>
            <w:r w:rsidRPr="00701439">
              <w:rPr>
                <w:sz w:val="20"/>
                <w:szCs w:val="20"/>
              </w:rPr>
              <w:t>1,</w:t>
            </w:r>
            <w:r w:rsidR="00C14B51" w:rsidRPr="00701439">
              <w:rPr>
                <w:sz w:val="20"/>
                <w:szCs w:val="20"/>
              </w:rPr>
              <w:t>182</w:t>
            </w:r>
          </w:p>
        </w:tc>
        <w:tc>
          <w:tcPr>
            <w:tcW w:w="1134" w:type="dxa"/>
            <w:vAlign w:val="bottom"/>
          </w:tcPr>
          <w:p w14:paraId="0D809210" w14:textId="00906BDC" w:rsidR="00976689" w:rsidRPr="00701439" w:rsidRDefault="00976689" w:rsidP="00976689">
            <w:pPr>
              <w:pStyle w:val="NoSpacing"/>
              <w:jc w:val="center"/>
              <w:rPr>
                <w:sz w:val="20"/>
                <w:szCs w:val="20"/>
              </w:rPr>
            </w:pPr>
            <w:r w:rsidRPr="00701439">
              <w:rPr>
                <w:sz w:val="20"/>
                <w:szCs w:val="20"/>
              </w:rPr>
              <w:t>1,063</w:t>
            </w:r>
          </w:p>
        </w:tc>
        <w:tc>
          <w:tcPr>
            <w:tcW w:w="1134" w:type="dxa"/>
            <w:vAlign w:val="bottom"/>
          </w:tcPr>
          <w:p w14:paraId="18702072" w14:textId="712DC9EE" w:rsidR="00976689" w:rsidRPr="00701439" w:rsidRDefault="00976689" w:rsidP="00976689">
            <w:pPr>
              <w:pStyle w:val="NoSpacing"/>
              <w:jc w:val="center"/>
              <w:rPr>
                <w:i/>
                <w:sz w:val="20"/>
                <w:szCs w:val="20"/>
              </w:rPr>
            </w:pPr>
            <w:r w:rsidRPr="00701439">
              <w:rPr>
                <w:i/>
                <w:sz w:val="20"/>
                <w:szCs w:val="20"/>
              </w:rPr>
              <w:t>1</w:t>
            </w:r>
            <w:r w:rsidR="00A30783" w:rsidRPr="00701439">
              <w:rPr>
                <w:i/>
                <w:sz w:val="20"/>
                <w:szCs w:val="20"/>
              </w:rPr>
              <w:t>1</w:t>
            </w:r>
            <w:r w:rsidRPr="00701439">
              <w:rPr>
                <w:i/>
                <w:sz w:val="20"/>
                <w:szCs w:val="20"/>
              </w:rPr>
              <w:t>.</w:t>
            </w:r>
            <w:r w:rsidR="0093397F" w:rsidRPr="00701439">
              <w:rPr>
                <w:i/>
                <w:sz w:val="20"/>
                <w:szCs w:val="20"/>
              </w:rPr>
              <w:t>2</w:t>
            </w:r>
            <w:r w:rsidRPr="00701439">
              <w:rPr>
                <w:i/>
                <w:sz w:val="20"/>
                <w:szCs w:val="20"/>
              </w:rPr>
              <w:t>%</w:t>
            </w:r>
          </w:p>
        </w:tc>
      </w:tr>
      <w:tr w:rsidR="00976689" w:rsidRPr="00701439" w14:paraId="33D2F479" w14:textId="77777777" w:rsidTr="0044050B">
        <w:tc>
          <w:tcPr>
            <w:tcW w:w="6378" w:type="dxa"/>
            <w:tcBorders>
              <w:top w:val="nil"/>
              <w:left w:val="nil"/>
              <w:bottom w:val="single" w:sz="4" w:space="0" w:color="auto"/>
              <w:right w:val="nil"/>
            </w:tcBorders>
            <w:vAlign w:val="bottom"/>
            <w:hideMark/>
          </w:tcPr>
          <w:p w14:paraId="37B02C22" w14:textId="1AD9651B" w:rsidR="00976689" w:rsidRPr="00701439" w:rsidRDefault="00976689" w:rsidP="00976689">
            <w:pPr>
              <w:pStyle w:val="NoSpacing"/>
              <w:jc w:val="both"/>
              <w:rPr>
                <w:sz w:val="20"/>
                <w:szCs w:val="20"/>
                <w:vertAlign w:val="superscript"/>
              </w:rPr>
            </w:pPr>
            <w:r w:rsidRPr="00701439">
              <w:rPr>
                <w:sz w:val="20"/>
                <w:szCs w:val="20"/>
              </w:rPr>
              <w:t>Average</w:t>
            </w:r>
            <w:r w:rsidR="009F0F68" w:rsidRPr="00701439">
              <w:rPr>
                <w:sz w:val="20"/>
                <w:szCs w:val="20"/>
              </w:rPr>
              <w:t xml:space="preserve"> gross</w:t>
            </w:r>
            <w:r w:rsidRPr="00701439">
              <w:rPr>
                <w:sz w:val="20"/>
                <w:szCs w:val="20"/>
              </w:rPr>
              <w:t xml:space="preserve"> receivables</w:t>
            </w:r>
            <w:r w:rsidRPr="00701439">
              <w:rPr>
                <w:sz w:val="20"/>
                <w:szCs w:val="20"/>
                <w:vertAlign w:val="superscript"/>
              </w:rPr>
              <w:t>1</w:t>
            </w:r>
          </w:p>
        </w:tc>
        <w:tc>
          <w:tcPr>
            <w:tcW w:w="1134" w:type="dxa"/>
            <w:tcBorders>
              <w:top w:val="nil"/>
              <w:left w:val="nil"/>
              <w:bottom w:val="single" w:sz="4" w:space="0" w:color="auto"/>
              <w:right w:val="nil"/>
            </w:tcBorders>
            <w:shd w:val="clear" w:color="auto" w:fill="auto"/>
            <w:vAlign w:val="bottom"/>
          </w:tcPr>
          <w:p w14:paraId="7C99D456" w14:textId="7852DB5F" w:rsidR="00976689" w:rsidRPr="00701439" w:rsidRDefault="00976689" w:rsidP="00976689">
            <w:pPr>
              <w:pStyle w:val="NoSpacing"/>
              <w:jc w:val="center"/>
              <w:rPr>
                <w:sz w:val="20"/>
                <w:szCs w:val="20"/>
              </w:rPr>
            </w:pPr>
            <w:r w:rsidRPr="00701439">
              <w:rPr>
                <w:sz w:val="20"/>
                <w:szCs w:val="20"/>
              </w:rPr>
              <w:t>1,</w:t>
            </w:r>
            <w:r w:rsidR="00AA3ACC" w:rsidRPr="00701439">
              <w:rPr>
                <w:sz w:val="20"/>
                <w:szCs w:val="20"/>
              </w:rPr>
              <w:t>332</w:t>
            </w:r>
          </w:p>
        </w:tc>
        <w:tc>
          <w:tcPr>
            <w:tcW w:w="1134" w:type="dxa"/>
            <w:tcBorders>
              <w:top w:val="nil"/>
              <w:left w:val="nil"/>
              <w:bottom w:val="single" w:sz="4" w:space="0" w:color="auto"/>
              <w:right w:val="nil"/>
            </w:tcBorders>
            <w:shd w:val="clear" w:color="auto" w:fill="auto"/>
            <w:vAlign w:val="bottom"/>
          </w:tcPr>
          <w:p w14:paraId="3473EC17" w14:textId="7FDCBC2F" w:rsidR="00976689" w:rsidRPr="00701439" w:rsidRDefault="00976689" w:rsidP="00976689">
            <w:pPr>
              <w:pStyle w:val="NoSpacing"/>
              <w:jc w:val="center"/>
              <w:rPr>
                <w:sz w:val="20"/>
                <w:szCs w:val="20"/>
              </w:rPr>
            </w:pPr>
            <w:r w:rsidRPr="00701439">
              <w:rPr>
                <w:sz w:val="20"/>
                <w:szCs w:val="20"/>
              </w:rPr>
              <w:t>1,</w:t>
            </w:r>
            <w:r w:rsidR="00AA3ACC" w:rsidRPr="00701439">
              <w:rPr>
                <w:sz w:val="20"/>
                <w:szCs w:val="20"/>
              </w:rPr>
              <w:t>379</w:t>
            </w:r>
          </w:p>
        </w:tc>
        <w:tc>
          <w:tcPr>
            <w:tcW w:w="1134" w:type="dxa"/>
            <w:tcBorders>
              <w:top w:val="nil"/>
              <w:left w:val="nil"/>
              <w:bottom w:val="single" w:sz="4" w:space="0" w:color="auto"/>
              <w:right w:val="nil"/>
            </w:tcBorders>
            <w:vAlign w:val="bottom"/>
          </w:tcPr>
          <w:p w14:paraId="5E350A24" w14:textId="23E3FB42" w:rsidR="00976689" w:rsidRPr="00701439" w:rsidRDefault="000A3896" w:rsidP="00976689">
            <w:pPr>
              <w:pStyle w:val="NoSpacing"/>
              <w:jc w:val="center"/>
              <w:rPr>
                <w:i/>
                <w:sz w:val="20"/>
                <w:szCs w:val="20"/>
              </w:rPr>
            </w:pPr>
            <w:r w:rsidRPr="00701439">
              <w:rPr>
                <w:i/>
                <w:sz w:val="20"/>
                <w:szCs w:val="20"/>
              </w:rPr>
              <w:t>(3</w:t>
            </w:r>
            <w:r w:rsidR="00976689" w:rsidRPr="00701439">
              <w:rPr>
                <w:i/>
                <w:sz w:val="20"/>
                <w:szCs w:val="20"/>
              </w:rPr>
              <w:t>.</w:t>
            </w:r>
            <w:r w:rsidRPr="00701439">
              <w:rPr>
                <w:i/>
                <w:sz w:val="20"/>
                <w:szCs w:val="20"/>
              </w:rPr>
              <w:t>4</w:t>
            </w:r>
            <w:r w:rsidR="00976689" w:rsidRPr="00701439">
              <w:rPr>
                <w:i/>
                <w:sz w:val="20"/>
                <w:szCs w:val="20"/>
              </w:rPr>
              <w:t>%</w:t>
            </w:r>
            <w:r w:rsidRPr="00701439">
              <w:rPr>
                <w:i/>
                <w:sz w:val="20"/>
                <w:szCs w:val="20"/>
              </w:rPr>
              <w:t>)</w:t>
            </w:r>
          </w:p>
        </w:tc>
      </w:tr>
      <w:tr w:rsidR="00342119" w:rsidRPr="00701439" w14:paraId="0FBEF926" w14:textId="77777777" w:rsidTr="00AF2F0C">
        <w:tc>
          <w:tcPr>
            <w:tcW w:w="6378" w:type="dxa"/>
            <w:tcBorders>
              <w:top w:val="single" w:sz="4" w:space="0" w:color="auto"/>
              <w:left w:val="nil"/>
              <w:bottom w:val="nil"/>
              <w:right w:val="nil"/>
            </w:tcBorders>
            <w:vAlign w:val="bottom"/>
          </w:tcPr>
          <w:p w14:paraId="3EF9A74A" w14:textId="77777777" w:rsidR="00342119" w:rsidRPr="00701439" w:rsidRDefault="00342119" w:rsidP="00E534C5">
            <w:pPr>
              <w:pStyle w:val="NoSpacing"/>
              <w:jc w:val="both"/>
              <w:rPr>
                <w:sz w:val="20"/>
                <w:szCs w:val="20"/>
              </w:rPr>
            </w:pPr>
          </w:p>
        </w:tc>
        <w:tc>
          <w:tcPr>
            <w:tcW w:w="1134" w:type="dxa"/>
            <w:tcBorders>
              <w:top w:val="single" w:sz="4" w:space="0" w:color="auto"/>
              <w:left w:val="nil"/>
              <w:bottom w:val="nil"/>
              <w:right w:val="nil"/>
            </w:tcBorders>
            <w:vAlign w:val="bottom"/>
          </w:tcPr>
          <w:p w14:paraId="0A9399DA" w14:textId="77777777" w:rsidR="00342119" w:rsidRPr="00701439" w:rsidRDefault="00342119" w:rsidP="00E534C5">
            <w:pPr>
              <w:pStyle w:val="NoSpacing"/>
              <w:jc w:val="center"/>
              <w:rPr>
                <w:sz w:val="20"/>
                <w:szCs w:val="20"/>
              </w:rPr>
            </w:pPr>
          </w:p>
        </w:tc>
        <w:tc>
          <w:tcPr>
            <w:tcW w:w="1134" w:type="dxa"/>
            <w:tcBorders>
              <w:top w:val="single" w:sz="4" w:space="0" w:color="auto"/>
              <w:left w:val="nil"/>
              <w:bottom w:val="nil"/>
              <w:right w:val="nil"/>
            </w:tcBorders>
            <w:vAlign w:val="bottom"/>
          </w:tcPr>
          <w:p w14:paraId="5B81FD1C" w14:textId="77777777" w:rsidR="00342119" w:rsidRPr="00701439" w:rsidRDefault="00342119" w:rsidP="00E534C5">
            <w:pPr>
              <w:pStyle w:val="NoSpacing"/>
              <w:jc w:val="center"/>
              <w:rPr>
                <w:sz w:val="20"/>
                <w:szCs w:val="20"/>
              </w:rPr>
            </w:pPr>
          </w:p>
        </w:tc>
        <w:tc>
          <w:tcPr>
            <w:tcW w:w="1134" w:type="dxa"/>
            <w:tcBorders>
              <w:top w:val="single" w:sz="4" w:space="0" w:color="auto"/>
              <w:left w:val="nil"/>
              <w:bottom w:val="nil"/>
              <w:right w:val="nil"/>
            </w:tcBorders>
            <w:vAlign w:val="bottom"/>
          </w:tcPr>
          <w:p w14:paraId="24D80EDD" w14:textId="77777777" w:rsidR="00342119" w:rsidRPr="00701439" w:rsidRDefault="00342119" w:rsidP="00E534C5">
            <w:pPr>
              <w:pStyle w:val="NoSpacing"/>
              <w:jc w:val="center"/>
              <w:rPr>
                <w:i/>
                <w:sz w:val="20"/>
                <w:szCs w:val="20"/>
              </w:rPr>
            </w:pPr>
          </w:p>
        </w:tc>
      </w:tr>
      <w:tr w:rsidR="00342119" w:rsidRPr="00701439" w14:paraId="49825AE7" w14:textId="77777777" w:rsidTr="00AF2F0C">
        <w:tc>
          <w:tcPr>
            <w:tcW w:w="6378" w:type="dxa"/>
            <w:vAlign w:val="bottom"/>
            <w:hideMark/>
          </w:tcPr>
          <w:p w14:paraId="2C68D782" w14:textId="297DA573" w:rsidR="00342119" w:rsidRPr="00701439" w:rsidRDefault="00A42F07" w:rsidP="00E534C5">
            <w:pPr>
              <w:pStyle w:val="NoSpacing"/>
              <w:jc w:val="both"/>
              <w:rPr>
                <w:b/>
                <w:sz w:val="20"/>
                <w:szCs w:val="20"/>
              </w:rPr>
            </w:pPr>
            <w:r w:rsidRPr="00701439">
              <w:rPr>
                <w:b/>
                <w:sz w:val="20"/>
                <w:szCs w:val="20"/>
              </w:rPr>
              <w:t>Interest income</w:t>
            </w:r>
          </w:p>
        </w:tc>
        <w:tc>
          <w:tcPr>
            <w:tcW w:w="1134" w:type="dxa"/>
            <w:vAlign w:val="bottom"/>
          </w:tcPr>
          <w:p w14:paraId="4D20729D" w14:textId="68C2BD69" w:rsidR="00342119" w:rsidRPr="00701439" w:rsidRDefault="0044050B" w:rsidP="00E534C5">
            <w:pPr>
              <w:pStyle w:val="NoSpacing"/>
              <w:jc w:val="center"/>
              <w:rPr>
                <w:b/>
                <w:sz w:val="20"/>
                <w:szCs w:val="20"/>
              </w:rPr>
            </w:pPr>
            <w:r w:rsidRPr="00701439">
              <w:rPr>
                <w:b/>
                <w:sz w:val="20"/>
                <w:szCs w:val="20"/>
              </w:rPr>
              <w:t>3</w:t>
            </w:r>
            <w:r w:rsidR="007D3485" w:rsidRPr="00701439">
              <w:rPr>
                <w:b/>
                <w:sz w:val="20"/>
                <w:szCs w:val="20"/>
              </w:rPr>
              <w:t>3</w:t>
            </w:r>
            <w:r w:rsidR="007A6C1E" w:rsidRPr="00701439">
              <w:rPr>
                <w:b/>
                <w:sz w:val="20"/>
                <w:szCs w:val="20"/>
              </w:rPr>
              <w:t>3</w:t>
            </w:r>
            <w:r w:rsidRPr="00701439">
              <w:rPr>
                <w:b/>
                <w:sz w:val="20"/>
                <w:szCs w:val="20"/>
              </w:rPr>
              <w:t>.</w:t>
            </w:r>
            <w:r w:rsidR="007D3485" w:rsidRPr="00701439">
              <w:rPr>
                <w:b/>
                <w:sz w:val="20"/>
                <w:szCs w:val="20"/>
              </w:rPr>
              <w:t>2</w:t>
            </w:r>
          </w:p>
        </w:tc>
        <w:tc>
          <w:tcPr>
            <w:tcW w:w="1134" w:type="dxa"/>
            <w:vAlign w:val="bottom"/>
          </w:tcPr>
          <w:p w14:paraId="70D9C973" w14:textId="544104BE" w:rsidR="00342119" w:rsidRPr="00701439" w:rsidRDefault="007B4C52" w:rsidP="00E534C5">
            <w:pPr>
              <w:pStyle w:val="NoSpacing"/>
              <w:jc w:val="center"/>
              <w:rPr>
                <w:b/>
                <w:sz w:val="20"/>
                <w:szCs w:val="20"/>
              </w:rPr>
            </w:pPr>
            <w:r w:rsidRPr="00701439">
              <w:rPr>
                <w:b/>
                <w:sz w:val="20"/>
                <w:szCs w:val="20"/>
              </w:rPr>
              <w:t>328.8</w:t>
            </w:r>
          </w:p>
        </w:tc>
        <w:tc>
          <w:tcPr>
            <w:tcW w:w="1134" w:type="dxa"/>
            <w:vAlign w:val="bottom"/>
          </w:tcPr>
          <w:p w14:paraId="6E122780" w14:textId="6E050107" w:rsidR="00342119" w:rsidRPr="00701439" w:rsidRDefault="001E33E5" w:rsidP="00C61DF5">
            <w:pPr>
              <w:pStyle w:val="NoSpacing"/>
              <w:jc w:val="center"/>
              <w:rPr>
                <w:b/>
                <w:i/>
                <w:sz w:val="20"/>
                <w:szCs w:val="20"/>
              </w:rPr>
            </w:pPr>
            <w:r w:rsidRPr="00701439">
              <w:rPr>
                <w:b/>
                <w:i/>
                <w:sz w:val="20"/>
                <w:szCs w:val="20"/>
              </w:rPr>
              <w:t>1.3</w:t>
            </w:r>
            <w:r w:rsidR="00865942" w:rsidRPr="00701439">
              <w:rPr>
                <w:b/>
                <w:i/>
                <w:sz w:val="20"/>
                <w:szCs w:val="20"/>
              </w:rPr>
              <w:t>%</w:t>
            </w:r>
          </w:p>
        </w:tc>
      </w:tr>
      <w:tr w:rsidR="00342119" w:rsidRPr="00701439" w14:paraId="5E463684" w14:textId="77777777" w:rsidTr="00AF2F0C">
        <w:tc>
          <w:tcPr>
            <w:tcW w:w="6378" w:type="dxa"/>
            <w:tcBorders>
              <w:top w:val="nil"/>
              <w:left w:val="nil"/>
              <w:bottom w:val="single" w:sz="4" w:space="0" w:color="auto"/>
              <w:right w:val="nil"/>
            </w:tcBorders>
            <w:vAlign w:val="bottom"/>
            <w:hideMark/>
          </w:tcPr>
          <w:p w14:paraId="28E61E12" w14:textId="1D427E44" w:rsidR="00342119" w:rsidRPr="00701439" w:rsidRDefault="00342119" w:rsidP="00E534C5">
            <w:pPr>
              <w:pStyle w:val="NoSpacing"/>
              <w:jc w:val="both"/>
              <w:rPr>
                <w:sz w:val="20"/>
                <w:szCs w:val="20"/>
              </w:rPr>
            </w:pPr>
            <w:r w:rsidRPr="00701439">
              <w:rPr>
                <w:sz w:val="20"/>
                <w:szCs w:val="20"/>
              </w:rPr>
              <w:t>Interest</w:t>
            </w:r>
            <w:r w:rsidR="00A42F07" w:rsidRPr="00701439">
              <w:rPr>
                <w:sz w:val="20"/>
                <w:szCs w:val="20"/>
              </w:rPr>
              <w:t xml:space="preserve"> expense</w:t>
            </w:r>
          </w:p>
        </w:tc>
        <w:tc>
          <w:tcPr>
            <w:tcW w:w="1134" w:type="dxa"/>
            <w:tcBorders>
              <w:top w:val="nil"/>
              <w:left w:val="nil"/>
              <w:bottom w:val="single" w:sz="4" w:space="0" w:color="auto"/>
              <w:right w:val="nil"/>
            </w:tcBorders>
            <w:vAlign w:val="bottom"/>
          </w:tcPr>
          <w:p w14:paraId="1F1C5D53" w14:textId="0623EB9E" w:rsidR="00342119" w:rsidRPr="00701439" w:rsidRDefault="0044050B" w:rsidP="00E534C5">
            <w:pPr>
              <w:pStyle w:val="NoSpacing"/>
              <w:jc w:val="center"/>
              <w:rPr>
                <w:sz w:val="20"/>
                <w:szCs w:val="20"/>
              </w:rPr>
            </w:pPr>
            <w:r w:rsidRPr="00701439">
              <w:rPr>
                <w:sz w:val="20"/>
                <w:szCs w:val="20"/>
              </w:rPr>
              <w:t>(</w:t>
            </w:r>
            <w:r w:rsidR="00344C34" w:rsidRPr="00701439">
              <w:rPr>
                <w:sz w:val="20"/>
                <w:szCs w:val="20"/>
              </w:rPr>
              <w:t>22.4</w:t>
            </w:r>
            <w:r w:rsidRPr="00701439">
              <w:rPr>
                <w:sz w:val="20"/>
                <w:szCs w:val="20"/>
              </w:rPr>
              <w:t>)</w:t>
            </w:r>
          </w:p>
        </w:tc>
        <w:tc>
          <w:tcPr>
            <w:tcW w:w="1134" w:type="dxa"/>
            <w:tcBorders>
              <w:top w:val="nil"/>
              <w:left w:val="nil"/>
              <w:bottom w:val="single" w:sz="4" w:space="0" w:color="auto"/>
              <w:right w:val="nil"/>
            </w:tcBorders>
            <w:vAlign w:val="bottom"/>
          </w:tcPr>
          <w:p w14:paraId="1E350941" w14:textId="5D5FD04D" w:rsidR="00342119" w:rsidRPr="00701439" w:rsidRDefault="0044050B" w:rsidP="00E534C5">
            <w:pPr>
              <w:pStyle w:val="NoSpacing"/>
              <w:jc w:val="center"/>
              <w:rPr>
                <w:sz w:val="20"/>
                <w:szCs w:val="20"/>
              </w:rPr>
            </w:pPr>
            <w:r w:rsidRPr="00701439">
              <w:rPr>
                <w:sz w:val="20"/>
                <w:szCs w:val="20"/>
              </w:rPr>
              <w:t>(</w:t>
            </w:r>
            <w:r w:rsidR="00B020F3" w:rsidRPr="00701439">
              <w:rPr>
                <w:sz w:val="20"/>
                <w:szCs w:val="20"/>
              </w:rPr>
              <w:t>24.9</w:t>
            </w:r>
            <w:r w:rsidRPr="00701439">
              <w:rPr>
                <w:sz w:val="20"/>
                <w:szCs w:val="20"/>
              </w:rPr>
              <w:t>)</w:t>
            </w:r>
          </w:p>
        </w:tc>
        <w:tc>
          <w:tcPr>
            <w:tcW w:w="1134" w:type="dxa"/>
            <w:tcBorders>
              <w:top w:val="nil"/>
              <w:left w:val="nil"/>
              <w:bottom w:val="single" w:sz="4" w:space="0" w:color="auto"/>
              <w:right w:val="nil"/>
            </w:tcBorders>
            <w:vAlign w:val="bottom"/>
          </w:tcPr>
          <w:p w14:paraId="73B0BCC1" w14:textId="072FDEE2" w:rsidR="00342119" w:rsidRPr="00701439" w:rsidRDefault="001D6460" w:rsidP="00E534C5">
            <w:pPr>
              <w:pStyle w:val="NoSpacing"/>
              <w:jc w:val="center"/>
              <w:rPr>
                <w:i/>
                <w:sz w:val="20"/>
                <w:szCs w:val="20"/>
              </w:rPr>
            </w:pPr>
            <w:r w:rsidRPr="00701439">
              <w:rPr>
                <w:i/>
                <w:sz w:val="20"/>
                <w:szCs w:val="20"/>
              </w:rPr>
              <w:t>(</w:t>
            </w:r>
            <w:r w:rsidR="00182DA1" w:rsidRPr="00701439">
              <w:rPr>
                <w:i/>
                <w:sz w:val="20"/>
                <w:szCs w:val="20"/>
              </w:rPr>
              <w:t>10.0</w:t>
            </w:r>
            <w:r w:rsidR="00865942" w:rsidRPr="00701439">
              <w:rPr>
                <w:i/>
                <w:sz w:val="20"/>
                <w:szCs w:val="20"/>
              </w:rPr>
              <w:t>%</w:t>
            </w:r>
            <w:r w:rsidRPr="00701439">
              <w:rPr>
                <w:i/>
                <w:sz w:val="20"/>
                <w:szCs w:val="20"/>
              </w:rPr>
              <w:t>)</w:t>
            </w:r>
          </w:p>
        </w:tc>
      </w:tr>
      <w:tr w:rsidR="00342119" w:rsidRPr="00701439" w14:paraId="4AD5057A" w14:textId="77777777" w:rsidTr="000328C7">
        <w:tc>
          <w:tcPr>
            <w:tcW w:w="6378" w:type="dxa"/>
            <w:tcBorders>
              <w:top w:val="single" w:sz="4" w:space="0" w:color="auto"/>
              <w:left w:val="nil"/>
              <w:right w:val="nil"/>
            </w:tcBorders>
            <w:vAlign w:val="bottom"/>
            <w:hideMark/>
          </w:tcPr>
          <w:p w14:paraId="46A65047" w14:textId="3FC70DAA" w:rsidR="00342119" w:rsidRPr="00701439" w:rsidRDefault="00342119" w:rsidP="00E534C5">
            <w:pPr>
              <w:pStyle w:val="NoSpacing"/>
              <w:jc w:val="both"/>
              <w:rPr>
                <w:b/>
                <w:sz w:val="20"/>
                <w:szCs w:val="20"/>
              </w:rPr>
            </w:pPr>
            <w:r w:rsidRPr="00701439">
              <w:rPr>
                <w:b/>
                <w:sz w:val="20"/>
                <w:szCs w:val="20"/>
              </w:rPr>
              <w:t xml:space="preserve">Net interest </w:t>
            </w:r>
            <w:r w:rsidR="00BB2C81" w:rsidRPr="00701439">
              <w:rPr>
                <w:b/>
                <w:sz w:val="20"/>
                <w:szCs w:val="20"/>
              </w:rPr>
              <w:t>income</w:t>
            </w:r>
          </w:p>
        </w:tc>
        <w:tc>
          <w:tcPr>
            <w:tcW w:w="1134" w:type="dxa"/>
            <w:tcBorders>
              <w:top w:val="single" w:sz="4" w:space="0" w:color="auto"/>
              <w:left w:val="nil"/>
              <w:right w:val="nil"/>
            </w:tcBorders>
            <w:vAlign w:val="bottom"/>
          </w:tcPr>
          <w:p w14:paraId="756283F7" w14:textId="49348DBA" w:rsidR="00342119" w:rsidRPr="00701439" w:rsidRDefault="0044050B" w:rsidP="00E534C5">
            <w:pPr>
              <w:pStyle w:val="NoSpacing"/>
              <w:jc w:val="center"/>
              <w:rPr>
                <w:b/>
                <w:sz w:val="20"/>
                <w:szCs w:val="20"/>
              </w:rPr>
            </w:pPr>
            <w:r w:rsidRPr="00701439">
              <w:rPr>
                <w:b/>
                <w:sz w:val="20"/>
                <w:szCs w:val="20"/>
              </w:rPr>
              <w:t>3</w:t>
            </w:r>
            <w:r w:rsidR="001453BB" w:rsidRPr="00701439">
              <w:rPr>
                <w:b/>
                <w:sz w:val="20"/>
                <w:szCs w:val="20"/>
              </w:rPr>
              <w:t>1</w:t>
            </w:r>
            <w:r w:rsidR="00182DA1" w:rsidRPr="00701439">
              <w:rPr>
                <w:b/>
                <w:sz w:val="20"/>
                <w:szCs w:val="20"/>
              </w:rPr>
              <w:t>0.</w:t>
            </w:r>
            <w:r w:rsidR="00355FE5" w:rsidRPr="00701439">
              <w:rPr>
                <w:b/>
                <w:sz w:val="20"/>
                <w:szCs w:val="20"/>
              </w:rPr>
              <w:t>8</w:t>
            </w:r>
          </w:p>
        </w:tc>
        <w:tc>
          <w:tcPr>
            <w:tcW w:w="1134" w:type="dxa"/>
            <w:tcBorders>
              <w:top w:val="single" w:sz="4" w:space="0" w:color="auto"/>
              <w:left w:val="nil"/>
              <w:right w:val="nil"/>
            </w:tcBorders>
            <w:vAlign w:val="bottom"/>
          </w:tcPr>
          <w:p w14:paraId="5F6D8234" w14:textId="5263F79E" w:rsidR="00342119" w:rsidRPr="00701439" w:rsidRDefault="00B020F3" w:rsidP="00E534C5">
            <w:pPr>
              <w:pStyle w:val="NoSpacing"/>
              <w:jc w:val="center"/>
              <w:rPr>
                <w:b/>
                <w:sz w:val="20"/>
                <w:szCs w:val="20"/>
              </w:rPr>
            </w:pPr>
            <w:r w:rsidRPr="00701439">
              <w:rPr>
                <w:b/>
                <w:sz w:val="20"/>
                <w:szCs w:val="20"/>
              </w:rPr>
              <w:t>303.9</w:t>
            </w:r>
          </w:p>
        </w:tc>
        <w:tc>
          <w:tcPr>
            <w:tcW w:w="1134" w:type="dxa"/>
            <w:tcBorders>
              <w:top w:val="single" w:sz="4" w:space="0" w:color="auto"/>
              <w:left w:val="nil"/>
              <w:right w:val="nil"/>
            </w:tcBorders>
            <w:vAlign w:val="bottom"/>
          </w:tcPr>
          <w:p w14:paraId="0728FF41" w14:textId="1E34C371" w:rsidR="00342119" w:rsidRPr="00701439" w:rsidRDefault="00C376F1" w:rsidP="00E534C5">
            <w:pPr>
              <w:pStyle w:val="NoSpacing"/>
              <w:jc w:val="center"/>
              <w:rPr>
                <w:b/>
                <w:i/>
                <w:sz w:val="20"/>
                <w:szCs w:val="20"/>
              </w:rPr>
            </w:pPr>
            <w:r w:rsidRPr="00701439">
              <w:rPr>
                <w:b/>
                <w:i/>
                <w:sz w:val="20"/>
                <w:szCs w:val="20"/>
              </w:rPr>
              <w:t>2.3</w:t>
            </w:r>
            <w:r w:rsidR="00865942" w:rsidRPr="00701439">
              <w:rPr>
                <w:b/>
                <w:i/>
                <w:sz w:val="20"/>
                <w:szCs w:val="20"/>
              </w:rPr>
              <w:t>%</w:t>
            </w:r>
          </w:p>
        </w:tc>
      </w:tr>
      <w:tr w:rsidR="00144DEB" w:rsidRPr="00701439" w14:paraId="484AA3C5" w14:textId="77777777" w:rsidTr="000328C7">
        <w:tc>
          <w:tcPr>
            <w:tcW w:w="6378" w:type="dxa"/>
            <w:tcBorders>
              <w:left w:val="nil"/>
              <w:bottom w:val="nil"/>
              <w:right w:val="nil"/>
            </w:tcBorders>
            <w:vAlign w:val="bottom"/>
          </w:tcPr>
          <w:p w14:paraId="4BCC444F" w14:textId="0DBA85AF" w:rsidR="00144DEB" w:rsidRPr="00701439" w:rsidRDefault="00144DEB" w:rsidP="00E534C5">
            <w:pPr>
              <w:pStyle w:val="NoSpacing"/>
              <w:jc w:val="both"/>
              <w:rPr>
                <w:b/>
                <w:sz w:val="20"/>
                <w:szCs w:val="20"/>
              </w:rPr>
            </w:pPr>
            <w:r w:rsidRPr="00701439">
              <w:rPr>
                <w:b/>
                <w:sz w:val="20"/>
                <w:szCs w:val="20"/>
              </w:rPr>
              <w:t>Net fee and commission income</w:t>
            </w:r>
          </w:p>
        </w:tc>
        <w:tc>
          <w:tcPr>
            <w:tcW w:w="1134" w:type="dxa"/>
            <w:tcBorders>
              <w:left w:val="nil"/>
              <w:bottom w:val="nil"/>
              <w:right w:val="nil"/>
            </w:tcBorders>
            <w:vAlign w:val="bottom"/>
          </w:tcPr>
          <w:p w14:paraId="76655F37" w14:textId="24886384" w:rsidR="00144DEB" w:rsidRPr="00701439" w:rsidRDefault="002D38B4" w:rsidP="00E534C5">
            <w:pPr>
              <w:pStyle w:val="NoSpacing"/>
              <w:jc w:val="center"/>
              <w:rPr>
                <w:b/>
                <w:sz w:val="20"/>
                <w:szCs w:val="20"/>
              </w:rPr>
            </w:pPr>
            <w:r w:rsidRPr="00701439">
              <w:rPr>
                <w:b/>
                <w:sz w:val="20"/>
                <w:szCs w:val="20"/>
              </w:rPr>
              <w:t>4</w:t>
            </w:r>
            <w:r w:rsidR="0080074B" w:rsidRPr="00701439">
              <w:rPr>
                <w:b/>
                <w:sz w:val="20"/>
                <w:szCs w:val="20"/>
              </w:rPr>
              <w:t>4</w:t>
            </w:r>
            <w:r w:rsidRPr="00701439">
              <w:rPr>
                <w:b/>
                <w:sz w:val="20"/>
                <w:szCs w:val="20"/>
              </w:rPr>
              <w:t>.2</w:t>
            </w:r>
          </w:p>
        </w:tc>
        <w:tc>
          <w:tcPr>
            <w:tcW w:w="1134" w:type="dxa"/>
            <w:tcBorders>
              <w:left w:val="nil"/>
              <w:bottom w:val="nil"/>
              <w:right w:val="nil"/>
            </w:tcBorders>
            <w:vAlign w:val="bottom"/>
          </w:tcPr>
          <w:p w14:paraId="2A02BCFD" w14:textId="0A0932F1" w:rsidR="00144DEB" w:rsidRPr="00701439" w:rsidRDefault="001F41F7" w:rsidP="00E534C5">
            <w:pPr>
              <w:pStyle w:val="NoSpacing"/>
              <w:jc w:val="center"/>
              <w:rPr>
                <w:b/>
                <w:sz w:val="20"/>
                <w:szCs w:val="20"/>
              </w:rPr>
            </w:pPr>
            <w:r w:rsidRPr="00701439">
              <w:rPr>
                <w:b/>
                <w:sz w:val="20"/>
                <w:szCs w:val="20"/>
              </w:rPr>
              <w:t>57.4</w:t>
            </w:r>
          </w:p>
        </w:tc>
        <w:tc>
          <w:tcPr>
            <w:tcW w:w="1134" w:type="dxa"/>
            <w:tcBorders>
              <w:left w:val="nil"/>
              <w:bottom w:val="nil"/>
              <w:right w:val="nil"/>
            </w:tcBorders>
            <w:vAlign w:val="bottom"/>
          </w:tcPr>
          <w:p w14:paraId="46190110" w14:textId="38FF08B8" w:rsidR="00144DEB" w:rsidRPr="00701439" w:rsidRDefault="00AD688F" w:rsidP="00E534C5">
            <w:pPr>
              <w:pStyle w:val="NoSpacing"/>
              <w:jc w:val="center"/>
              <w:rPr>
                <w:b/>
                <w:i/>
                <w:sz w:val="20"/>
                <w:szCs w:val="20"/>
              </w:rPr>
            </w:pPr>
            <w:r w:rsidRPr="00701439">
              <w:rPr>
                <w:b/>
                <w:i/>
                <w:sz w:val="20"/>
                <w:szCs w:val="20"/>
              </w:rPr>
              <w:t>(</w:t>
            </w:r>
            <w:r w:rsidR="0080074B" w:rsidRPr="00701439">
              <w:rPr>
                <w:b/>
                <w:i/>
                <w:sz w:val="20"/>
                <w:szCs w:val="20"/>
              </w:rPr>
              <w:t>23</w:t>
            </w:r>
            <w:r w:rsidRPr="00701439">
              <w:rPr>
                <w:b/>
                <w:i/>
                <w:sz w:val="20"/>
                <w:szCs w:val="20"/>
              </w:rPr>
              <w:t>.</w:t>
            </w:r>
            <w:r w:rsidR="0080074B" w:rsidRPr="00701439">
              <w:rPr>
                <w:b/>
                <w:i/>
                <w:sz w:val="20"/>
                <w:szCs w:val="20"/>
              </w:rPr>
              <w:t>0</w:t>
            </w:r>
            <w:r w:rsidR="00770CFE" w:rsidRPr="00701439">
              <w:rPr>
                <w:b/>
                <w:i/>
                <w:sz w:val="20"/>
                <w:szCs w:val="20"/>
              </w:rPr>
              <w:t>%</w:t>
            </w:r>
            <w:r w:rsidRPr="00701439">
              <w:rPr>
                <w:b/>
                <w:i/>
                <w:sz w:val="20"/>
                <w:szCs w:val="20"/>
              </w:rPr>
              <w:t>)</w:t>
            </w:r>
          </w:p>
        </w:tc>
      </w:tr>
      <w:tr w:rsidR="00144DEB" w:rsidRPr="00701439" w14:paraId="12B39CE7" w14:textId="77777777" w:rsidTr="000328C7">
        <w:tc>
          <w:tcPr>
            <w:tcW w:w="6378" w:type="dxa"/>
            <w:tcBorders>
              <w:left w:val="nil"/>
              <w:bottom w:val="nil"/>
              <w:right w:val="nil"/>
            </w:tcBorders>
            <w:vAlign w:val="bottom"/>
          </w:tcPr>
          <w:p w14:paraId="7CD27C2C" w14:textId="2F1ECF28" w:rsidR="00144DEB" w:rsidRPr="00701439" w:rsidRDefault="00144DEB" w:rsidP="00E534C5">
            <w:pPr>
              <w:pStyle w:val="NoSpacing"/>
              <w:jc w:val="both"/>
              <w:rPr>
                <w:bCs/>
                <w:sz w:val="20"/>
                <w:szCs w:val="20"/>
              </w:rPr>
            </w:pPr>
            <w:r w:rsidRPr="00701439">
              <w:rPr>
                <w:bCs/>
                <w:sz w:val="20"/>
                <w:szCs w:val="20"/>
              </w:rPr>
              <w:t>Other income</w:t>
            </w:r>
          </w:p>
        </w:tc>
        <w:tc>
          <w:tcPr>
            <w:tcW w:w="1134" w:type="dxa"/>
            <w:tcBorders>
              <w:left w:val="nil"/>
              <w:bottom w:val="nil"/>
              <w:right w:val="nil"/>
            </w:tcBorders>
            <w:vAlign w:val="bottom"/>
          </w:tcPr>
          <w:p w14:paraId="31F2B0ED" w14:textId="693A75C7" w:rsidR="00144DEB" w:rsidRPr="00701439" w:rsidRDefault="00FE7099" w:rsidP="00E534C5">
            <w:pPr>
              <w:pStyle w:val="NoSpacing"/>
              <w:jc w:val="center"/>
              <w:rPr>
                <w:bCs/>
                <w:sz w:val="20"/>
                <w:szCs w:val="20"/>
              </w:rPr>
            </w:pPr>
            <w:r w:rsidRPr="00701439">
              <w:rPr>
                <w:bCs/>
                <w:sz w:val="20"/>
                <w:szCs w:val="20"/>
              </w:rPr>
              <w:t>5.1</w:t>
            </w:r>
          </w:p>
        </w:tc>
        <w:tc>
          <w:tcPr>
            <w:tcW w:w="1134" w:type="dxa"/>
            <w:tcBorders>
              <w:left w:val="nil"/>
              <w:bottom w:val="nil"/>
              <w:right w:val="nil"/>
            </w:tcBorders>
            <w:vAlign w:val="bottom"/>
          </w:tcPr>
          <w:p w14:paraId="467A4133" w14:textId="031D0F1E" w:rsidR="00144DEB" w:rsidRPr="00701439" w:rsidRDefault="001F41F7" w:rsidP="00E534C5">
            <w:pPr>
              <w:pStyle w:val="NoSpacing"/>
              <w:jc w:val="center"/>
              <w:rPr>
                <w:sz w:val="20"/>
                <w:szCs w:val="20"/>
              </w:rPr>
            </w:pPr>
            <w:r w:rsidRPr="00701439">
              <w:rPr>
                <w:sz w:val="20"/>
                <w:szCs w:val="20"/>
              </w:rPr>
              <w:t>0.4</w:t>
            </w:r>
          </w:p>
        </w:tc>
        <w:tc>
          <w:tcPr>
            <w:tcW w:w="1134" w:type="dxa"/>
            <w:tcBorders>
              <w:left w:val="nil"/>
              <w:bottom w:val="nil"/>
              <w:right w:val="nil"/>
            </w:tcBorders>
            <w:vAlign w:val="bottom"/>
          </w:tcPr>
          <w:p w14:paraId="5B2417D8" w14:textId="02C5482F" w:rsidR="00144DEB" w:rsidRPr="00701439" w:rsidRDefault="00737B1A" w:rsidP="00E534C5">
            <w:pPr>
              <w:pStyle w:val="NoSpacing"/>
              <w:jc w:val="center"/>
              <w:rPr>
                <w:bCs/>
                <w:i/>
                <w:sz w:val="20"/>
                <w:szCs w:val="20"/>
              </w:rPr>
            </w:pPr>
            <w:r w:rsidRPr="00701439">
              <w:rPr>
                <w:bCs/>
                <w:i/>
                <w:sz w:val="20"/>
                <w:szCs w:val="20"/>
              </w:rPr>
              <w:t>1</w:t>
            </w:r>
            <w:r w:rsidR="00FE7099" w:rsidRPr="00701439">
              <w:rPr>
                <w:bCs/>
                <w:i/>
                <w:sz w:val="20"/>
                <w:szCs w:val="20"/>
              </w:rPr>
              <w:t>175</w:t>
            </w:r>
            <w:r w:rsidR="00B26768" w:rsidRPr="00701439">
              <w:rPr>
                <w:bCs/>
                <w:i/>
                <w:sz w:val="20"/>
                <w:szCs w:val="20"/>
              </w:rPr>
              <w:t>.0</w:t>
            </w:r>
            <w:r w:rsidRPr="00701439">
              <w:rPr>
                <w:bCs/>
                <w:i/>
                <w:sz w:val="20"/>
                <w:szCs w:val="20"/>
              </w:rPr>
              <w:t>%</w:t>
            </w:r>
          </w:p>
        </w:tc>
      </w:tr>
      <w:tr w:rsidR="009D3BF1" w:rsidRPr="00701439" w14:paraId="15B5F940" w14:textId="77777777" w:rsidTr="00AF2F0C">
        <w:tc>
          <w:tcPr>
            <w:tcW w:w="6378" w:type="dxa"/>
            <w:tcBorders>
              <w:top w:val="single" w:sz="4" w:space="0" w:color="auto"/>
              <w:left w:val="nil"/>
              <w:bottom w:val="nil"/>
              <w:right w:val="nil"/>
            </w:tcBorders>
            <w:vAlign w:val="bottom"/>
          </w:tcPr>
          <w:p w14:paraId="3BC62594" w14:textId="2BB3DB92" w:rsidR="009D3BF1" w:rsidRPr="00701439" w:rsidRDefault="009D3BF1" w:rsidP="00E534C5">
            <w:pPr>
              <w:pStyle w:val="NoSpacing"/>
              <w:jc w:val="both"/>
              <w:rPr>
                <w:b/>
                <w:sz w:val="20"/>
                <w:szCs w:val="20"/>
              </w:rPr>
            </w:pPr>
            <w:r w:rsidRPr="00701439">
              <w:rPr>
                <w:b/>
                <w:sz w:val="20"/>
                <w:szCs w:val="20"/>
              </w:rPr>
              <w:t>Total income</w:t>
            </w:r>
          </w:p>
        </w:tc>
        <w:tc>
          <w:tcPr>
            <w:tcW w:w="1134" w:type="dxa"/>
            <w:tcBorders>
              <w:top w:val="single" w:sz="4" w:space="0" w:color="auto"/>
              <w:left w:val="nil"/>
              <w:bottom w:val="nil"/>
              <w:right w:val="nil"/>
            </w:tcBorders>
            <w:vAlign w:val="bottom"/>
          </w:tcPr>
          <w:p w14:paraId="3B9C7C80" w14:textId="02B74C4E" w:rsidR="009D3BF1" w:rsidRPr="00701439" w:rsidRDefault="00580036" w:rsidP="00E534C5">
            <w:pPr>
              <w:pStyle w:val="NoSpacing"/>
              <w:jc w:val="center"/>
              <w:rPr>
                <w:b/>
                <w:sz w:val="20"/>
                <w:szCs w:val="20"/>
              </w:rPr>
            </w:pPr>
            <w:r w:rsidRPr="00701439">
              <w:rPr>
                <w:b/>
                <w:sz w:val="20"/>
                <w:szCs w:val="20"/>
              </w:rPr>
              <w:t>360.1</w:t>
            </w:r>
          </w:p>
        </w:tc>
        <w:tc>
          <w:tcPr>
            <w:tcW w:w="1134" w:type="dxa"/>
            <w:tcBorders>
              <w:top w:val="single" w:sz="4" w:space="0" w:color="auto"/>
              <w:left w:val="nil"/>
              <w:bottom w:val="nil"/>
              <w:right w:val="nil"/>
            </w:tcBorders>
            <w:vAlign w:val="bottom"/>
          </w:tcPr>
          <w:p w14:paraId="7D611D41" w14:textId="468284A2" w:rsidR="009D3BF1" w:rsidRPr="00701439" w:rsidRDefault="001F41F7" w:rsidP="00E534C5">
            <w:pPr>
              <w:pStyle w:val="NoSpacing"/>
              <w:jc w:val="center"/>
              <w:rPr>
                <w:b/>
                <w:sz w:val="20"/>
                <w:szCs w:val="20"/>
              </w:rPr>
            </w:pPr>
            <w:r w:rsidRPr="00701439">
              <w:rPr>
                <w:b/>
                <w:sz w:val="20"/>
                <w:szCs w:val="20"/>
              </w:rPr>
              <w:t>361.7</w:t>
            </w:r>
          </w:p>
        </w:tc>
        <w:tc>
          <w:tcPr>
            <w:tcW w:w="1134" w:type="dxa"/>
            <w:tcBorders>
              <w:top w:val="single" w:sz="4" w:space="0" w:color="auto"/>
              <w:left w:val="nil"/>
              <w:bottom w:val="nil"/>
              <w:right w:val="nil"/>
            </w:tcBorders>
            <w:vAlign w:val="bottom"/>
          </w:tcPr>
          <w:p w14:paraId="11AC2FE4" w14:textId="11594890" w:rsidR="009D3BF1" w:rsidRPr="00701439" w:rsidRDefault="00D6006D" w:rsidP="00E534C5">
            <w:pPr>
              <w:pStyle w:val="NoSpacing"/>
              <w:jc w:val="center"/>
              <w:rPr>
                <w:b/>
                <w:i/>
                <w:sz w:val="20"/>
                <w:szCs w:val="20"/>
              </w:rPr>
            </w:pPr>
            <w:r w:rsidRPr="00701439">
              <w:rPr>
                <w:b/>
                <w:i/>
                <w:sz w:val="20"/>
                <w:szCs w:val="20"/>
              </w:rPr>
              <w:t>(0.4</w:t>
            </w:r>
            <w:r w:rsidR="000639B8" w:rsidRPr="00701439">
              <w:rPr>
                <w:b/>
                <w:i/>
                <w:sz w:val="20"/>
                <w:szCs w:val="20"/>
              </w:rPr>
              <w:t>%</w:t>
            </w:r>
            <w:r w:rsidRPr="00701439">
              <w:rPr>
                <w:b/>
                <w:i/>
                <w:sz w:val="20"/>
                <w:szCs w:val="20"/>
              </w:rPr>
              <w:t>)</w:t>
            </w:r>
          </w:p>
        </w:tc>
      </w:tr>
      <w:tr w:rsidR="00342119" w:rsidRPr="00701439" w14:paraId="781D7B8A" w14:textId="77777777" w:rsidTr="00AF2F0C">
        <w:tc>
          <w:tcPr>
            <w:tcW w:w="6378" w:type="dxa"/>
            <w:tcBorders>
              <w:top w:val="nil"/>
              <w:left w:val="nil"/>
              <w:bottom w:val="single" w:sz="4" w:space="0" w:color="auto"/>
              <w:right w:val="nil"/>
            </w:tcBorders>
            <w:vAlign w:val="bottom"/>
            <w:hideMark/>
          </w:tcPr>
          <w:p w14:paraId="6940013E" w14:textId="69300E8D" w:rsidR="00342119" w:rsidRPr="00701439" w:rsidRDefault="00342119" w:rsidP="00E534C5">
            <w:pPr>
              <w:pStyle w:val="NoSpacing"/>
              <w:jc w:val="both"/>
              <w:rPr>
                <w:sz w:val="20"/>
                <w:szCs w:val="20"/>
              </w:rPr>
            </w:pPr>
            <w:r w:rsidRPr="00701439">
              <w:rPr>
                <w:sz w:val="20"/>
                <w:szCs w:val="20"/>
              </w:rPr>
              <w:t xml:space="preserve">Impairment </w:t>
            </w:r>
            <w:r w:rsidR="009D3BF1" w:rsidRPr="00701439">
              <w:rPr>
                <w:sz w:val="20"/>
                <w:szCs w:val="20"/>
              </w:rPr>
              <w:t>charges</w:t>
            </w:r>
          </w:p>
        </w:tc>
        <w:tc>
          <w:tcPr>
            <w:tcW w:w="1134" w:type="dxa"/>
            <w:tcBorders>
              <w:top w:val="nil"/>
              <w:left w:val="nil"/>
              <w:bottom w:val="single" w:sz="4" w:space="0" w:color="auto"/>
              <w:right w:val="nil"/>
            </w:tcBorders>
            <w:vAlign w:val="bottom"/>
          </w:tcPr>
          <w:p w14:paraId="577CA541" w14:textId="783F71EC" w:rsidR="00342119" w:rsidRPr="00701439" w:rsidRDefault="0044050B" w:rsidP="00E534C5">
            <w:pPr>
              <w:pStyle w:val="NoSpacing"/>
              <w:jc w:val="center"/>
              <w:rPr>
                <w:sz w:val="20"/>
                <w:szCs w:val="20"/>
              </w:rPr>
            </w:pPr>
            <w:r w:rsidRPr="00701439">
              <w:rPr>
                <w:sz w:val="20"/>
                <w:szCs w:val="20"/>
              </w:rPr>
              <w:t>(</w:t>
            </w:r>
            <w:r w:rsidR="00827C14" w:rsidRPr="00701439">
              <w:rPr>
                <w:sz w:val="20"/>
                <w:szCs w:val="20"/>
              </w:rPr>
              <w:t>16</w:t>
            </w:r>
            <w:r w:rsidRPr="00701439">
              <w:rPr>
                <w:sz w:val="20"/>
                <w:szCs w:val="20"/>
              </w:rPr>
              <w:t>.</w:t>
            </w:r>
            <w:r w:rsidR="00827C14" w:rsidRPr="00701439">
              <w:rPr>
                <w:sz w:val="20"/>
                <w:szCs w:val="20"/>
              </w:rPr>
              <w:t>8</w:t>
            </w:r>
            <w:r w:rsidRPr="00701439">
              <w:rPr>
                <w:sz w:val="20"/>
                <w:szCs w:val="20"/>
              </w:rPr>
              <w:t>)</w:t>
            </w:r>
          </w:p>
        </w:tc>
        <w:tc>
          <w:tcPr>
            <w:tcW w:w="1134" w:type="dxa"/>
            <w:tcBorders>
              <w:top w:val="nil"/>
              <w:left w:val="nil"/>
              <w:bottom w:val="single" w:sz="4" w:space="0" w:color="auto"/>
              <w:right w:val="nil"/>
            </w:tcBorders>
            <w:vAlign w:val="bottom"/>
          </w:tcPr>
          <w:p w14:paraId="63DC8082" w14:textId="601F3F77" w:rsidR="00342119" w:rsidRPr="00701439" w:rsidRDefault="0044050B" w:rsidP="00E534C5">
            <w:pPr>
              <w:pStyle w:val="NoSpacing"/>
              <w:jc w:val="center"/>
              <w:rPr>
                <w:sz w:val="20"/>
                <w:szCs w:val="20"/>
              </w:rPr>
            </w:pPr>
            <w:r w:rsidRPr="00701439">
              <w:rPr>
                <w:sz w:val="20"/>
                <w:szCs w:val="20"/>
              </w:rPr>
              <w:t>(</w:t>
            </w:r>
            <w:r w:rsidR="001F41F7" w:rsidRPr="00701439">
              <w:rPr>
                <w:sz w:val="20"/>
                <w:szCs w:val="20"/>
              </w:rPr>
              <w:t>3.7</w:t>
            </w:r>
            <w:r w:rsidRPr="00701439">
              <w:rPr>
                <w:sz w:val="20"/>
                <w:szCs w:val="20"/>
              </w:rPr>
              <w:t>)</w:t>
            </w:r>
          </w:p>
        </w:tc>
        <w:tc>
          <w:tcPr>
            <w:tcW w:w="1134" w:type="dxa"/>
            <w:tcBorders>
              <w:top w:val="nil"/>
              <w:left w:val="nil"/>
              <w:bottom w:val="single" w:sz="4" w:space="0" w:color="auto"/>
              <w:right w:val="nil"/>
            </w:tcBorders>
            <w:vAlign w:val="bottom"/>
          </w:tcPr>
          <w:p w14:paraId="1D3AE986" w14:textId="7DE5C578" w:rsidR="00342119" w:rsidRPr="00701439" w:rsidRDefault="006E66E1" w:rsidP="00E534C5">
            <w:pPr>
              <w:pStyle w:val="NoSpacing"/>
              <w:jc w:val="center"/>
              <w:rPr>
                <w:i/>
                <w:sz w:val="20"/>
                <w:szCs w:val="20"/>
              </w:rPr>
            </w:pPr>
            <w:r w:rsidRPr="00701439">
              <w:rPr>
                <w:i/>
                <w:sz w:val="20"/>
                <w:szCs w:val="20"/>
              </w:rPr>
              <w:t>354</w:t>
            </w:r>
            <w:r w:rsidR="00865942" w:rsidRPr="00701439">
              <w:rPr>
                <w:i/>
                <w:sz w:val="20"/>
                <w:szCs w:val="20"/>
              </w:rPr>
              <w:t>.</w:t>
            </w:r>
            <w:r w:rsidRPr="00701439">
              <w:rPr>
                <w:i/>
                <w:sz w:val="20"/>
                <w:szCs w:val="20"/>
              </w:rPr>
              <w:t>1</w:t>
            </w:r>
            <w:r w:rsidR="00865942" w:rsidRPr="00701439">
              <w:rPr>
                <w:i/>
                <w:sz w:val="20"/>
                <w:szCs w:val="20"/>
              </w:rPr>
              <w:t>%</w:t>
            </w:r>
          </w:p>
        </w:tc>
      </w:tr>
      <w:tr w:rsidR="00342119" w:rsidRPr="00701439" w14:paraId="593E318D" w14:textId="77777777" w:rsidTr="00046EF2">
        <w:tc>
          <w:tcPr>
            <w:tcW w:w="6378" w:type="dxa"/>
            <w:tcBorders>
              <w:top w:val="single" w:sz="4" w:space="0" w:color="auto"/>
              <w:left w:val="nil"/>
              <w:bottom w:val="nil"/>
              <w:right w:val="nil"/>
            </w:tcBorders>
            <w:vAlign w:val="bottom"/>
            <w:hideMark/>
          </w:tcPr>
          <w:p w14:paraId="1E195060" w14:textId="29D2949E" w:rsidR="00342119" w:rsidRPr="00701439" w:rsidRDefault="00342119" w:rsidP="00E534C5">
            <w:pPr>
              <w:pStyle w:val="NoSpacing"/>
              <w:jc w:val="both"/>
              <w:rPr>
                <w:b/>
                <w:sz w:val="20"/>
                <w:szCs w:val="20"/>
              </w:rPr>
            </w:pPr>
            <w:r w:rsidRPr="00701439">
              <w:rPr>
                <w:b/>
                <w:sz w:val="20"/>
                <w:szCs w:val="20"/>
              </w:rPr>
              <w:t xml:space="preserve">Risk-adjusted </w:t>
            </w:r>
            <w:r w:rsidR="009D3BF1" w:rsidRPr="00701439">
              <w:rPr>
                <w:b/>
                <w:sz w:val="20"/>
                <w:szCs w:val="20"/>
              </w:rPr>
              <w:t>income</w:t>
            </w:r>
          </w:p>
        </w:tc>
        <w:tc>
          <w:tcPr>
            <w:tcW w:w="1134" w:type="dxa"/>
            <w:tcBorders>
              <w:top w:val="single" w:sz="4" w:space="0" w:color="auto"/>
              <w:left w:val="nil"/>
              <w:bottom w:val="nil"/>
              <w:right w:val="nil"/>
            </w:tcBorders>
            <w:vAlign w:val="bottom"/>
          </w:tcPr>
          <w:p w14:paraId="4C2D3470" w14:textId="776C0EF6" w:rsidR="00342119" w:rsidRPr="00701439" w:rsidRDefault="0044050B" w:rsidP="00E534C5">
            <w:pPr>
              <w:pStyle w:val="NoSpacing"/>
              <w:jc w:val="center"/>
              <w:rPr>
                <w:rFonts w:cs="Arial"/>
                <w:b/>
                <w:sz w:val="20"/>
                <w:szCs w:val="20"/>
              </w:rPr>
            </w:pPr>
            <w:r w:rsidRPr="00701439">
              <w:rPr>
                <w:rFonts w:cs="Arial"/>
                <w:b/>
                <w:sz w:val="20"/>
                <w:szCs w:val="20"/>
              </w:rPr>
              <w:t>3</w:t>
            </w:r>
            <w:r w:rsidR="00F10EFA" w:rsidRPr="00701439">
              <w:rPr>
                <w:rFonts w:cs="Arial"/>
                <w:b/>
                <w:sz w:val="20"/>
                <w:szCs w:val="20"/>
              </w:rPr>
              <w:t>43.3</w:t>
            </w:r>
          </w:p>
        </w:tc>
        <w:tc>
          <w:tcPr>
            <w:tcW w:w="1134" w:type="dxa"/>
            <w:tcBorders>
              <w:top w:val="single" w:sz="4" w:space="0" w:color="auto"/>
              <w:left w:val="nil"/>
              <w:bottom w:val="nil"/>
              <w:right w:val="nil"/>
            </w:tcBorders>
            <w:vAlign w:val="bottom"/>
          </w:tcPr>
          <w:p w14:paraId="7D41840D" w14:textId="0E9C49D1" w:rsidR="00342119" w:rsidRPr="00701439" w:rsidRDefault="00307427" w:rsidP="00E534C5">
            <w:pPr>
              <w:pStyle w:val="NoSpacing"/>
              <w:jc w:val="center"/>
              <w:rPr>
                <w:rFonts w:cs="Arial"/>
                <w:b/>
                <w:sz w:val="20"/>
                <w:szCs w:val="20"/>
              </w:rPr>
            </w:pPr>
            <w:r w:rsidRPr="00701439">
              <w:rPr>
                <w:rFonts w:cs="Arial"/>
                <w:b/>
                <w:sz w:val="20"/>
                <w:szCs w:val="20"/>
              </w:rPr>
              <w:t>358.0</w:t>
            </w:r>
          </w:p>
        </w:tc>
        <w:tc>
          <w:tcPr>
            <w:tcW w:w="1134" w:type="dxa"/>
            <w:tcBorders>
              <w:top w:val="single" w:sz="4" w:space="0" w:color="auto"/>
              <w:left w:val="nil"/>
              <w:bottom w:val="nil"/>
              <w:right w:val="nil"/>
            </w:tcBorders>
            <w:vAlign w:val="bottom"/>
          </w:tcPr>
          <w:p w14:paraId="5573DEFB" w14:textId="19213B2D" w:rsidR="00342119" w:rsidRPr="00701439" w:rsidRDefault="00BD0FF7" w:rsidP="00E534C5">
            <w:pPr>
              <w:pStyle w:val="NoSpacing"/>
              <w:jc w:val="center"/>
              <w:rPr>
                <w:b/>
                <w:i/>
                <w:sz w:val="20"/>
                <w:szCs w:val="20"/>
              </w:rPr>
            </w:pPr>
            <w:r w:rsidRPr="00701439">
              <w:rPr>
                <w:b/>
                <w:i/>
                <w:sz w:val="20"/>
                <w:szCs w:val="20"/>
              </w:rPr>
              <w:t>(4.1</w:t>
            </w:r>
            <w:r w:rsidR="00865942" w:rsidRPr="00701439">
              <w:rPr>
                <w:b/>
                <w:i/>
                <w:sz w:val="20"/>
                <w:szCs w:val="20"/>
              </w:rPr>
              <w:t>%</w:t>
            </w:r>
            <w:r w:rsidR="005F3194" w:rsidRPr="00701439">
              <w:rPr>
                <w:b/>
                <w:i/>
                <w:sz w:val="20"/>
                <w:szCs w:val="20"/>
              </w:rPr>
              <w:t>)</w:t>
            </w:r>
          </w:p>
        </w:tc>
      </w:tr>
      <w:tr w:rsidR="00342119" w:rsidRPr="00701439" w14:paraId="56B4D7EC" w14:textId="77777777" w:rsidTr="00AF2F0C">
        <w:tc>
          <w:tcPr>
            <w:tcW w:w="6378" w:type="dxa"/>
            <w:tcBorders>
              <w:top w:val="nil"/>
              <w:left w:val="nil"/>
              <w:bottom w:val="single" w:sz="4" w:space="0" w:color="auto"/>
              <w:right w:val="nil"/>
            </w:tcBorders>
            <w:vAlign w:val="bottom"/>
            <w:hideMark/>
          </w:tcPr>
          <w:p w14:paraId="41FFDD6B" w14:textId="1CC8974B" w:rsidR="00342119" w:rsidRPr="00701439" w:rsidRDefault="009D3BF1" w:rsidP="00E534C5">
            <w:pPr>
              <w:pStyle w:val="NoSpacing"/>
              <w:jc w:val="both"/>
              <w:rPr>
                <w:sz w:val="20"/>
                <w:szCs w:val="20"/>
              </w:rPr>
            </w:pPr>
            <w:r w:rsidRPr="00701439">
              <w:rPr>
                <w:sz w:val="20"/>
                <w:szCs w:val="20"/>
              </w:rPr>
              <w:t>Operating c</w:t>
            </w:r>
            <w:r w:rsidR="00342119" w:rsidRPr="00701439">
              <w:rPr>
                <w:sz w:val="20"/>
                <w:szCs w:val="20"/>
              </w:rPr>
              <w:t>osts</w:t>
            </w:r>
          </w:p>
        </w:tc>
        <w:tc>
          <w:tcPr>
            <w:tcW w:w="1134" w:type="dxa"/>
            <w:tcBorders>
              <w:top w:val="nil"/>
              <w:left w:val="nil"/>
              <w:bottom w:val="single" w:sz="4" w:space="0" w:color="auto"/>
              <w:right w:val="nil"/>
            </w:tcBorders>
            <w:vAlign w:val="bottom"/>
          </w:tcPr>
          <w:p w14:paraId="0FDE1AA1" w14:textId="564601FE" w:rsidR="00342119" w:rsidRPr="00701439" w:rsidRDefault="0044050B" w:rsidP="00E534C5">
            <w:pPr>
              <w:pStyle w:val="NoSpacing"/>
              <w:jc w:val="center"/>
              <w:rPr>
                <w:rFonts w:cs="Arial"/>
                <w:sz w:val="20"/>
                <w:szCs w:val="20"/>
              </w:rPr>
            </w:pPr>
            <w:r w:rsidRPr="00701439">
              <w:rPr>
                <w:rFonts w:cs="Arial"/>
                <w:sz w:val="20"/>
                <w:szCs w:val="20"/>
              </w:rPr>
              <w:t>(1</w:t>
            </w:r>
            <w:r w:rsidR="00F75089" w:rsidRPr="00701439">
              <w:rPr>
                <w:rFonts w:cs="Arial"/>
                <w:sz w:val="20"/>
                <w:szCs w:val="20"/>
              </w:rPr>
              <w:t>6</w:t>
            </w:r>
            <w:r w:rsidR="00EC45CE" w:rsidRPr="00701439">
              <w:rPr>
                <w:rFonts w:cs="Arial"/>
                <w:sz w:val="20"/>
                <w:szCs w:val="20"/>
              </w:rPr>
              <w:t>4.8</w:t>
            </w:r>
            <w:r w:rsidRPr="00701439">
              <w:rPr>
                <w:rFonts w:cs="Arial"/>
                <w:sz w:val="20"/>
                <w:szCs w:val="20"/>
              </w:rPr>
              <w:t>)</w:t>
            </w:r>
          </w:p>
        </w:tc>
        <w:tc>
          <w:tcPr>
            <w:tcW w:w="1134" w:type="dxa"/>
            <w:tcBorders>
              <w:top w:val="nil"/>
              <w:left w:val="nil"/>
              <w:bottom w:val="single" w:sz="4" w:space="0" w:color="auto"/>
              <w:right w:val="nil"/>
            </w:tcBorders>
            <w:vAlign w:val="bottom"/>
          </w:tcPr>
          <w:p w14:paraId="56B05446" w14:textId="5660CCD8" w:rsidR="00342119" w:rsidRPr="00701439" w:rsidRDefault="0044050B" w:rsidP="00E534C5">
            <w:pPr>
              <w:pStyle w:val="NoSpacing"/>
              <w:jc w:val="center"/>
              <w:rPr>
                <w:rFonts w:cs="Arial"/>
                <w:sz w:val="20"/>
                <w:szCs w:val="20"/>
              </w:rPr>
            </w:pPr>
            <w:r w:rsidRPr="00701439">
              <w:rPr>
                <w:rFonts w:cs="Arial"/>
                <w:sz w:val="20"/>
                <w:szCs w:val="20"/>
              </w:rPr>
              <w:t>(1</w:t>
            </w:r>
            <w:r w:rsidR="00307427" w:rsidRPr="00701439">
              <w:rPr>
                <w:rFonts w:cs="Arial"/>
                <w:sz w:val="20"/>
                <w:szCs w:val="20"/>
              </w:rPr>
              <w:t>84.1</w:t>
            </w:r>
            <w:r w:rsidRPr="00701439">
              <w:rPr>
                <w:rFonts w:cs="Arial"/>
                <w:sz w:val="20"/>
                <w:szCs w:val="20"/>
              </w:rPr>
              <w:t>)</w:t>
            </w:r>
          </w:p>
        </w:tc>
        <w:tc>
          <w:tcPr>
            <w:tcW w:w="1134" w:type="dxa"/>
            <w:tcBorders>
              <w:top w:val="nil"/>
              <w:left w:val="nil"/>
              <w:bottom w:val="single" w:sz="4" w:space="0" w:color="auto"/>
              <w:right w:val="nil"/>
            </w:tcBorders>
            <w:vAlign w:val="bottom"/>
          </w:tcPr>
          <w:p w14:paraId="459DEDB3" w14:textId="369EB8CD" w:rsidR="00342119" w:rsidRPr="00701439" w:rsidRDefault="002A0A0A" w:rsidP="00E534C5">
            <w:pPr>
              <w:pStyle w:val="NoSpacing"/>
              <w:jc w:val="center"/>
              <w:rPr>
                <w:i/>
                <w:sz w:val="20"/>
                <w:szCs w:val="20"/>
              </w:rPr>
            </w:pPr>
            <w:r w:rsidRPr="00701439">
              <w:rPr>
                <w:i/>
                <w:sz w:val="20"/>
                <w:szCs w:val="20"/>
              </w:rPr>
              <w:t>(</w:t>
            </w:r>
            <w:r w:rsidR="00EA7069" w:rsidRPr="00701439">
              <w:rPr>
                <w:i/>
                <w:sz w:val="20"/>
                <w:szCs w:val="20"/>
              </w:rPr>
              <w:t>10.5</w:t>
            </w:r>
            <w:r w:rsidR="00865942" w:rsidRPr="00701439">
              <w:rPr>
                <w:i/>
                <w:sz w:val="20"/>
                <w:szCs w:val="20"/>
              </w:rPr>
              <w:t>%)</w:t>
            </w:r>
          </w:p>
        </w:tc>
      </w:tr>
      <w:tr w:rsidR="00342119" w:rsidRPr="00701439" w14:paraId="43BBFBC3" w14:textId="77777777" w:rsidTr="00AF2F0C">
        <w:tc>
          <w:tcPr>
            <w:tcW w:w="6378" w:type="dxa"/>
            <w:tcBorders>
              <w:top w:val="single" w:sz="4" w:space="0" w:color="auto"/>
              <w:left w:val="nil"/>
              <w:bottom w:val="single" w:sz="4" w:space="0" w:color="auto"/>
              <w:right w:val="nil"/>
            </w:tcBorders>
            <w:vAlign w:val="bottom"/>
            <w:hideMark/>
          </w:tcPr>
          <w:p w14:paraId="72CC6826" w14:textId="15EA0031" w:rsidR="00342119" w:rsidRPr="00701439" w:rsidRDefault="0045215A" w:rsidP="00E534C5">
            <w:pPr>
              <w:pStyle w:val="NoSpacing"/>
              <w:jc w:val="both"/>
              <w:rPr>
                <w:b/>
                <w:sz w:val="20"/>
                <w:szCs w:val="20"/>
              </w:rPr>
            </w:pPr>
            <w:r w:rsidRPr="00701439">
              <w:rPr>
                <w:b/>
                <w:sz w:val="20"/>
                <w:szCs w:val="20"/>
              </w:rPr>
              <w:t xml:space="preserve">Adjusted </w:t>
            </w:r>
            <w:r w:rsidR="007570F1" w:rsidRPr="00701439">
              <w:rPr>
                <w:b/>
                <w:sz w:val="20"/>
                <w:szCs w:val="20"/>
              </w:rPr>
              <w:t>p</w:t>
            </w:r>
            <w:r w:rsidR="00342119" w:rsidRPr="00701439">
              <w:rPr>
                <w:b/>
                <w:sz w:val="20"/>
                <w:szCs w:val="20"/>
              </w:rPr>
              <w:t>rofit before tax</w:t>
            </w:r>
            <w:r w:rsidRPr="00701439">
              <w:rPr>
                <w:sz w:val="20"/>
                <w:szCs w:val="20"/>
                <w:vertAlign w:val="superscript"/>
              </w:rPr>
              <w:t>2</w:t>
            </w:r>
          </w:p>
        </w:tc>
        <w:tc>
          <w:tcPr>
            <w:tcW w:w="1134" w:type="dxa"/>
            <w:tcBorders>
              <w:top w:val="single" w:sz="4" w:space="0" w:color="auto"/>
              <w:left w:val="nil"/>
              <w:bottom w:val="single" w:sz="4" w:space="0" w:color="auto"/>
              <w:right w:val="nil"/>
            </w:tcBorders>
            <w:vAlign w:val="bottom"/>
          </w:tcPr>
          <w:p w14:paraId="26C47DD5" w14:textId="794666CD" w:rsidR="00342119" w:rsidRPr="00701439" w:rsidRDefault="0044050B" w:rsidP="00E534C5">
            <w:pPr>
              <w:pStyle w:val="NoSpacing"/>
              <w:jc w:val="center"/>
              <w:rPr>
                <w:rFonts w:cs="Arial"/>
                <w:b/>
                <w:sz w:val="20"/>
                <w:szCs w:val="20"/>
              </w:rPr>
            </w:pPr>
            <w:r w:rsidRPr="00701439">
              <w:rPr>
                <w:rFonts w:cs="Arial"/>
                <w:b/>
                <w:sz w:val="20"/>
                <w:szCs w:val="20"/>
              </w:rPr>
              <w:t>17</w:t>
            </w:r>
            <w:r w:rsidR="00574C04" w:rsidRPr="00701439">
              <w:rPr>
                <w:rFonts w:cs="Arial"/>
                <w:b/>
                <w:sz w:val="20"/>
                <w:szCs w:val="20"/>
              </w:rPr>
              <w:t>8.5</w:t>
            </w:r>
          </w:p>
        </w:tc>
        <w:tc>
          <w:tcPr>
            <w:tcW w:w="1134" w:type="dxa"/>
            <w:tcBorders>
              <w:top w:val="single" w:sz="4" w:space="0" w:color="auto"/>
              <w:left w:val="nil"/>
              <w:bottom w:val="single" w:sz="4" w:space="0" w:color="auto"/>
              <w:right w:val="nil"/>
            </w:tcBorders>
            <w:vAlign w:val="bottom"/>
          </w:tcPr>
          <w:p w14:paraId="5B1C09F4" w14:textId="5A9F67F0" w:rsidR="00342119" w:rsidRPr="00701439" w:rsidRDefault="00307427" w:rsidP="00E534C5">
            <w:pPr>
              <w:pStyle w:val="NoSpacing"/>
              <w:jc w:val="center"/>
              <w:rPr>
                <w:rFonts w:cs="Arial"/>
                <w:b/>
                <w:sz w:val="20"/>
                <w:szCs w:val="20"/>
              </w:rPr>
            </w:pPr>
            <w:r w:rsidRPr="00701439">
              <w:rPr>
                <w:rFonts w:cs="Arial"/>
                <w:b/>
                <w:sz w:val="20"/>
                <w:szCs w:val="20"/>
              </w:rPr>
              <w:t>173.9</w:t>
            </w:r>
          </w:p>
        </w:tc>
        <w:tc>
          <w:tcPr>
            <w:tcW w:w="1134" w:type="dxa"/>
            <w:tcBorders>
              <w:top w:val="single" w:sz="4" w:space="0" w:color="auto"/>
              <w:left w:val="nil"/>
              <w:bottom w:val="single" w:sz="4" w:space="0" w:color="auto"/>
              <w:right w:val="nil"/>
            </w:tcBorders>
            <w:vAlign w:val="bottom"/>
          </w:tcPr>
          <w:p w14:paraId="5DB6AA9C" w14:textId="4CFCE197" w:rsidR="00342119" w:rsidRPr="00701439" w:rsidRDefault="003E215E" w:rsidP="00E534C5">
            <w:pPr>
              <w:pStyle w:val="NoSpacing"/>
              <w:jc w:val="center"/>
              <w:rPr>
                <w:b/>
                <w:i/>
                <w:sz w:val="20"/>
                <w:szCs w:val="20"/>
              </w:rPr>
            </w:pPr>
            <w:r w:rsidRPr="00701439">
              <w:rPr>
                <w:b/>
                <w:i/>
                <w:sz w:val="20"/>
                <w:szCs w:val="20"/>
              </w:rPr>
              <w:t>2.6</w:t>
            </w:r>
            <w:r w:rsidR="00865942" w:rsidRPr="00701439">
              <w:rPr>
                <w:b/>
                <w:i/>
                <w:sz w:val="20"/>
                <w:szCs w:val="20"/>
              </w:rPr>
              <w:t>%</w:t>
            </w:r>
          </w:p>
        </w:tc>
      </w:tr>
      <w:tr w:rsidR="00342119" w:rsidRPr="00701439" w14:paraId="2FE610F6" w14:textId="77777777" w:rsidTr="00AF2F0C">
        <w:tc>
          <w:tcPr>
            <w:tcW w:w="6378" w:type="dxa"/>
            <w:tcBorders>
              <w:top w:val="single" w:sz="4" w:space="0" w:color="auto"/>
              <w:left w:val="nil"/>
              <w:bottom w:val="nil"/>
              <w:right w:val="nil"/>
            </w:tcBorders>
            <w:vAlign w:val="bottom"/>
          </w:tcPr>
          <w:p w14:paraId="1DB6408F" w14:textId="77777777" w:rsidR="00342119" w:rsidRPr="00701439" w:rsidRDefault="00342119" w:rsidP="00E534C5">
            <w:pPr>
              <w:pStyle w:val="NoSpacing"/>
              <w:jc w:val="both"/>
              <w:rPr>
                <w:sz w:val="20"/>
                <w:szCs w:val="20"/>
              </w:rPr>
            </w:pPr>
          </w:p>
        </w:tc>
        <w:tc>
          <w:tcPr>
            <w:tcW w:w="1134" w:type="dxa"/>
            <w:tcBorders>
              <w:top w:val="single" w:sz="4" w:space="0" w:color="auto"/>
              <w:left w:val="nil"/>
              <w:bottom w:val="nil"/>
              <w:right w:val="nil"/>
            </w:tcBorders>
            <w:vAlign w:val="bottom"/>
          </w:tcPr>
          <w:p w14:paraId="73D763D2" w14:textId="77777777" w:rsidR="00342119" w:rsidRPr="00701439" w:rsidRDefault="00342119" w:rsidP="00E534C5">
            <w:pPr>
              <w:pStyle w:val="NoSpacing"/>
              <w:jc w:val="center"/>
              <w:rPr>
                <w:rFonts w:cs="Arial"/>
                <w:sz w:val="20"/>
                <w:szCs w:val="20"/>
              </w:rPr>
            </w:pPr>
          </w:p>
        </w:tc>
        <w:tc>
          <w:tcPr>
            <w:tcW w:w="1134" w:type="dxa"/>
            <w:tcBorders>
              <w:top w:val="single" w:sz="4" w:space="0" w:color="auto"/>
              <w:left w:val="nil"/>
              <w:bottom w:val="nil"/>
              <w:right w:val="nil"/>
            </w:tcBorders>
            <w:vAlign w:val="bottom"/>
          </w:tcPr>
          <w:p w14:paraId="291D6022" w14:textId="77777777" w:rsidR="00342119" w:rsidRPr="00701439" w:rsidRDefault="00342119" w:rsidP="00E534C5">
            <w:pPr>
              <w:pStyle w:val="NoSpacing"/>
              <w:jc w:val="center"/>
              <w:rPr>
                <w:rFonts w:cs="Arial"/>
                <w:sz w:val="20"/>
                <w:szCs w:val="20"/>
              </w:rPr>
            </w:pPr>
          </w:p>
        </w:tc>
        <w:tc>
          <w:tcPr>
            <w:tcW w:w="1134" w:type="dxa"/>
            <w:tcBorders>
              <w:top w:val="single" w:sz="4" w:space="0" w:color="auto"/>
              <w:left w:val="nil"/>
              <w:bottom w:val="nil"/>
              <w:right w:val="nil"/>
            </w:tcBorders>
          </w:tcPr>
          <w:p w14:paraId="66FDC11B" w14:textId="77777777" w:rsidR="00342119" w:rsidRPr="00701439" w:rsidRDefault="00342119" w:rsidP="00E534C5">
            <w:pPr>
              <w:pStyle w:val="NoSpacing"/>
              <w:jc w:val="center"/>
              <w:rPr>
                <w:i/>
                <w:sz w:val="20"/>
                <w:szCs w:val="20"/>
              </w:rPr>
            </w:pPr>
          </w:p>
        </w:tc>
      </w:tr>
      <w:tr w:rsidR="00976689" w:rsidRPr="00701439" w14:paraId="165E3BD1" w14:textId="77777777" w:rsidTr="00AF2F0C">
        <w:tc>
          <w:tcPr>
            <w:tcW w:w="6378" w:type="dxa"/>
            <w:vAlign w:val="bottom"/>
            <w:hideMark/>
          </w:tcPr>
          <w:p w14:paraId="28257347" w14:textId="3F316A47" w:rsidR="00976689" w:rsidRPr="00701439" w:rsidRDefault="00976689" w:rsidP="00976689">
            <w:pPr>
              <w:pStyle w:val="NoSpacing"/>
              <w:jc w:val="both"/>
              <w:rPr>
                <w:sz w:val="20"/>
                <w:szCs w:val="20"/>
                <w:vertAlign w:val="superscript"/>
              </w:rPr>
            </w:pPr>
            <w:r w:rsidRPr="00701439">
              <w:rPr>
                <w:sz w:val="20"/>
                <w:szCs w:val="20"/>
              </w:rPr>
              <w:t xml:space="preserve">Annualised </w:t>
            </w:r>
            <w:r w:rsidR="00370875" w:rsidRPr="00701439">
              <w:rPr>
                <w:sz w:val="20"/>
                <w:szCs w:val="20"/>
              </w:rPr>
              <w:t>a</w:t>
            </w:r>
            <w:r w:rsidR="00D30597" w:rsidRPr="00701439">
              <w:rPr>
                <w:sz w:val="20"/>
                <w:szCs w:val="20"/>
              </w:rPr>
              <w:t>sset</w:t>
            </w:r>
            <w:r w:rsidRPr="00701439">
              <w:rPr>
                <w:sz w:val="20"/>
                <w:szCs w:val="20"/>
              </w:rPr>
              <w:t xml:space="preserve"> yield</w:t>
            </w:r>
            <w:r w:rsidRPr="00701439">
              <w:rPr>
                <w:sz w:val="20"/>
                <w:szCs w:val="20"/>
                <w:vertAlign w:val="superscript"/>
              </w:rPr>
              <w:t>3</w:t>
            </w:r>
          </w:p>
        </w:tc>
        <w:tc>
          <w:tcPr>
            <w:tcW w:w="1134" w:type="dxa"/>
            <w:vAlign w:val="bottom"/>
          </w:tcPr>
          <w:p w14:paraId="3FC43054" w14:textId="2152D08E" w:rsidR="00976689" w:rsidRPr="00701439" w:rsidRDefault="00151252" w:rsidP="00976689">
            <w:pPr>
              <w:pStyle w:val="NoSpacing"/>
              <w:jc w:val="center"/>
              <w:rPr>
                <w:sz w:val="20"/>
                <w:szCs w:val="20"/>
              </w:rPr>
            </w:pPr>
            <w:r w:rsidRPr="00701439">
              <w:rPr>
                <w:rFonts w:cs="Arial"/>
                <w:sz w:val="20"/>
                <w:szCs w:val="20"/>
              </w:rPr>
              <w:t>2</w:t>
            </w:r>
            <w:r w:rsidR="007414CD" w:rsidRPr="00701439">
              <w:rPr>
                <w:rFonts w:cs="Arial"/>
                <w:sz w:val="20"/>
                <w:szCs w:val="20"/>
              </w:rPr>
              <w:t>5</w:t>
            </w:r>
            <w:r w:rsidRPr="00701439">
              <w:rPr>
                <w:rFonts w:cs="Arial"/>
                <w:sz w:val="20"/>
                <w:szCs w:val="20"/>
              </w:rPr>
              <w:t>.</w:t>
            </w:r>
            <w:r w:rsidR="0013306E" w:rsidRPr="00701439">
              <w:rPr>
                <w:rFonts w:cs="Arial"/>
                <w:sz w:val="20"/>
                <w:szCs w:val="20"/>
              </w:rPr>
              <w:t>0</w:t>
            </w:r>
            <w:r w:rsidR="00976689" w:rsidRPr="00701439">
              <w:rPr>
                <w:rFonts w:cs="Arial"/>
                <w:sz w:val="20"/>
                <w:szCs w:val="20"/>
              </w:rPr>
              <w:t>%</w:t>
            </w:r>
          </w:p>
        </w:tc>
        <w:tc>
          <w:tcPr>
            <w:tcW w:w="1134" w:type="dxa"/>
            <w:vAlign w:val="bottom"/>
          </w:tcPr>
          <w:p w14:paraId="647ECF92" w14:textId="11EC19E6" w:rsidR="00976689" w:rsidRPr="00701439" w:rsidRDefault="00B631E1" w:rsidP="00976689">
            <w:pPr>
              <w:pStyle w:val="NoSpacing"/>
              <w:jc w:val="center"/>
              <w:rPr>
                <w:sz w:val="20"/>
                <w:szCs w:val="20"/>
              </w:rPr>
            </w:pPr>
            <w:r w:rsidRPr="00701439">
              <w:rPr>
                <w:rFonts w:cs="Arial"/>
                <w:sz w:val="20"/>
                <w:szCs w:val="20"/>
              </w:rPr>
              <w:t>23</w:t>
            </w:r>
            <w:r w:rsidR="00976689" w:rsidRPr="00701439">
              <w:rPr>
                <w:rFonts w:cs="Arial"/>
                <w:sz w:val="20"/>
                <w:szCs w:val="20"/>
              </w:rPr>
              <w:t>.8%</w:t>
            </w:r>
          </w:p>
        </w:tc>
        <w:tc>
          <w:tcPr>
            <w:tcW w:w="1134" w:type="dxa"/>
          </w:tcPr>
          <w:p w14:paraId="6FEDF1B2" w14:textId="68580AA1" w:rsidR="00976689" w:rsidRPr="00701439" w:rsidRDefault="00BC1318" w:rsidP="00976689">
            <w:pPr>
              <w:pStyle w:val="NoSpacing"/>
              <w:jc w:val="center"/>
              <w:rPr>
                <w:i/>
                <w:sz w:val="20"/>
                <w:szCs w:val="20"/>
              </w:rPr>
            </w:pPr>
            <w:r w:rsidRPr="00701439">
              <w:rPr>
                <w:i/>
                <w:sz w:val="20"/>
                <w:szCs w:val="20"/>
              </w:rPr>
              <w:t>1</w:t>
            </w:r>
            <w:r w:rsidR="00976689" w:rsidRPr="00701439">
              <w:rPr>
                <w:i/>
                <w:sz w:val="20"/>
                <w:szCs w:val="20"/>
              </w:rPr>
              <w:t>.</w:t>
            </w:r>
            <w:r w:rsidR="0013306E" w:rsidRPr="00701439">
              <w:rPr>
                <w:i/>
                <w:sz w:val="20"/>
                <w:szCs w:val="20"/>
              </w:rPr>
              <w:t>2</w:t>
            </w:r>
            <w:r w:rsidR="00976689" w:rsidRPr="00701439">
              <w:rPr>
                <w:i/>
                <w:sz w:val="20"/>
                <w:szCs w:val="20"/>
              </w:rPr>
              <w:t>%</w:t>
            </w:r>
          </w:p>
        </w:tc>
      </w:tr>
      <w:tr w:rsidR="00976689" w:rsidRPr="00701439" w14:paraId="58FE3277" w14:textId="77777777" w:rsidTr="00AF2F0C">
        <w:tc>
          <w:tcPr>
            <w:tcW w:w="6378" w:type="dxa"/>
            <w:vAlign w:val="bottom"/>
            <w:hideMark/>
          </w:tcPr>
          <w:p w14:paraId="38298809" w14:textId="4A8E3EDF" w:rsidR="00976689" w:rsidRPr="00701439" w:rsidRDefault="00976689" w:rsidP="00976689">
            <w:pPr>
              <w:pStyle w:val="NoSpacing"/>
              <w:jc w:val="both"/>
              <w:rPr>
                <w:sz w:val="20"/>
                <w:szCs w:val="20"/>
                <w:vertAlign w:val="superscript"/>
              </w:rPr>
            </w:pPr>
            <w:r w:rsidRPr="00701439">
              <w:rPr>
                <w:sz w:val="20"/>
                <w:szCs w:val="20"/>
              </w:rPr>
              <w:t>Annualised</w:t>
            </w:r>
            <w:r w:rsidR="00595E6C" w:rsidRPr="00701439">
              <w:rPr>
                <w:sz w:val="20"/>
                <w:szCs w:val="20"/>
              </w:rPr>
              <w:t xml:space="preserve"> cost of risk</w:t>
            </w:r>
            <w:r w:rsidRPr="00701439">
              <w:rPr>
                <w:sz w:val="20"/>
                <w:szCs w:val="20"/>
                <w:vertAlign w:val="superscript"/>
              </w:rPr>
              <w:t>4</w:t>
            </w:r>
          </w:p>
        </w:tc>
        <w:tc>
          <w:tcPr>
            <w:tcW w:w="1134" w:type="dxa"/>
            <w:vAlign w:val="bottom"/>
          </w:tcPr>
          <w:p w14:paraId="2C548335" w14:textId="30C22210" w:rsidR="00976689" w:rsidRPr="00701439" w:rsidRDefault="005B164F" w:rsidP="00976689">
            <w:pPr>
              <w:pStyle w:val="NoSpacing"/>
              <w:jc w:val="center"/>
              <w:rPr>
                <w:sz w:val="20"/>
                <w:szCs w:val="20"/>
              </w:rPr>
            </w:pPr>
            <w:r w:rsidRPr="00701439">
              <w:rPr>
                <w:rFonts w:cs="Arial"/>
                <w:iCs/>
                <w:sz w:val="20"/>
                <w:szCs w:val="20"/>
              </w:rPr>
              <w:t>(</w:t>
            </w:r>
            <w:r w:rsidR="00595E6C" w:rsidRPr="00701439">
              <w:rPr>
                <w:rFonts w:cs="Arial"/>
                <w:iCs/>
                <w:sz w:val="20"/>
                <w:szCs w:val="20"/>
              </w:rPr>
              <w:t>1</w:t>
            </w:r>
            <w:r w:rsidR="00976689" w:rsidRPr="00701439">
              <w:rPr>
                <w:rFonts w:cs="Arial"/>
                <w:iCs/>
                <w:sz w:val="20"/>
                <w:szCs w:val="20"/>
              </w:rPr>
              <w:t>.3%</w:t>
            </w:r>
            <w:r w:rsidRPr="00701439">
              <w:rPr>
                <w:rFonts w:cs="Arial"/>
                <w:iCs/>
                <w:sz w:val="20"/>
                <w:szCs w:val="20"/>
              </w:rPr>
              <w:t>)</w:t>
            </w:r>
          </w:p>
        </w:tc>
        <w:tc>
          <w:tcPr>
            <w:tcW w:w="1134" w:type="dxa"/>
            <w:vAlign w:val="bottom"/>
          </w:tcPr>
          <w:p w14:paraId="413A5C19" w14:textId="2C6DEEE5" w:rsidR="00976689" w:rsidRPr="00701439" w:rsidRDefault="005B164F" w:rsidP="00976689">
            <w:pPr>
              <w:pStyle w:val="NoSpacing"/>
              <w:jc w:val="center"/>
              <w:rPr>
                <w:sz w:val="20"/>
                <w:szCs w:val="20"/>
              </w:rPr>
            </w:pPr>
            <w:r w:rsidRPr="00701439">
              <w:rPr>
                <w:rFonts w:cs="Arial"/>
                <w:iCs/>
                <w:sz w:val="20"/>
                <w:szCs w:val="20"/>
              </w:rPr>
              <w:t>(</w:t>
            </w:r>
            <w:r w:rsidR="00976689" w:rsidRPr="00701439">
              <w:rPr>
                <w:rFonts w:cs="Arial"/>
                <w:iCs/>
                <w:sz w:val="20"/>
                <w:szCs w:val="20"/>
              </w:rPr>
              <w:t>0.3%</w:t>
            </w:r>
            <w:r w:rsidRPr="00701439">
              <w:rPr>
                <w:rFonts w:cs="Arial"/>
                <w:iCs/>
                <w:sz w:val="20"/>
                <w:szCs w:val="20"/>
              </w:rPr>
              <w:t>)</w:t>
            </w:r>
          </w:p>
        </w:tc>
        <w:tc>
          <w:tcPr>
            <w:tcW w:w="1134" w:type="dxa"/>
          </w:tcPr>
          <w:p w14:paraId="76EC0EBC" w14:textId="66B333DC" w:rsidR="00976689" w:rsidRPr="00701439" w:rsidRDefault="009359D6" w:rsidP="00976689">
            <w:pPr>
              <w:pStyle w:val="NoSpacing"/>
              <w:jc w:val="center"/>
              <w:rPr>
                <w:i/>
                <w:sz w:val="20"/>
                <w:szCs w:val="20"/>
              </w:rPr>
            </w:pPr>
            <w:r w:rsidRPr="00701439">
              <w:rPr>
                <w:i/>
                <w:sz w:val="20"/>
                <w:szCs w:val="20"/>
              </w:rPr>
              <w:t>(</w:t>
            </w:r>
            <w:r w:rsidR="00976689" w:rsidRPr="00701439">
              <w:rPr>
                <w:i/>
                <w:sz w:val="20"/>
                <w:szCs w:val="20"/>
              </w:rPr>
              <w:t>1.0%</w:t>
            </w:r>
            <w:r w:rsidRPr="00701439">
              <w:rPr>
                <w:i/>
                <w:sz w:val="20"/>
                <w:szCs w:val="20"/>
              </w:rPr>
              <w:t>)</w:t>
            </w:r>
          </w:p>
        </w:tc>
      </w:tr>
      <w:tr w:rsidR="00976689" w:rsidRPr="00701439" w14:paraId="2DBA6EE6" w14:textId="77777777" w:rsidTr="00E36B53">
        <w:tc>
          <w:tcPr>
            <w:tcW w:w="6378" w:type="dxa"/>
            <w:vAlign w:val="bottom"/>
            <w:hideMark/>
          </w:tcPr>
          <w:p w14:paraId="2AE2D5ED" w14:textId="532E1C41" w:rsidR="00976689" w:rsidRPr="00701439" w:rsidRDefault="00976689" w:rsidP="00976689">
            <w:pPr>
              <w:pStyle w:val="NoSpacing"/>
              <w:jc w:val="both"/>
              <w:rPr>
                <w:sz w:val="20"/>
                <w:szCs w:val="20"/>
                <w:vertAlign w:val="superscript"/>
              </w:rPr>
            </w:pPr>
            <w:r w:rsidRPr="00701439">
              <w:rPr>
                <w:sz w:val="20"/>
                <w:szCs w:val="20"/>
              </w:rPr>
              <w:t>Annualised return on equity</w:t>
            </w:r>
            <w:r w:rsidRPr="00701439">
              <w:rPr>
                <w:sz w:val="20"/>
                <w:szCs w:val="20"/>
                <w:vertAlign w:val="superscript"/>
              </w:rPr>
              <w:t>5</w:t>
            </w:r>
            <w:r w:rsidRPr="00701439">
              <w:rPr>
                <w:sz w:val="20"/>
                <w:szCs w:val="20"/>
              </w:rPr>
              <w:t xml:space="preserve"> </w:t>
            </w:r>
          </w:p>
        </w:tc>
        <w:tc>
          <w:tcPr>
            <w:tcW w:w="1134" w:type="dxa"/>
            <w:shd w:val="clear" w:color="auto" w:fill="auto"/>
            <w:vAlign w:val="bottom"/>
          </w:tcPr>
          <w:p w14:paraId="5B359EA4" w14:textId="6CA06919" w:rsidR="00976689" w:rsidRPr="00701439" w:rsidRDefault="00166F16" w:rsidP="00976689">
            <w:pPr>
              <w:pStyle w:val="NoSpacing"/>
              <w:jc w:val="center"/>
              <w:rPr>
                <w:rFonts w:cs="Arial"/>
                <w:sz w:val="20"/>
                <w:szCs w:val="20"/>
              </w:rPr>
            </w:pPr>
            <w:r w:rsidRPr="00701439">
              <w:rPr>
                <w:rFonts w:cs="Arial"/>
                <w:iCs/>
                <w:sz w:val="20"/>
                <w:szCs w:val="20"/>
              </w:rPr>
              <w:t>32.1%</w:t>
            </w:r>
          </w:p>
        </w:tc>
        <w:tc>
          <w:tcPr>
            <w:tcW w:w="1134" w:type="dxa"/>
            <w:shd w:val="clear" w:color="auto" w:fill="auto"/>
            <w:vAlign w:val="bottom"/>
          </w:tcPr>
          <w:p w14:paraId="3313E69A" w14:textId="79F901F5" w:rsidR="00976689" w:rsidRPr="00701439" w:rsidRDefault="0017041E" w:rsidP="00976689">
            <w:pPr>
              <w:pStyle w:val="NoSpacing"/>
              <w:jc w:val="center"/>
              <w:rPr>
                <w:sz w:val="20"/>
                <w:szCs w:val="20"/>
              </w:rPr>
            </w:pPr>
            <w:r w:rsidRPr="00701439">
              <w:rPr>
                <w:rFonts w:cs="Arial"/>
                <w:sz w:val="20"/>
                <w:szCs w:val="20"/>
              </w:rPr>
              <w:t>42.7%</w:t>
            </w:r>
          </w:p>
        </w:tc>
        <w:tc>
          <w:tcPr>
            <w:tcW w:w="1134" w:type="dxa"/>
            <w:shd w:val="clear" w:color="auto" w:fill="auto"/>
            <w:vAlign w:val="bottom"/>
          </w:tcPr>
          <w:p w14:paraId="1D826070" w14:textId="60CD0B23" w:rsidR="00976689" w:rsidRPr="00701439" w:rsidRDefault="00D066FA" w:rsidP="00976689">
            <w:pPr>
              <w:pStyle w:val="NoSpacing"/>
              <w:jc w:val="center"/>
              <w:rPr>
                <w:i/>
                <w:sz w:val="20"/>
                <w:szCs w:val="20"/>
              </w:rPr>
            </w:pPr>
            <w:r w:rsidRPr="00701439">
              <w:rPr>
                <w:i/>
                <w:sz w:val="20"/>
                <w:szCs w:val="20"/>
              </w:rPr>
              <w:t>(</w:t>
            </w:r>
            <w:r w:rsidR="00F70906" w:rsidRPr="00701439">
              <w:rPr>
                <w:i/>
                <w:sz w:val="20"/>
                <w:szCs w:val="20"/>
              </w:rPr>
              <w:t>10.</w:t>
            </w:r>
            <w:r w:rsidR="0060654C" w:rsidRPr="00701439">
              <w:rPr>
                <w:i/>
                <w:sz w:val="20"/>
                <w:szCs w:val="20"/>
              </w:rPr>
              <w:t>6</w:t>
            </w:r>
            <w:r w:rsidR="006763CD" w:rsidRPr="00701439">
              <w:rPr>
                <w:i/>
                <w:sz w:val="20"/>
                <w:szCs w:val="20"/>
              </w:rPr>
              <w:t>%</w:t>
            </w:r>
            <w:r w:rsidRPr="00701439">
              <w:rPr>
                <w:i/>
                <w:sz w:val="20"/>
                <w:szCs w:val="20"/>
              </w:rPr>
              <w:t>)</w:t>
            </w:r>
          </w:p>
        </w:tc>
      </w:tr>
    </w:tbl>
    <w:p w14:paraId="643D2899" w14:textId="77777777" w:rsidR="00F01EC8" w:rsidRPr="00701439" w:rsidRDefault="00F01EC8" w:rsidP="00E534C5">
      <w:pPr>
        <w:pStyle w:val="NoSpacing"/>
        <w:jc w:val="both"/>
        <w:rPr>
          <w:sz w:val="20"/>
          <w:szCs w:val="20"/>
        </w:rPr>
      </w:pPr>
    </w:p>
    <w:p w14:paraId="79F62B1C" w14:textId="16592509" w:rsidR="00F01EC8" w:rsidRPr="00701439" w:rsidRDefault="002D2895" w:rsidP="00E534C5">
      <w:pPr>
        <w:pStyle w:val="NoSpacing"/>
        <w:ind w:left="284" w:hanging="284"/>
        <w:jc w:val="both"/>
        <w:rPr>
          <w:i/>
          <w:sz w:val="20"/>
          <w:szCs w:val="20"/>
        </w:rPr>
      </w:pPr>
      <w:r w:rsidRPr="00701439">
        <w:rPr>
          <w:i/>
          <w:sz w:val="20"/>
          <w:szCs w:val="20"/>
          <w:vertAlign w:val="superscript"/>
        </w:rPr>
        <w:t>1</w:t>
      </w:r>
      <w:r w:rsidR="00F01EC8" w:rsidRPr="00701439">
        <w:rPr>
          <w:i/>
          <w:sz w:val="20"/>
          <w:szCs w:val="20"/>
        </w:rPr>
        <w:tab/>
        <w:t xml:space="preserve">Calculated as the average of month end </w:t>
      </w:r>
      <w:r w:rsidR="007978F5" w:rsidRPr="00701439">
        <w:rPr>
          <w:i/>
          <w:sz w:val="20"/>
          <w:szCs w:val="20"/>
        </w:rPr>
        <w:t>gross</w:t>
      </w:r>
      <w:r w:rsidR="00F01EC8" w:rsidRPr="00701439">
        <w:rPr>
          <w:i/>
          <w:sz w:val="20"/>
          <w:szCs w:val="20"/>
        </w:rPr>
        <w:t xml:space="preserve"> receivables for the </w:t>
      </w:r>
      <w:r w:rsidR="003C5660" w:rsidRPr="00701439">
        <w:rPr>
          <w:i/>
          <w:sz w:val="20"/>
          <w:szCs w:val="20"/>
        </w:rPr>
        <w:t>1</w:t>
      </w:r>
      <w:r w:rsidR="000A0E28" w:rsidRPr="00701439">
        <w:rPr>
          <w:i/>
          <w:sz w:val="20"/>
          <w:szCs w:val="20"/>
        </w:rPr>
        <w:t>3</w:t>
      </w:r>
      <w:r w:rsidR="00F01EC8" w:rsidRPr="00701439">
        <w:rPr>
          <w:i/>
          <w:sz w:val="20"/>
          <w:szCs w:val="20"/>
        </w:rPr>
        <w:t xml:space="preserve"> months ended </w:t>
      </w:r>
      <w:r w:rsidR="003C5660" w:rsidRPr="00701439">
        <w:rPr>
          <w:i/>
          <w:sz w:val="20"/>
          <w:szCs w:val="20"/>
        </w:rPr>
        <w:t>31 December</w:t>
      </w:r>
      <w:r w:rsidR="00126BCD" w:rsidRPr="00701439">
        <w:rPr>
          <w:i/>
          <w:sz w:val="20"/>
          <w:szCs w:val="20"/>
        </w:rPr>
        <w:t>.</w:t>
      </w:r>
    </w:p>
    <w:p w14:paraId="4E14DA68" w14:textId="29B81D01" w:rsidR="0045215A" w:rsidRPr="00701439" w:rsidRDefault="0045215A" w:rsidP="00E534C5">
      <w:pPr>
        <w:pStyle w:val="NoSpacing"/>
        <w:ind w:left="284" w:hanging="284"/>
        <w:jc w:val="both"/>
        <w:rPr>
          <w:i/>
          <w:sz w:val="20"/>
          <w:szCs w:val="20"/>
        </w:rPr>
      </w:pPr>
      <w:r w:rsidRPr="00701439">
        <w:rPr>
          <w:i/>
          <w:sz w:val="20"/>
          <w:szCs w:val="20"/>
          <w:vertAlign w:val="superscript"/>
        </w:rPr>
        <w:t>2</w:t>
      </w:r>
      <w:r w:rsidRPr="00701439">
        <w:rPr>
          <w:i/>
          <w:sz w:val="20"/>
          <w:szCs w:val="20"/>
        </w:rPr>
        <w:tab/>
      </w:r>
      <w:r w:rsidR="00BD7526" w:rsidRPr="00701439">
        <w:rPr>
          <w:i/>
          <w:sz w:val="20"/>
          <w:szCs w:val="20"/>
        </w:rPr>
        <w:t xml:space="preserve">Adjusted </w:t>
      </w:r>
      <w:proofErr w:type="gramStart"/>
      <w:r w:rsidR="00BD7526" w:rsidRPr="00701439">
        <w:rPr>
          <w:i/>
          <w:sz w:val="20"/>
          <w:szCs w:val="20"/>
        </w:rPr>
        <w:t>profit</w:t>
      </w:r>
      <w:proofErr w:type="gramEnd"/>
      <w:r w:rsidR="00BD7526" w:rsidRPr="00701439">
        <w:rPr>
          <w:i/>
          <w:sz w:val="20"/>
          <w:szCs w:val="20"/>
        </w:rPr>
        <w:t xml:space="preserve"> before tax is stated before</w:t>
      </w:r>
      <w:r w:rsidR="00A66E9D" w:rsidRPr="00701439">
        <w:rPr>
          <w:i/>
          <w:sz w:val="20"/>
          <w:szCs w:val="20"/>
        </w:rPr>
        <w:t xml:space="preserve"> £</w:t>
      </w:r>
      <w:r w:rsidR="0051257C" w:rsidRPr="00701439">
        <w:rPr>
          <w:i/>
          <w:sz w:val="20"/>
          <w:szCs w:val="20"/>
        </w:rPr>
        <w:t>0.2</w:t>
      </w:r>
      <w:r w:rsidR="00A66E9D" w:rsidRPr="00701439">
        <w:rPr>
          <w:i/>
          <w:sz w:val="20"/>
          <w:szCs w:val="20"/>
        </w:rPr>
        <w:t xml:space="preserve">m of </w:t>
      </w:r>
      <w:r w:rsidR="00BD7526" w:rsidRPr="00701439">
        <w:rPr>
          <w:i/>
          <w:sz w:val="20"/>
          <w:szCs w:val="20"/>
        </w:rPr>
        <w:t>exception</w:t>
      </w:r>
      <w:r w:rsidR="00D2274D" w:rsidRPr="00701439">
        <w:rPr>
          <w:i/>
          <w:sz w:val="20"/>
          <w:szCs w:val="20"/>
        </w:rPr>
        <w:t>al</w:t>
      </w:r>
      <w:r w:rsidR="00BD7526" w:rsidRPr="00701439">
        <w:rPr>
          <w:i/>
          <w:sz w:val="20"/>
          <w:szCs w:val="20"/>
        </w:rPr>
        <w:t xml:space="preserve"> </w:t>
      </w:r>
      <w:r w:rsidR="00A66E9D" w:rsidRPr="00701439">
        <w:rPr>
          <w:i/>
          <w:sz w:val="20"/>
          <w:szCs w:val="20"/>
        </w:rPr>
        <w:t>redundancy costs in 202</w:t>
      </w:r>
      <w:r w:rsidR="00074B9D" w:rsidRPr="00701439">
        <w:rPr>
          <w:i/>
          <w:sz w:val="20"/>
          <w:szCs w:val="20"/>
        </w:rPr>
        <w:t>2</w:t>
      </w:r>
      <w:r w:rsidR="00A66E9D" w:rsidRPr="00701439">
        <w:rPr>
          <w:i/>
          <w:sz w:val="20"/>
          <w:szCs w:val="20"/>
        </w:rPr>
        <w:t xml:space="preserve"> and</w:t>
      </w:r>
      <w:r w:rsidR="00A67C76" w:rsidRPr="00701439">
        <w:rPr>
          <w:i/>
          <w:sz w:val="20"/>
          <w:szCs w:val="20"/>
        </w:rPr>
        <w:t xml:space="preserve"> </w:t>
      </w:r>
      <w:r w:rsidR="00D2274D" w:rsidRPr="00701439">
        <w:rPr>
          <w:i/>
          <w:sz w:val="20"/>
          <w:szCs w:val="20"/>
        </w:rPr>
        <w:t xml:space="preserve">exceptional </w:t>
      </w:r>
      <w:r w:rsidR="00A67C76" w:rsidRPr="00701439">
        <w:rPr>
          <w:i/>
          <w:sz w:val="20"/>
          <w:szCs w:val="20"/>
        </w:rPr>
        <w:t>redundancy costs of</w:t>
      </w:r>
      <w:r w:rsidR="003E2607" w:rsidRPr="00701439">
        <w:rPr>
          <w:rFonts w:cs="Arial"/>
          <w:i/>
          <w:sz w:val="20"/>
          <w:szCs w:val="20"/>
        </w:rPr>
        <w:t xml:space="preserve"> £1.0m</w:t>
      </w:r>
      <w:r w:rsidR="00EE5C9B" w:rsidRPr="00701439">
        <w:rPr>
          <w:rFonts w:cs="Arial"/>
          <w:i/>
          <w:sz w:val="20"/>
          <w:szCs w:val="20"/>
        </w:rPr>
        <w:t xml:space="preserve"> in 202</w:t>
      </w:r>
      <w:r w:rsidR="00A67C76" w:rsidRPr="00701439">
        <w:rPr>
          <w:rFonts w:cs="Arial"/>
          <w:i/>
          <w:sz w:val="20"/>
          <w:szCs w:val="20"/>
        </w:rPr>
        <w:t>1</w:t>
      </w:r>
      <w:r w:rsidR="00EE5C9B" w:rsidRPr="00701439">
        <w:rPr>
          <w:rFonts w:cs="Arial"/>
          <w:i/>
          <w:sz w:val="20"/>
          <w:szCs w:val="20"/>
        </w:rPr>
        <w:t xml:space="preserve">. </w:t>
      </w:r>
    </w:p>
    <w:p w14:paraId="73E0C53C" w14:textId="5B6E8643" w:rsidR="00F01EC8" w:rsidRPr="00701439" w:rsidRDefault="0045215A" w:rsidP="00E534C5">
      <w:pPr>
        <w:pStyle w:val="NoSpacing"/>
        <w:ind w:left="284" w:hanging="284"/>
        <w:jc w:val="both"/>
        <w:rPr>
          <w:i/>
          <w:sz w:val="20"/>
          <w:szCs w:val="20"/>
        </w:rPr>
      </w:pPr>
      <w:r w:rsidRPr="00701439">
        <w:rPr>
          <w:i/>
          <w:sz w:val="20"/>
          <w:szCs w:val="20"/>
          <w:vertAlign w:val="superscript"/>
        </w:rPr>
        <w:t>3</w:t>
      </w:r>
      <w:r w:rsidR="00F01EC8" w:rsidRPr="00701439">
        <w:rPr>
          <w:i/>
          <w:sz w:val="20"/>
          <w:szCs w:val="20"/>
          <w:vertAlign w:val="superscript"/>
        </w:rPr>
        <w:tab/>
      </w:r>
      <w:r w:rsidR="00073B19" w:rsidRPr="00701439">
        <w:rPr>
          <w:i/>
          <w:sz w:val="20"/>
          <w:szCs w:val="20"/>
        </w:rPr>
        <w:t>Interest income</w:t>
      </w:r>
      <w:r w:rsidR="00F01EC8" w:rsidRPr="00701439">
        <w:rPr>
          <w:i/>
          <w:sz w:val="20"/>
          <w:szCs w:val="20"/>
        </w:rPr>
        <w:t xml:space="preserve"> as a percentage of average </w:t>
      </w:r>
      <w:r w:rsidR="00073B19" w:rsidRPr="00701439">
        <w:rPr>
          <w:i/>
          <w:sz w:val="20"/>
          <w:szCs w:val="20"/>
        </w:rPr>
        <w:t>gross receivables</w:t>
      </w:r>
      <w:r w:rsidR="00F01EC8" w:rsidRPr="00701439">
        <w:rPr>
          <w:i/>
          <w:sz w:val="20"/>
          <w:szCs w:val="20"/>
        </w:rPr>
        <w:t xml:space="preserve"> for the 1</w:t>
      </w:r>
      <w:r w:rsidR="00370875" w:rsidRPr="00701439">
        <w:rPr>
          <w:i/>
          <w:sz w:val="20"/>
          <w:szCs w:val="20"/>
        </w:rPr>
        <w:t>3</w:t>
      </w:r>
      <w:r w:rsidR="00F01EC8" w:rsidRPr="00701439">
        <w:rPr>
          <w:i/>
          <w:sz w:val="20"/>
          <w:szCs w:val="20"/>
        </w:rPr>
        <w:t xml:space="preserve"> months ended </w:t>
      </w:r>
      <w:r w:rsidR="003C5660" w:rsidRPr="00701439">
        <w:rPr>
          <w:i/>
          <w:sz w:val="20"/>
          <w:szCs w:val="20"/>
        </w:rPr>
        <w:t>31 December</w:t>
      </w:r>
      <w:r w:rsidR="00F01EC8" w:rsidRPr="00701439">
        <w:rPr>
          <w:i/>
          <w:sz w:val="20"/>
          <w:szCs w:val="20"/>
        </w:rPr>
        <w:t>.</w:t>
      </w:r>
    </w:p>
    <w:p w14:paraId="10FB7693" w14:textId="0E36C76A" w:rsidR="00F01EC8" w:rsidRPr="00701439" w:rsidRDefault="0045215A" w:rsidP="00E534C5">
      <w:pPr>
        <w:pStyle w:val="NoSpacing"/>
        <w:jc w:val="both"/>
        <w:rPr>
          <w:i/>
          <w:sz w:val="20"/>
          <w:szCs w:val="20"/>
        </w:rPr>
      </w:pPr>
      <w:r w:rsidRPr="00701439">
        <w:rPr>
          <w:i/>
          <w:sz w:val="20"/>
          <w:szCs w:val="20"/>
          <w:vertAlign w:val="superscript"/>
        </w:rPr>
        <w:t xml:space="preserve">4 </w:t>
      </w:r>
      <w:r w:rsidRPr="00701439">
        <w:rPr>
          <w:i/>
          <w:sz w:val="20"/>
          <w:szCs w:val="20"/>
        </w:rPr>
        <w:t xml:space="preserve">    </w:t>
      </w:r>
      <w:r w:rsidR="00F01EC8" w:rsidRPr="00701439">
        <w:rPr>
          <w:i/>
          <w:sz w:val="20"/>
          <w:szCs w:val="20"/>
        </w:rPr>
        <w:t xml:space="preserve">Impairment </w:t>
      </w:r>
      <w:r w:rsidR="00073B19" w:rsidRPr="00701439">
        <w:rPr>
          <w:i/>
          <w:sz w:val="20"/>
          <w:szCs w:val="20"/>
        </w:rPr>
        <w:t>charges</w:t>
      </w:r>
      <w:r w:rsidR="00F01EC8" w:rsidRPr="00701439">
        <w:rPr>
          <w:i/>
          <w:sz w:val="20"/>
          <w:szCs w:val="20"/>
        </w:rPr>
        <w:t xml:space="preserve"> as a percentage of average </w:t>
      </w:r>
      <w:r w:rsidR="0009301F" w:rsidRPr="00701439">
        <w:rPr>
          <w:i/>
          <w:sz w:val="20"/>
          <w:szCs w:val="20"/>
        </w:rPr>
        <w:t>gross</w:t>
      </w:r>
      <w:r w:rsidR="00F01EC8" w:rsidRPr="00701439">
        <w:rPr>
          <w:i/>
          <w:sz w:val="20"/>
          <w:szCs w:val="20"/>
        </w:rPr>
        <w:t xml:space="preserve"> receivables for the 1</w:t>
      </w:r>
      <w:r w:rsidR="0009301F" w:rsidRPr="00701439">
        <w:rPr>
          <w:i/>
          <w:sz w:val="20"/>
          <w:szCs w:val="20"/>
        </w:rPr>
        <w:t>3</w:t>
      </w:r>
      <w:r w:rsidR="00F01EC8" w:rsidRPr="00701439">
        <w:rPr>
          <w:i/>
          <w:sz w:val="20"/>
          <w:szCs w:val="20"/>
        </w:rPr>
        <w:t xml:space="preserve"> months ended </w:t>
      </w:r>
      <w:r w:rsidR="003C5660" w:rsidRPr="00701439">
        <w:rPr>
          <w:i/>
          <w:sz w:val="20"/>
          <w:szCs w:val="20"/>
        </w:rPr>
        <w:t>31 December</w:t>
      </w:r>
      <w:r w:rsidR="00F01EC8" w:rsidRPr="00701439">
        <w:rPr>
          <w:i/>
          <w:sz w:val="20"/>
          <w:szCs w:val="20"/>
        </w:rPr>
        <w:t>.</w:t>
      </w:r>
    </w:p>
    <w:p w14:paraId="2742DB64" w14:textId="0525747D" w:rsidR="00F01EC8" w:rsidRPr="00701439" w:rsidRDefault="0045215A" w:rsidP="00E534C5">
      <w:pPr>
        <w:pStyle w:val="NoSpacing"/>
        <w:ind w:left="284" w:hanging="284"/>
        <w:jc w:val="both"/>
        <w:rPr>
          <w:i/>
          <w:sz w:val="20"/>
          <w:szCs w:val="20"/>
        </w:rPr>
      </w:pPr>
      <w:r w:rsidRPr="00701439">
        <w:rPr>
          <w:i/>
          <w:sz w:val="20"/>
          <w:szCs w:val="20"/>
          <w:vertAlign w:val="superscript"/>
        </w:rPr>
        <w:t>5</w:t>
      </w:r>
      <w:r w:rsidR="00F01EC8" w:rsidRPr="00701439">
        <w:rPr>
          <w:i/>
          <w:sz w:val="20"/>
          <w:szCs w:val="20"/>
          <w:vertAlign w:val="superscript"/>
        </w:rPr>
        <w:tab/>
      </w:r>
      <w:r w:rsidR="0061531F" w:rsidRPr="00701439">
        <w:rPr>
          <w:i/>
          <w:sz w:val="20"/>
          <w:szCs w:val="20"/>
        </w:rPr>
        <w:t xml:space="preserve">Adjusted </w:t>
      </w:r>
      <w:proofErr w:type="gramStart"/>
      <w:r w:rsidR="0061531F" w:rsidRPr="00701439">
        <w:rPr>
          <w:i/>
          <w:sz w:val="20"/>
          <w:szCs w:val="20"/>
        </w:rPr>
        <w:t>p</w:t>
      </w:r>
      <w:r w:rsidR="00F36F39" w:rsidRPr="00701439">
        <w:rPr>
          <w:i/>
          <w:sz w:val="20"/>
          <w:szCs w:val="20"/>
        </w:rPr>
        <w:t>rofit</w:t>
      </w:r>
      <w:proofErr w:type="gramEnd"/>
      <w:r w:rsidR="00F36F39" w:rsidRPr="00701439">
        <w:rPr>
          <w:i/>
          <w:sz w:val="20"/>
          <w:szCs w:val="20"/>
        </w:rPr>
        <w:t xml:space="preserve"> after tax as a percentage of average equity for the 1</w:t>
      </w:r>
      <w:r w:rsidR="001C6850" w:rsidRPr="00701439">
        <w:rPr>
          <w:i/>
          <w:sz w:val="20"/>
          <w:szCs w:val="20"/>
        </w:rPr>
        <w:t>3</w:t>
      </w:r>
      <w:r w:rsidR="00F36F39" w:rsidRPr="00701439">
        <w:rPr>
          <w:i/>
          <w:sz w:val="20"/>
          <w:szCs w:val="20"/>
        </w:rPr>
        <w:t xml:space="preserve"> months ended </w:t>
      </w:r>
      <w:r w:rsidR="003C5660" w:rsidRPr="00701439">
        <w:rPr>
          <w:i/>
          <w:sz w:val="20"/>
          <w:szCs w:val="20"/>
        </w:rPr>
        <w:t>31 December</w:t>
      </w:r>
      <w:r w:rsidR="00F36F39" w:rsidRPr="00701439">
        <w:rPr>
          <w:i/>
          <w:sz w:val="20"/>
          <w:szCs w:val="20"/>
        </w:rPr>
        <w:t>.</w:t>
      </w:r>
    </w:p>
    <w:p w14:paraId="054DA5BE" w14:textId="77777777" w:rsidR="00F36F39" w:rsidRPr="00701439" w:rsidRDefault="00F36F39" w:rsidP="00E534C5">
      <w:pPr>
        <w:pStyle w:val="NoSpacing"/>
        <w:ind w:left="284" w:hanging="284"/>
        <w:jc w:val="both"/>
        <w:rPr>
          <w:i/>
          <w:sz w:val="20"/>
          <w:szCs w:val="20"/>
        </w:rPr>
      </w:pPr>
    </w:p>
    <w:p w14:paraId="6F063495" w14:textId="4A919CCC" w:rsidR="00261D92" w:rsidRPr="00701439" w:rsidRDefault="00261D92" w:rsidP="00E534C5">
      <w:pPr>
        <w:pStyle w:val="NoSpacing"/>
        <w:jc w:val="both"/>
        <w:rPr>
          <w:sz w:val="20"/>
          <w:szCs w:val="20"/>
        </w:rPr>
      </w:pPr>
      <w:r w:rsidRPr="00701439">
        <w:rPr>
          <w:sz w:val="20"/>
          <w:szCs w:val="20"/>
        </w:rPr>
        <w:t xml:space="preserve">The Group’s credit card business is a leading specialist </w:t>
      </w:r>
      <w:r w:rsidR="00DD7B46" w:rsidRPr="00701439">
        <w:rPr>
          <w:sz w:val="20"/>
          <w:szCs w:val="20"/>
        </w:rPr>
        <w:t xml:space="preserve">lender </w:t>
      </w:r>
      <w:r w:rsidRPr="00701439">
        <w:rPr>
          <w:sz w:val="20"/>
          <w:szCs w:val="20"/>
        </w:rPr>
        <w:t xml:space="preserve">in the large and established credit card market with strong capital and liquidity positions. For </w:t>
      </w:r>
      <w:r w:rsidR="009A5208" w:rsidRPr="00701439">
        <w:rPr>
          <w:sz w:val="20"/>
          <w:szCs w:val="20"/>
        </w:rPr>
        <w:t>FY’22</w:t>
      </w:r>
      <w:r w:rsidRPr="00701439">
        <w:rPr>
          <w:sz w:val="20"/>
          <w:szCs w:val="20"/>
        </w:rPr>
        <w:t>, the business reported adjusted profit before tax of £17</w:t>
      </w:r>
      <w:r w:rsidR="00EA7069" w:rsidRPr="00701439">
        <w:rPr>
          <w:sz w:val="20"/>
          <w:szCs w:val="20"/>
        </w:rPr>
        <w:t>8.5</w:t>
      </w:r>
      <w:r w:rsidRPr="00701439">
        <w:rPr>
          <w:sz w:val="20"/>
          <w:szCs w:val="20"/>
        </w:rPr>
        <w:t>m (FY’2</w:t>
      </w:r>
      <w:r w:rsidR="004E6FCA" w:rsidRPr="00701439">
        <w:rPr>
          <w:sz w:val="20"/>
          <w:szCs w:val="20"/>
        </w:rPr>
        <w:t>1</w:t>
      </w:r>
      <w:r w:rsidRPr="00701439">
        <w:rPr>
          <w:sz w:val="20"/>
          <w:szCs w:val="20"/>
        </w:rPr>
        <w:t>: £</w:t>
      </w:r>
      <w:r w:rsidR="004E6FCA" w:rsidRPr="00701439">
        <w:rPr>
          <w:sz w:val="20"/>
          <w:szCs w:val="20"/>
        </w:rPr>
        <w:t>173.9</w:t>
      </w:r>
      <w:r w:rsidRPr="00701439">
        <w:rPr>
          <w:sz w:val="20"/>
          <w:szCs w:val="20"/>
        </w:rPr>
        <w:t xml:space="preserve">m) and receivables at the end of the period of </w:t>
      </w:r>
      <w:r w:rsidR="00D26BDA" w:rsidRPr="00701439">
        <w:rPr>
          <w:sz w:val="20"/>
          <w:szCs w:val="20"/>
        </w:rPr>
        <w:t xml:space="preserve">approximately </w:t>
      </w:r>
      <w:r w:rsidRPr="00701439">
        <w:rPr>
          <w:sz w:val="20"/>
          <w:szCs w:val="20"/>
        </w:rPr>
        <w:t>£1,</w:t>
      </w:r>
      <w:r w:rsidR="00DF52A6" w:rsidRPr="00701439">
        <w:rPr>
          <w:sz w:val="20"/>
          <w:szCs w:val="20"/>
        </w:rPr>
        <w:t>182</w:t>
      </w:r>
      <w:r w:rsidRPr="00701439">
        <w:rPr>
          <w:sz w:val="20"/>
          <w:szCs w:val="20"/>
        </w:rPr>
        <w:t>m (FY’2</w:t>
      </w:r>
      <w:r w:rsidR="004E6FCA" w:rsidRPr="00701439">
        <w:rPr>
          <w:sz w:val="20"/>
          <w:szCs w:val="20"/>
        </w:rPr>
        <w:t>1</w:t>
      </w:r>
      <w:r w:rsidRPr="00701439">
        <w:rPr>
          <w:sz w:val="20"/>
          <w:szCs w:val="20"/>
        </w:rPr>
        <w:t>: £1,0</w:t>
      </w:r>
      <w:r w:rsidR="004E6FCA" w:rsidRPr="00701439">
        <w:rPr>
          <w:sz w:val="20"/>
          <w:szCs w:val="20"/>
        </w:rPr>
        <w:t>63</w:t>
      </w:r>
      <w:r w:rsidRPr="00701439">
        <w:rPr>
          <w:sz w:val="20"/>
          <w:szCs w:val="20"/>
        </w:rPr>
        <w:t>m)</w:t>
      </w:r>
      <w:r w:rsidR="00352828" w:rsidRPr="00701439">
        <w:rPr>
          <w:sz w:val="20"/>
          <w:szCs w:val="20"/>
        </w:rPr>
        <w:t xml:space="preserve">. Shortly after the period end, Vanquis Bank won ‘Best Benefits or Loyalty Scheme’ and ‘Best Customer Service’ at the Card and Payment </w:t>
      </w:r>
      <w:proofErr w:type="gramStart"/>
      <w:r w:rsidR="00352828" w:rsidRPr="00701439">
        <w:rPr>
          <w:sz w:val="20"/>
          <w:szCs w:val="20"/>
        </w:rPr>
        <w:t>Awards</w:t>
      </w:r>
      <w:proofErr w:type="gramEnd"/>
      <w:r w:rsidR="00352828" w:rsidRPr="00701439">
        <w:rPr>
          <w:sz w:val="20"/>
          <w:szCs w:val="20"/>
        </w:rPr>
        <w:t xml:space="preserve"> and </w:t>
      </w:r>
      <w:r w:rsidR="003732E8">
        <w:rPr>
          <w:sz w:val="20"/>
          <w:szCs w:val="20"/>
        </w:rPr>
        <w:t>it</w:t>
      </w:r>
      <w:r w:rsidR="00352828" w:rsidRPr="00701439">
        <w:rPr>
          <w:sz w:val="20"/>
          <w:szCs w:val="20"/>
        </w:rPr>
        <w:t xml:space="preserve"> also </w:t>
      </w:r>
      <w:r w:rsidR="008F31C9">
        <w:rPr>
          <w:sz w:val="20"/>
          <w:szCs w:val="20"/>
        </w:rPr>
        <w:t>won</w:t>
      </w:r>
      <w:r w:rsidR="00352828" w:rsidRPr="00701439">
        <w:rPr>
          <w:sz w:val="20"/>
          <w:szCs w:val="20"/>
        </w:rPr>
        <w:t xml:space="preserve"> </w:t>
      </w:r>
      <w:r w:rsidR="00F816B8" w:rsidRPr="00701439">
        <w:rPr>
          <w:sz w:val="20"/>
          <w:szCs w:val="20"/>
        </w:rPr>
        <w:t>the</w:t>
      </w:r>
      <w:r w:rsidR="00352828" w:rsidRPr="00701439">
        <w:rPr>
          <w:sz w:val="20"/>
          <w:szCs w:val="20"/>
        </w:rPr>
        <w:t xml:space="preserve"> ‘</w:t>
      </w:r>
      <w:r w:rsidR="00F816B8" w:rsidRPr="00701439">
        <w:rPr>
          <w:sz w:val="20"/>
          <w:szCs w:val="20"/>
        </w:rPr>
        <w:t xml:space="preserve">Changing </w:t>
      </w:r>
      <w:r w:rsidR="00352828" w:rsidRPr="00701439">
        <w:rPr>
          <w:sz w:val="20"/>
          <w:szCs w:val="20"/>
        </w:rPr>
        <w:t>Lives in the Community Award’.</w:t>
      </w:r>
    </w:p>
    <w:p w14:paraId="5C1C3DBA" w14:textId="77777777" w:rsidR="00261D92" w:rsidRPr="00701439" w:rsidRDefault="00261D92" w:rsidP="00E534C5">
      <w:pPr>
        <w:pStyle w:val="NoSpacing"/>
        <w:jc w:val="both"/>
        <w:rPr>
          <w:sz w:val="20"/>
          <w:szCs w:val="20"/>
        </w:rPr>
      </w:pPr>
    </w:p>
    <w:p w14:paraId="4278DD50" w14:textId="471DD0A0" w:rsidR="00261D92" w:rsidRPr="00701439" w:rsidRDefault="00261D92" w:rsidP="00E534C5">
      <w:pPr>
        <w:pStyle w:val="NoSpacing"/>
        <w:jc w:val="both"/>
        <w:rPr>
          <w:sz w:val="20"/>
          <w:szCs w:val="20"/>
        </w:rPr>
      </w:pPr>
      <w:r w:rsidRPr="00701439">
        <w:rPr>
          <w:sz w:val="20"/>
          <w:szCs w:val="20"/>
        </w:rPr>
        <w:t xml:space="preserve">New customer bookings for the year were </w:t>
      </w:r>
      <w:r w:rsidR="008F60EF" w:rsidRPr="00701439">
        <w:rPr>
          <w:sz w:val="20"/>
          <w:szCs w:val="20"/>
        </w:rPr>
        <w:t>225</w:t>
      </w:r>
      <w:r w:rsidRPr="00701439">
        <w:rPr>
          <w:sz w:val="20"/>
          <w:szCs w:val="20"/>
        </w:rPr>
        <w:t xml:space="preserve">k, </w:t>
      </w:r>
      <w:r w:rsidR="00336F5D" w:rsidRPr="00701439">
        <w:rPr>
          <w:sz w:val="20"/>
          <w:szCs w:val="20"/>
        </w:rPr>
        <w:t>up</w:t>
      </w:r>
      <w:r w:rsidRPr="00701439">
        <w:rPr>
          <w:sz w:val="20"/>
          <w:szCs w:val="20"/>
        </w:rPr>
        <w:t xml:space="preserve"> from </w:t>
      </w:r>
      <w:r w:rsidR="00F400C8" w:rsidRPr="00701439">
        <w:rPr>
          <w:sz w:val="20"/>
          <w:szCs w:val="20"/>
        </w:rPr>
        <w:t>199</w:t>
      </w:r>
      <w:r w:rsidRPr="00701439">
        <w:rPr>
          <w:sz w:val="20"/>
          <w:szCs w:val="20"/>
        </w:rPr>
        <w:t xml:space="preserve">k in </w:t>
      </w:r>
      <w:r w:rsidR="00336F5D" w:rsidRPr="00701439">
        <w:rPr>
          <w:sz w:val="20"/>
          <w:szCs w:val="20"/>
        </w:rPr>
        <w:t>FY’21</w:t>
      </w:r>
      <w:r w:rsidRPr="00701439">
        <w:rPr>
          <w:sz w:val="20"/>
          <w:szCs w:val="20"/>
        </w:rPr>
        <w:t xml:space="preserve">, </w:t>
      </w:r>
      <w:proofErr w:type="gramStart"/>
      <w:r w:rsidR="00BC2C05" w:rsidRPr="00701439">
        <w:rPr>
          <w:sz w:val="20"/>
          <w:szCs w:val="20"/>
        </w:rPr>
        <w:t>as a result of</w:t>
      </w:r>
      <w:proofErr w:type="gramEnd"/>
      <w:r w:rsidRPr="00701439">
        <w:rPr>
          <w:sz w:val="20"/>
          <w:szCs w:val="20"/>
        </w:rPr>
        <w:t xml:space="preserve"> </w:t>
      </w:r>
      <w:r w:rsidR="00336F5D" w:rsidRPr="00701439">
        <w:rPr>
          <w:sz w:val="20"/>
          <w:szCs w:val="20"/>
        </w:rPr>
        <w:t>new</w:t>
      </w:r>
      <w:r w:rsidRPr="00701439">
        <w:rPr>
          <w:sz w:val="20"/>
          <w:szCs w:val="20"/>
        </w:rPr>
        <w:t xml:space="preserve"> customer </w:t>
      </w:r>
      <w:r w:rsidR="00336F5D" w:rsidRPr="00701439">
        <w:rPr>
          <w:sz w:val="20"/>
          <w:szCs w:val="20"/>
        </w:rPr>
        <w:t>acquisition initiatives</w:t>
      </w:r>
      <w:r w:rsidR="00C8619A" w:rsidRPr="00701439">
        <w:rPr>
          <w:sz w:val="20"/>
          <w:szCs w:val="20"/>
        </w:rPr>
        <w:t xml:space="preserve"> including a broader range of price points and improved Balance Transfer offerings</w:t>
      </w:r>
      <w:r w:rsidRPr="00701439">
        <w:rPr>
          <w:sz w:val="20"/>
          <w:szCs w:val="20"/>
        </w:rPr>
        <w:t>.</w:t>
      </w:r>
      <w:r w:rsidR="002D0BFE" w:rsidRPr="00701439">
        <w:rPr>
          <w:sz w:val="20"/>
          <w:szCs w:val="20"/>
        </w:rPr>
        <w:t xml:space="preserve"> C</w:t>
      </w:r>
      <w:r w:rsidRPr="00701439">
        <w:rPr>
          <w:sz w:val="20"/>
          <w:szCs w:val="20"/>
        </w:rPr>
        <w:t xml:space="preserve">redit card customer numbers </w:t>
      </w:r>
      <w:r w:rsidR="00B34ED0" w:rsidRPr="00701439">
        <w:rPr>
          <w:sz w:val="20"/>
          <w:szCs w:val="20"/>
        </w:rPr>
        <w:t>were broadly flat</w:t>
      </w:r>
      <w:r w:rsidRPr="00701439">
        <w:rPr>
          <w:sz w:val="20"/>
          <w:szCs w:val="20"/>
        </w:rPr>
        <w:t xml:space="preserve"> </w:t>
      </w:r>
      <w:r w:rsidR="00B34ED0" w:rsidRPr="00701439">
        <w:rPr>
          <w:sz w:val="20"/>
          <w:szCs w:val="20"/>
        </w:rPr>
        <w:t>at</w:t>
      </w:r>
      <w:r w:rsidRPr="00701439">
        <w:rPr>
          <w:sz w:val="20"/>
          <w:szCs w:val="20"/>
        </w:rPr>
        <w:t xml:space="preserve"> 1,541k as </w:t>
      </w:r>
      <w:r w:rsidR="00B34ED0" w:rsidRPr="00701439">
        <w:rPr>
          <w:sz w:val="20"/>
          <w:szCs w:val="20"/>
        </w:rPr>
        <w:t>of</w:t>
      </w:r>
      <w:r w:rsidRPr="00701439">
        <w:rPr>
          <w:sz w:val="20"/>
          <w:szCs w:val="20"/>
        </w:rPr>
        <w:t xml:space="preserve"> December (FY’2</w:t>
      </w:r>
      <w:r w:rsidR="00DC0354" w:rsidRPr="00701439">
        <w:rPr>
          <w:sz w:val="20"/>
          <w:szCs w:val="20"/>
        </w:rPr>
        <w:t>1</w:t>
      </w:r>
      <w:r w:rsidRPr="00701439">
        <w:rPr>
          <w:sz w:val="20"/>
          <w:szCs w:val="20"/>
        </w:rPr>
        <w:t>: 1,</w:t>
      </w:r>
      <w:r w:rsidR="00DC0354" w:rsidRPr="00701439">
        <w:rPr>
          <w:sz w:val="20"/>
          <w:szCs w:val="20"/>
        </w:rPr>
        <w:t>541</w:t>
      </w:r>
      <w:r w:rsidRPr="00701439">
        <w:rPr>
          <w:sz w:val="20"/>
          <w:szCs w:val="20"/>
        </w:rPr>
        <w:t>k)</w:t>
      </w:r>
      <w:r w:rsidR="00155663" w:rsidRPr="00701439">
        <w:rPr>
          <w:sz w:val="20"/>
          <w:szCs w:val="20"/>
        </w:rPr>
        <w:t xml:space="preserve"> versus a decline the year before.</w:t>
      </w:r>
      <w:r w:rsidR="00F008FB" w:rsidRPr="00701439">
        <w:rPr>
          <w:sz w:val="20"/>
          <w:szCs w:val="20"/>
        </w:rPr>
        <w:t xml:space="preserve"> Active customer numbers, </w:t>
      </w:r>
      <w:r w:rsidR="00551C47" w:rsidRPr="00701439">
        <w:rPr>
          <w:sz w:val="20"/>
          <w:szCs w:val="20"/>
        </w:rPr>
        <w:t xml:space="preserve">defined as </w:t>
      </w:r>
      <w:r w:rsidR="00EB4ED6" w:rsidRPr="00701439">
        <w:rPr>
          <w:sz w:val="20"/>
          <w:szCs w:val="20"/>
        </w:rPr>
        <w:t>customers with activity on their card in the last month</w:t>
      </w:r>
      <w:r w:rsidR="00431850" w:rsidRPr="00701439">
        <w:rPr>
          <w:sz w:val="20"/>
          <w:szCs w:val="20"/>
        </w:rPr>
        <w:t xml:space="preserve">, were </w:t>
      </w:r>
      <w:r w:rsidR="002B18C6" w:rsidRPr="00701439">
        <w:rPr>
          <w:sz w:val="20"/>
          <w:szCs w:val="20"/>
        </w:rPr>
        <w:t>1,</w:t>
      </w:r>
      <w:r w:rsidR="00066D8B" w:rsidRPr="00701439">
        <w:rPr>
          <w:sz w:val="20"/>
          <w:szCs w:val="20"/>
        </w:rPr>
        <w:t>2</w:t>
      </w:r>
      <w:r w:rsidR="00B2402E" w:rsidRPr="00701439">
        <w:rPr>
          <w:sz w:val="20"/>
          <w:szCs w:val="20"/>
        </w:rPr>
        <w:t>21</w:t>
      </w:r>
      <w:r w:rsidR="00066D8B" w:rsidRPr="00701439">
        <w:rPr>
          <w:sz w:val="20"/>
          <w:szCs w:val="20"/>
        </w:rPr>
        <w:t xml:space="preserve">k (FY’21: </w:t>
      </w:r>
      <w:r w:rsidR="00FA70EB" w:rsidRPr="00701439">
        <w:rPr>
          <w:sz w:val="20"/>
          <w:szCs w:val="20"/>
        </w:rPr>
        <w:t>1,266</w:t>
      </w:r>
      <w:r w:rsidR="00066D8B" w:rsidRPr="00701439">
        <w:rPr>
          <w:sz w:val="20"/>
          <w:szCs w:val="20"/>
        </w:rPr>
        <w:t>k)</w:t>
      </w:r>
      <w:r w:rsidR="009D3812" w:rsidRPr="00701439">
        <w:rPr>
          <w:sz w:val="20"/>
          <w:szCs w:val="20"/>
        </w:rPr>
        <w:t>.</w:t>
      </w:r>
    </w:p>
    <w:p w14:paraId="31CF309D" w14:textId="77777777" w:rsidR="00261D92" w:rsidRPr="00701439" w:rsidRDefault="00261D92" w:rsidP="00E534C5">
      <w:pPr>
        <w:pStyle w:val="NoSpacing"/>
        <w:jc w:val="both"/>
        <w:rPr>
          <w:sz w:val="20"/>
          <w:szCs w:val="20"/>
        </w:rPr>
      </w:pPr>
    </w:p>
    <w:p w14:paraId="1F043055" w14:textId="5BB111AB" w:rsidR="00261D92" w:rsidRPr="00701439" w:rsidRDefault="00261D92" w:rsidP="00E534C5">
      <w:pPr>
        <w:pStyle w:val="NoSpacing"/>
        <w:jc w:val="both"/>
        <w:rPr>
          <w:sz w:val="20"/>
          <w:szCs w:val="20"/>
        </w:rPr>
      </w:pPr>
      <w:r w:rsidRPr="00701439">
        <w:rPr>
          <w:sz w:val="20"/>
          <w:szCs w:val="20"/>
        </w:rPr>
        <w:t>During 202</w:t>
      </w:r>
      <w:r w:rsidR="00E442E7" w:rsidRPr="00701439">
        <w:rPr>
          <w:sz w:val="20"/>
          <w:szCs w:val="20"/>
        </w:rPr>
        <w:t>2</w:t>
      </w:r>
      <w:r w:rsidRPr="00701439">
        <w:rPr>
          <w:sz w:val="20"/>
          <w:szCs w:val="20"/>
        </w:rPr>
        <w:t xml:space="preserve">, </w:t>
      </w:r>
      <w:r w:rsidR="00E32496" w:rsidRPr="00701439">
        <w:rPr>
          <w:sz w:val="20"/>
          <w:szCs w:val="20"/>
        </w:rPr>
        <w:t xml:space="preserve">credit line increases </w:t>
      </w:r>
      <w:r w:rsidRPr="00701439">
        <w:rPr>
          <w:sz w:val="20"/>
          <w:szCs w:val="20"/>
        </w:rPr>
        <w:t>amounting to approximately £</w:t>
      </w:r>
      <w:r w:rsidR="00E442E7" w:rsidRPr="00701439">
        <w:rPr>
          <w:sz w:val="20"/>
          <w:szCs w:val="20"/>
        </w:rPr>
        <w:t>3</w:t>
      </w:r>
      <w:r w:rsidR="00923AA2" w:rsidRPr="00701439">
        <w:rPr>
          <w:sz w:val="20"/>
          <w:szCs w:val="20"/>
        </w:rPr>
        <w:t>18</w:t>
      </w:r>
      <w:r w:rsidRPr="00701439">
        <w:rPr>
          <w:sz w:val="20"/>
          <w:szCs w:val="20"/>
        </w:rPr>
        <w:t xml:space="preserve">m </w:t>
      </w:r>
      <w:r w:rsidR="001519EC" w:rsidRPr="00701439">
        <w:rPr>
          <w:sz w:val="20"/>
          <w:szCs w:val="20"/>
        </w:rPr>
        <w:t xml:space="preserve">(FY’21: </w:t>
      </w:r>
      <w:r w:rsidR="00835A6F" w:rsidRPr="00701439">
        <w:rPr>
          <w:sz w:val="20"/>
          <w:szCs w:val="20"/>
        </w:rPr>
        <w:t>£</w:t>
      </w:r>
      <w:r w:rsidR="00923AA2" w:rsidRPr="00701439">
        <w:rPr>
          <w:sz w:val="20"/>
          <w:szCs w:val="20"/>
        </w:rPr>
        <w:t>1</w:t>
      </w:r>
      <w:r w:rsidR="005C65E8" w:rsidRPr="00701439">
        <w:rPr>
          <w:sz w:val="20"/>
          <w:szCs w:val="20"/>
        </w:rPr>
        <w:t>70</w:t>
      </w:r>
      <w:r w:rsidR="00923AA2" w:rsidRPr="00701439">
        <w:rPr>
          <w:sz w:val="20"/>
          <w:szCs w:val="20"/>
        </w:rPr>
        <w:t>m</w:t>
      </w:r>
      <w:r w:rsidR="001519EC" w:rsidRPr="00701439">
        <w:rPr>
          <w:sz w:val="20"/>
          <w:szCs w:val="20"/>
        </w:rPr>
        <w:t>)</w:t>
      </w:r>
      <w:r w:rsidR="004651E5" w:rsidRPr="00701439">
        <w:rPr>
          <w:sz w:val="20"/>
          <w:szCs w:val="20"/>
        </w:rPr>
        <w:t xml:space="preserve"> </w:t>
      </w:r>
      <w:r w:rsidRPr="00701439">
        <w:rPr>
          <w:sz w:val="20"/>
          <w:szCs w:val="20"/>
        </w:rPr>
        <w:t>were issued to customers</w:t>
      </w:r>
      <w:r w:rsidR="00E442E7" w:rsidRPr="00701439">
        <w:rPr>
          <w:sz w:val="20"/>
          <w:szCs w:val="20"/>
        </w:rPr>
        <w:t xml:space="preserve"> as part of</w:t>
      </w:r>
      <w:r w:rsidR="00817D04" w:rsidRPr="00701439">
        <w:rPr>
          <w:sz w:val="20"/>
          <w:szCs w:val="20"/>
        </w:rPr>
        <w:t xml:space="preserve"> </w:t>
      </w:r>
      <w:r w:rsidR="00893AB8" w:rsidRPr="00701439">
        <w:rPr>
          <w:sz w:val="20"/>
          <w:szCs w:val="20"/>
        </w:rPr>
        <w:t xml:space="preserve">Management’s </w:t>
      </w:r>
      <w:r w:rsidR="00817D04" w:rsidRPr="00701439">
        <w:rPr>
          <w:sz w:val="20"/>
          <w:szCs w:val="20"/>
        </w:rPr>
        <w:t>strategy to rebuild</w:t>
      </w:r>
      <w:r w:rsidRPr="00701439">
        <w:rPr>
          <w:sz w:val="20"/>
          <w:szCs w:val="20"/>
        </w:rPr>
        <w:t xml:space="preserve"> the </w:t>
      </w:r>
      <w:r w:rsidR="00817D04" w:rsidRPr="00701439">
        <w:rPr>
          <w:sz w:val="20"/>
          <w:szCs w:val="20"/>
        </w:rPr>
        <w:t>loan</w:t>
      </w:r>
      <w:r w:rsidRPr="00701439">
        <w:rPr>
          <w:sz w:val="20"/>
          <w:szCs w:val="20"/>
        </w:rPr>
        <w:t xml:space="preserve"> book</w:t>
      </w:r>
      <w:r w:rsidR="00817D04" w:rsidRPr="00701439">
        <w:rPr>
          <w:sz w:val="20"/>
          <w:szCs w:val="20"/>
        </w:rPr>
        <w:t xml:space="preserve"> on a prudent basis</w:t>
      </w:r>
      <w:r w:rsidR="00FD2B26" w:rsidRPr="00701439">
        <w:rPr>
          <w:sz w:val="20"/>
          <w:szCs w:val="20"/>
        </w:rPr>
        <w:t xml:space="preserve"> whilst supporting our customers’ additional credit requirements</w:t>
      </w:r>
      <w:r w:rsidR="00817D04" w:rsidRPr="00701439">
        <w:rPr>
          <w:sz w:val="20"/>
          <w:szCs w:val="20"/>
        </w:rPr>
        <w:t>.</w:t>
      </w:r>
      <w:r w:rsidRPr="00701439">
        <w:rPr>
          <w:sz w:val="20"/>
          <w:szCs w:val="20"/>
        </w:rPr>
        <w:t xml:space="preserve"> At the end of December, the average utilisation rate was approximately </w:t>
      </w:r>
      <w:r w:rsidR="00192C86" w:rsidRPr="00701439">
        <w:rPr>
          <w:sz w:val="20"/>
          <w:szCs w:val="20"/>
        </w:rPr>
        <w:t>48</w:t>
      </w:r>
      <w:r w:rsidRPr="00701439">
        <w:rPr>
          <w:sz w:val="20"/>
          <w:szCs w:val="20"/>
        </w:rPr>
        <w:t xml:space="preserve">%, which remains below levels seen pre-Covid. </w:t>
      </w:r>
      <w:r w:rsidR="003C0FBB" w:rsidRPr="00701439">
        <w:rPr>
          <w:sz w:val="20"/>
          <w:szCs w:val="20"/>
        </w:rPr>
        <w:t xml:space="preserve">The business has launched </w:t>
      </w:r>
      <w:r w:rsidR="004329BD" w:rsidRPr="00701439">
        <w:rPr>
          <w:sz w:val="20"/>
          <w:szCs w:val="20"/>
        </w:rPr>
        <w:t xml:space="preserve">several initiatives designed to improve the utilisation rate including the launch of Android Wallet during H2’22. </w:t>
      </w:r>
      <w:bookmarkStart w:id="10" w:name="_Hlk49171789"/>
      <w:r w:rsidRPr="00701439">
        <w:rPr>
          <w:sz w:val="20"/>
          <w:szCs w:val="20"/>
        </w:rPr>
        <w:t>Receivables ended the period at £1,</w:t>
      </w:r>
      <w:r w:rsidR="00857767" w:rsidRPr="00701439">
        <w:rPr>
          <w:sz w:val="20"/>
          <w:szCs w:val="20"/>
        </w:rPr>
        <w:t>182</w:t>
      </w:r>
      <w:r w:rsidRPr="00701439">
        <w:rPr>
          <w:sz w:val="20"/>
          <w:szCs w:val="20"/>
        </w:rPr>
        <w:t>m (FY’2</w:t>
      </w:r>
      <w:r w:rsidR="00545A33" w:rsidRPr="00701439">
        <w:rPr>
          <w:sz w:val="20"/>
          <w:szCs w:val="20"/>
        </w:rPr>
        <w:t>1</w:t>
      </w:r>
      <w:r w:rsidRPr="00701439">
        <w:rPr>
          <w:sz w:val="20"/>
          <w:szCs w:val="20"/>
        </w:rPr>
        <w:t>: £1,0</w:t>
      </w:r>
      <w:r w:rsidR="00B67532" w:rsidRPr="00701439">
        <w:rPr>
          <w:sz w:val="20"/>
          <w:szCs w:val="20"/>
        </w:rPr>
        <w:t>63</w:t>
      </w:r>
      <w:r w:rsidRPr="00701439">
        <w:rPr>
          <w:sz w:val="20"/>
          <w:szCs w:val="20"/>
        </w:rPr>
        <w:t xml:space="preserve">m), </w:t>
      </w:r>
      <w:r w:rsidR="004329BD" w:rsidRPr="00701439">
        <w:rPr>
          <w:sz w:val="20"/>
          <w:szCs w:val="20"/>
        </w:rPr>
        <w:t>representing growth of 11% year-on-</w:t>
      </w:r>
      <w:r w:rsidRPr="00701439">
        <w:rPr>
          <w:sz w:val="20"/>
          <w:szCs w:val="20"/>
        </w:rPr>
        <w:t>year.</w:t>
      </w:r>
      <w:r w:rsidR="00A16AE1" w:rsidRPr="00701439">
        <w:rPr>
          <w:sz w:val="20"/>
          <w:szCs w:val="20"/>
        </w:rPr>
        <w:t xml:space="preserve"> </w:t>
      </w:r>
    </w:p>
    <w:p w14:paraId="7EBEE692" w14:textId="77777777" w:rsidR="00261D92" w:rsidRPr="00701439" w:rsidRDefault="00261D92" w:rsidP="00E534C5">
      <w:pPr>
        <w:pStyle w:val="NoSpacing"/>
        <w:jc w:val="both"/>
        <w:rPr>
          <w:sz w:val="20"/>
          <w:szCs w:val="20"/>
        </w:rPr>
      </w:pPr>
    </w:p>
    <w:bookmarkEnd w:id="10"/>
    <w:p w14:paraId="7CA069FE" w14:textId="413F8CF4" w:rsidR="00261D92" w:rsidRPr="00701439" w:rsidRDefault="00261D92" w:rsidP="00E534C5">
      <w:pPr>
        <w:pStyle w:val="NoSpacing"/>
        <w:jc w:val="both"/>
        <w:rPr>
          <w:sz w:val="20"/>
          <w:szCs w:val="20"/>
        </w:rPr>
      </w:pPr>
      <w:r w:rsidRPr="00701439">
        <w:rPr>
          <w:sz w:val="20"/>
          <w:szCs w:val="20"/>
        </w:rPr>
        <w:t>The credit card business generated</w:t>
      </w:r>
      <w:r w:rsidR="00A2486D" w:rsidRPr="00701439">
        <w:rPr>
          <w:sz w:val="20"/>
          <w:szCs w:val="20"/>
        </w:rPr>
        <w:t xml:space="preserve"> interest income</w:t>
      </w:r>
      <w:r w:rsidRPr="00701439">
        <w:rPr>
          <w:sz w:val="20"/>
          <w:szCs w:val="20"/>
        </w:rPr>
        <w:t xml:space="preserve"> of £3</w:t>
      </w:r>
      <w:r w:rsidR="00B3551D" w:rsidRPr="00701439">
        <w:rPr>
          <w:sz w:val="20"/>
          <w:szCs w:val="20"/>
        </w:rPr>
        <w:t>3</w:t>
      </w:r>
      <w:r w:rsidR="004870FD" w:rsidRPr="00701439">
        <w:rPr>
          <w:sz w:val="20"/>
          <w:szCs w:val="20"/>
        </w:rPr>
        <w:t>3</w:t>
      </w:r>
      <w:r w:rsidRPr="00701439">
        <w:rPr>
          <w:sz w:val="20"/>
          <w:szCs w:val="20"/>
        </w:rPr>
        <w:t>.</w:t>
      </w:r>
      <w:r w:rsidR="008A7CFB" w:rsidRPr="00701439">
        <w:rPr>
          <w:sz w:val="20"/>
          <w:szCs w:val="20"/>
        </w:rPr>
        <w:t>2</w:t>
      </w:r>
      <w:r w:rsidR="00293CA5" w:rsidRPr="00701439">
        <w:rPr>
          <w:sz w:val="20"/>
          <w:szCs w:val="20"/>
        </w:rPr>
        <w:t>m</w:t>
      </w:r>
      <w:r w:rsidRPr="00701439">
        <w:rPr>
          <w:sz w:val="20"/>
          <w:szCs w:val="20"/>
        </w:rPr>
        <w:t xml:space="preserve"> during the year, versus £</w:t>
      </w:r>
      <w:r w:rsidR="00A2486D" w:rsidRPr="00701439">
        <w:rPr>
          <w:sz w:val="20"/>
          <w:szCs w:val="20"/>
        </w:rPr>
        <w:t>328.8</w:t>
      </w:r>
      <w:r w:rsidRPr="00701439">
        <w:rPr>
          <w:sz w:val="20"/>
          <w:szCs w:val="20"/>
        </w:rPr>
        <w:t>m in 202</w:t>
      </w:r>
      <w:r w:rsidR="00A2486D" w:rsidRPr="00701439">
        <w:rPr>
          <w:sz w:val="20"/>
          <w:szCs w:val="20"/>
        </w:rPr>
        <w:t>1</w:t>
      </w:r>
      <w:r w:rsidRPr="00701439">
        <w:rPr>
          <w:sz w:val="20"/>
          <w:szCs w:val="20"/>
        </w:rPr>
        <w:t xml:space="preserve">. There was </w:t>
      </w:r>
      <w:r w:rsidR="0041676B" w:rsidRPr="00701439">
        <w:rPr>
          <w:sz w:val="20"/>
          <w:szCs w:val="20"/>
        </w:rPr>
        <w:t>an</w:t>
      </w:r>
      <w:r w:rsidRPr="00701439">
        <w:rPr>
          <w:sz w:val="20"/>
          <w:szCs w:val="20"/>
        </w:rPr>
        <w:t xml:space="preserve"> </w:t>
      </w:r>
      <w:r w:rsidR="00C8730D" w:rsidRPr="00701439">
        <w:rPr>
          <w:sz w:val="20"/>
          <w:szCs w:val="20"/>
        </w:rPr>
        <w:t>improvement</w:t>
      </w:r>
      <w:r w:rsidRPr="00701439">
        <w:rPr>
          <w:sz w:val="20"/>
          <w:szCs w:val="20"/>
        </w:rPr>
        <w:t xml:space="preserve"> in the </w:t>
      </w:r>
      <w:r w:rsidR="00CD6F36" w:rsidRPr="00701439">
        <w:rPr>
          <w:sz w:val="20"/>
          <w:szCs w:val="20"/>
        </w:rPr>
        <w:t>asset</w:t>
      </w:r>
      <w:r w:rsidRPr="00701439">
        <w:rPr>
          <w:sz w:val="20"/>
          <w:szCs w:val="20"/>
        </w:rPr>
        <w:t xml:space="preserve"> yield to </w:t>
      </w:r>
      <w:r w:rsidR="00CD6F36" w:rsidRPr="00701439">
        <w:rPr>
          <w:sz w:val="20"/>
          <w:szCs w:val="20"/>
        </w:rPr>
        <w:t>2</w:t>
      </w:r>
      <w:r w:rsidR="00D573CA" w:rsidRPr="00701439">
        <w:rPr>
          <w:sz w:val="20"/>
          <w:szCs w:val="20"/>
        </w:rPr>
        <w:t>5.0</w:t>
      </w:r>
      <w:r w:rsidRPr="00701439">
        <w:rPr>
          <w:sz w:val="20"/>
          <w:szCs w:val="20"/>
        </w:rPr>
        <w:t>% (FY’2</w:t>
      </w:r>
      <w:r w:rsidR="00A2486D" w:rsidRPr="00701439">
        <w:rPr>
          <w:sz w:val="20"/>
          <w:szCs w:val="20"/>
        </w:rPr>
        <w:t>1</w:t>
      </w:r>
      <w:r w:rsidRPr="00701439">
        <w:rPr>
          <w:sz w:val="20"/>
          <w:szCs w:val="20"/>
        </w:rPr>
        <w:t xml:space="preserve">: </w:t>
      </w:r>
      <w:r w:rsidR="00CD6F36" w:rsidRPr="00701439">
        <w:rPr>
          <w:sz w:val="20"/>
          <w:szCs w:val="20"/>
        </w:rPr>
        <w:t>23.8</w:t>
      </w:r>
      <w:r w:rsidRPr="00701439">
        <w:rPr>
          <w:sz w:val="20"/>
          <w:szCs w:val="20"/>
        </w:rPr>
        <w:t>%)</w:t>
      </w:r>
      <w:bookmarkStart w:id="11" w:name="_Hlk49000119"/>
      <w:r w:rsidRPr="00701439">
        <w:rPr>
          <w:sz w:val="20"/>
          <w:szCs w:val="20"/>
        </w:rPr>
        <w:t>, which reflects</w:t>
      </w:r>
      <w:bookmarkEnd w:id="11"/>
      <w:r w:rsidR="007152CC" w:rsidRPr="00701439">
        <w:rPr>
          <w:sz w:val="20"/>
          <w:szCs w:val="20"/>
        </w:rPr>
        <w:t xml:space="preserve"> the combination of higher interest income and lower average balances year-on-year. </w:t>
      </w:r>
    </w:p>
    <w:p w14:paraId="3D084782" w14:textId="01AC1548" w:rsidR="00C912FC" w:rsidRPr="00701439" w:rsidRDefault="00C912FC" w:rsidP="00E534C5">
      <w:pPr>
        <w:pStyle w:val="NoSpacing"/>
        <w:jc w:val="both"/>
        <w:rPr>
          <w:sz w:val="20"/>
          <w:szCs w:val="20"/>
        </w:rPr>
      </w:pPr>
    </w:p>
    <w:p w14:paraId="310F3853" w14:textId="0DDF2321" w:rsidR="00261D92" w:rsidRPr="00701439" w:rsidRDefault="00261D92" w:rsidP="00E534C5">
      <w:pPr>
        <w:pStyle w:val="NoSpacing"/>
        <w:jc w:val="both"/>
        <w:rPr>
          <w:sz w:val="20"/>
          <w:szCs w:val="20"/>
        </w:rPr>
      </w:pPr>
      <w:r w:rsidRPr="00701439">
        <w:rPr>
          <w:sz w:val="20"/>
          <w:szCs w:val="20"/>
        </w:rPr>
        <w:t>Funding costs decreased to £</w:t>
      </w:r>
      <w:r w:rsidR="00F31554" w:rsidRPr="00701439">
        <w:rPr>
          <w:sz w:val="20"/>
          <w:szCs w:val="20"/>
        </w:rPr>
        <w:t>22.4</w:t>
      </w:r>
      <w:r w:rsidRPr="00701439">
        <w:rPr>
          <w:sz w:val="20"/>
          <w:szCs w:val="20"/>
        </w:rPr>
        <w:t>m during the year, versus £</w:t>
      </w:r>
      <w:r w:rsidR="00F25AA3" w:rsidRPr="00701439">
        <w:rPr>
          <w:sz w:val="20"/>
          <w:szCs w:val="20"/>
        </w:rPr>
        <w:t>24.9</w:t>
      </w:r>
      <w:r w:rsidRPr="00701439">
        <w:rPr>
          <w:sz w:val="20"/>
          <w:szCs w:val="20"/>
        </w:rPr>
        <w:t xml:space="preserve">m in </w:t>
      </w:r>
      <w:r w:rsidR="006868CB" w:rsidRPr="00701439">
        <w:rPr>
          <w:sz w:val="20"/>
          <w:szCs w:val="20"/>
        </w:rPr>
        <w:t>FY’21</w:t>
      </w:r>
      <w:r w:rsidRPr="00701439">
        <w:rPr>
          <w:sz w:val="20"/>
          <w:szCs w:val="20"/>
        </w:rPr>
        <w:t xml:space="preserve">, reflecting lower </w:t>
      </w:r>
      <w:r w:rsidR="0095341A" w:rsidRPr="00701439">
        <w:rPr>
          <w:sz w:val="20"/>
          <w:szCs w:val="20"/>
        </w:rPr>
        <w:t>retail deposit balances held year-on-year, as</w:t>
      </w:r>
      <w:r w:rsidRPr="00701439">
        <w:rPr>
          <w:sz w:val="20"/>
          <w:szCs w:val="20"/>
        </w:rPr>
        <w:t xml:space="preserve"> the </w:t>
      </w:r>
      <w:proofErr w:type="gramStart"/>
      <w:r w:rsidR="002F1C35" w:rsidRPr="00701439">
        <w:rPr>
          <w:sz w:val="20"/>
          <w:szCs w:val="20"/>
        </w:rPr>
        <w:t>amount</w:t>
      </w:r>
      <w:proofErr w:type="gramEnd"/>
      <w:r w:rsidRPr="00701439">
        <w:rPr>
          <w:sz w:val="20"/>
          <w:szCs w:val="20"/>
        </w:rPr>
        <w:t xml:space="preserve"> of </w:t>
      </w:r>
      <w:r w:rsidR="002F1C35" w:rsidRPr="00701439">
        <w:rPr>
          <w:sz w:val="20"/>
          <w:szCs w:val="20"/>
        </w:rPr>
        <w:t>deposits held was</w:t>
      </w:r>
      <w:r w:rsidR="0095341A" w:rsidRPr="00701439">
        <w:rPr>
          <w:sz w:val="20"/>
          <w:szCs w:val="20"/>
        </w:rPr>
        <w:t xml:space="preserve"> normalised</w:t>
      </w:r>
      <w:r w:rsidR="002F1C35" w:rsidRPr="00701439">
        <w:rPr>
          <w:sz w:val="20"/>
          <w:szCs w:val="20"/>
        </w:rPr>
        <w:t xml:space="preserve"> post-Covid. </w:t>
      </w:r>
      <w:r w:rsidR="007C0856" w:rsidRPr="00701439">
        <w:rPr>
          <w:sz w:val="20"/>
          <w:szCs w:val="20"/>
        </w:rPr>
        <w:t>Net fee and commission income reduced in FY’22</w:t>
      </w:r>
      <w:r w:rsidR="0058539B" w:rsidRPr="00701439">
        <w:rPr>
          <w:sz w:val="20"/>
          <w:szCs w:val="20"/>
        </w:rPr>
        <w:t xml:space="preserve"> to £44.2m (FY’21: £57.4m)</w:t>
      </w:r>
      <w:r w:rsidR="007C0856" w:rsidRPr="00701439">
        <w:rPr>
          <w:sz w:val="20"/>
          <w:szCs w:val="20"/>
        </w:rPr>
        <w:t xml:space="preserve"> reflecting the cessation </w:t>
      </w:r>
      <w:r w:rsidR="00252A25" w:rsidRPr="00701439">
        <w:rPr>
          <w:sz w:val="20"/>
          <w:szCs w:val="20"/>
        </w:rPr>
        <w:t>of the ROP product</w:t>
      </w:r>
      <w:r w:rsidR="00FC1E8D" w:rsidRPr="00701439">
        <w:rPr>
          <w:sz w:val="20"/>
          <w:szCs w:val="20"/>
        </w:rPr>
        <w:t>.</w:t>
      </w:r>
    </w:p>
    <w:p w14:paraId="3BBD3361" w14:textId="25535E6E" w:rsidR="00261D92" w:rsidRPr="00701439" w:rsidRDefault="00261D92" w:rsidP="00E534C5">
      <w:pPr>
        <w:pStyle w:val="NoSpacing"/>
        <w:jc w:val="both"/>
        <w:rPr>
          <w:sz w:val="20"/>
          <w:szCs w:val="20"/>
        </w:rPr>
      </w:pPr>
      <w:r w:rsidRPr="00701439">
        <w:rPr>
          <w:sz w:val="20"/>
          <w:szCs w:val="20"/>
        </w:rPr>
        <w:lastRenderedPageBreak/>
        <w:t xml:space="preserve">The impairment charge for </w:t>
      </w:r>
      <w:r w:rsidR="002F1C35" w:rsidRPr="00701439">
        <w:rPr>
          <w:sz w:val="20"/>
          <w:szCs w:val="20"/>
        </w:rPr>
        <w:t>FY’22</w:t>
      </w:r>
      <w:r w:rsidRPr="00701439">
        <w:rPr>
          <w:sz w:val="20"/>
          <w:szCs w:val="20"/>
        </w:rPr>
        <w:t xml:space="preserve"> was £</w:t>
      </w:r>
      <w:r w:rsidR="00BB76D7" w:rsidRPr="00701439">
        <w:rPr>
          <w:sz w:val="20"/>
          <w:szCs w:val="20"/>
        </w:rPr>
        <w:t>16.8m</w:t>
      </w:r>
      <w:r w:rsidRPr="00701439">
        <w:rPr>
          <w:sz w:val="20"/>
          <w:szCs w:val="20"/>
        </w:rPr>
        <w:t xml:space="preserve"> (FY’2</w:t>
      </w:r>
      <w:r w:rsidR="00F25AA3" w:rsidRPr="00701439">
        <w:rPr>
          <w:sz w:val="20"/>
          <w:szCs w:val="20"/>
        </w:rPr>
        <w:t>1</w:t>
      </w:r>
      <w:r w:rsidRPr="00701439">
        <w:rPr>
          <w:sz w:val="20"/>
          <w:szCs w:val="20"/>
        </w:rPr>
        <w:t>: £</w:t>
      </w:r>
      <w:r w:rsidR="00F25AA3" w:rsidRPr="00701439">
        <w:rPr>
          <w:sz w:val="20"/>
          <w:szCs w:val="20"/>
        </w:rPr>
        <w:t>3.7</w:t>
      </w:r>
      <w:r w:rsidRPr="00701439">
        <w:rPr>
          <w:sz w:val="20"/>
          <w:szCs w:val="20"/>
        </w:rPr>
        <w:t xml:space="preserve">m), </w:t>
      </w:r>
      <w:r w:rsidR="001C40D4" w:rsidRPr="00701439">
        <w:rPr>
          <w:sz w:val="20"/>
          <w:szCs w:val="20"/>
        </w:rPr>
        <w:t>an increase</w:t>
      </w:r>
      <w:r w:rsidR="004D1F12" w:rsidRPr="00701439">
        <w:rPr>
          <w:sz w:val="20"/>
          <w:szCs w:val="20"/>
        </w:rPr>
        <w:t xml:space="preserve"> year-on-year</w:t>
      </w:r>
      <w:r w:rsidR="001C40D4" w:rsidRPr="00701439">
        <w:rPr>
          <w:sz w:val="20"/>
          <w:szCs w:val="20"/>
        </w:rPr>
        <w:t xml:space="preserve"> </w:t>
      </w:r>
      <w:r w:rsidR="004D38ED" w:rsidRPr="00701439">
        <w:rPr>
          <w:rStyle w:val="Strong"/>
          <w:b w:val="0"/>
          <w:sz w:val="20"/>
          <w:szCs w:val="20"/>
        </w:rPr>
        <w:t>reflecting lower average gross receivables driven by growth in receivables being weighted towards Q4’22</w:t>
      </w:r>
      <w:r w:rsidRPr="00701439">
        <w:rPr>
          <w:sz w:val="20"/>
          <w:szCs w:val="20"/>
        </w:rPr>
        <w:t xml:space="preserve">, which equated to an annualised </w:t>
      </w:r>
      <w:r w:rsidR="005A7342" w:rsidRPr="00701439">
        <w:rPr>
          <w:sz w:val="20"/>
          <w:szCs w:val="20"/>
        </w:rPr>
        <w:t>cost of risk</w:t>
      </w:r>
      <w:r w:rsidRPr="00701439">
        <w:rPr>
          <w:sz w:val="20"/>
          <w:szCs w:val="20"/>
        </w:rPr>
        <w:t xml:space="preserve"> of </w:t>
      </w:r>
      <w:r w:rsidR="00E00891" w:rsidRPr="00701439">
        <w:rPr>
          <w:sz w:val="20"/>
          <w:szCs w:val="20"/>
        </w:rPr>
        <w:t>1.3</w:t>
      </w:r>
      <w:r w:rsidRPr="00701439">
        <w:rPr>
          <w:sz w:val="20"/>
          <w:szCs w:val="20"/>
        </w:rPr>
        <w:t>% (FY’2</w:t>
      </w:r>
      <w:r w:rsidR="00F25AA3" w:rsidRPr="00701439">
        <w:rPr>
          <w:sz w:val="20"/>
          <w:szCs w:val="20"/>
        </w:rPr>
        <w:t>1</w:t>
      </w:r>
      <w:r w:rsidRPr="00701439">
        <w:rPr>
          <w:sz w:val="20"/>
          <w:szCs w:val="20"/>
        </w:rPr>
        <w:t xml:space="preserve">: </w:t>
      </w:r>
      <w:r w:rsidR="00F25AA3" w:rsidRPr="00701439">
        <w:rPr>
          <w:sz w:val="20"/>
          <w:szCs w:val="20"/>
        </w:rPr>
        <w:t>0</w:t>
      </w:r>
      <w:r w:rsidRPr="00701439">
        <w:rPr>
          <w:sz w:val="20"/>
          <w:szCs w:val="20"/>
        </w:rPr>
        <w:t xml:space="preserve">.3%). The </w:t>
      </w:r>
      <w:r w:rsidR="00890643" w:rsidRPr="00701439">
        <w:rPr>
          <w:sz w:val="20"/>
          <w:szCs w:val="20"/>
        </w:rPr>
        <w:t>higher</w:t>
      </w:r>
      <w:r w:rsidRPr="00701439">
        <w:rPr>
          <w:sz w:val="20"/>
          <w:szCs w:val="20"/>
        </w:rPr>
        <w:t xml:space="preserve"> impairment charge offset the </w:t>
      </w:r>
      <w:r w:rsidR="008E34C4" w:rsidRPr="00701439">
        <w:rPr>
          <w:sz w:val="20"/>
          <w:szCs w:val="20"/>
        </w:rPr>
        <w:t>higher</w:t>
      </w:r>
      <w:r w:rsidRPr="00701439">
        <w:rPr>
          <w:sz w:val="20"/>
          <w:szCs w:val="20"/>
        </w:rPr>
        <w:t xml:space="preserve"> </w:t>
      </w:r>
      <w:r w:rsidR="0032634E" w:rsidRPr="00701439">
        <w:rPr>
          <w:sz w:val="20"/>
          <w:szCs w:val="20"/>
        </w:rPr>
        <w:t>asset</w:t>
      </w:r>
      <w:r w:rsidRPr="00701439">
        <w:rPr>
          <w:sz w:val="20"/>
          <w:szCs w:val="20"/>
        </w:rPr>
        <w:t xml:space="preserve"> yield to produce a risk</w:t>
      </w:r>
      <w:r w:rsidR="00BB76D7" w:rsidRPr="00701439">
        <w:rPr>
          <w:sz w:val="20"/>
          <w:szCs w:val="20"/>
        </w:rPr>
        <w:t>-</w:t>
      </w:r>
      <w:r w:rsidRPr="00701439">
        <w:rPr>
          <w:sz w:val="20"/>
          <w:szCs w:val="20"/>
        </w:rPr>
        <w:t xml:space="preserve">adjusted margin </w:t>
      </w:r>
      <w:r w:rsidR="006D1AF7" w:rsidRPr="00701439">
        <w:rPr>
          <w:sz w:val="20"/>
          <w:szCs w:val="20"/>
        </w:rPr>
        <w:t>which was flat year-on-year at</w:t>
      </w:r>
      <w:r w:rsidRPr="00701439">
        <w:rPr>
          <w:sz w:val="20"/>
          <w:szCs w:val="20"/>
        </w:rPr>
        <w:t xml:space="preserve"> </w:t>
      </w:r>
      <w:r w:rsidR="00162248" w:rsidRPr="00701439">
        <w:rPr>
          <w:sz w:val="20"/>
          <w:szCs w:val="20"/>
        </w:rPr>
        <w:t>25.8</w:t>
      </w:r>
      <w:r w:rsidRPr="00701439">
        <w:rPr>
          <w:sz w:val="20"/>
          <w:szCs w:val="20"/>
        </w:rPr>
        <w:t>% (FY’2</w:t>
      </w:r>
      <w:r w:rsidR="007649B6" w:rsidRPr="00701439">
        <w:rPr>
          <w:sz w:val="20"/>
          <w:szCs w:val="20"/>
        </w:rPr>
        <w:t>1</w:t>
      </w:r>
      <w:r w:rsidRPr="00701439">
        <w:rPr>
          <w:sz w:val="20"/>
          <w:szCs w:val="20"/>
        </w:rPr>
        <w:t xml:space="preserve">: </w:t>
      </w:r>
      <w:r w:rsidR="00162248" w:rsidRPr="00701439">
        <w:rPr>
          <w:sz w:val="20"/>
          <w:szCs w:val="20"/>
        </w:rPr>
        <w:t>2</w:t>
      </w:r>
      <w:r w:rsidR="007649B6" w:rsidRPr="00701439">
        <w:rPr>
          <w:sz w:val="20"/>
          <w:szCs w:val="20"/>
        </w:rPr>
        <w:t>6</w:t>
      </w:r>
      <w:r w:rsidRPr="00701439">
        <w:rPr>
          <w:sz w:val="20"/>
          <w:szCs w:val="20"/>
        </w:rPr>
        <w:t>.0%).</w:t>
      </w:r>
    </w:p>
    <w:p w14:paraId="6468E894" w14:textId="77777777" w:rsidR="00261D92" w:rsidRPr="00701439" w:rsidRDefault="00261D92" w:rsidP="00E534C5">
      <w:pPr>
        <w:pStyle w:val="NoSpacing"/>
        <w:jc w:val="both"/>
        <w:rPr>
          <w:sz w:val="20"/>
          <w:szCs w:val="20"/>
        </w:rPr>
      </w:pPr>
    </w:p>
    <w:p w14:paraId="27AF5587" w14:textId="4991B892" w:rsidR="00261D92" w:rsidRPr="00701439" w:rsidRDefault="00261D92" w:rsidP="00E534C5">
      <w:pPr>
        <w:pStyle w:val="NoSpacing"/>
        <w:jc w:val="both"/>
        <w:rPr>
          <w:sz w:val="20"/>
          <w:szCs w:val="20"/>
        </w:rPr>
      </w:pPr>
      <w:r w:rsidRPr="00701439">
        <w:rPr>
          <w:sz w:val="20"/>
          <w:szCs w:val="20"/>
        </w:rPr>
        <w:t xml:space="preserve">Costs </w:t>
      </w:r>
      <w:r w:rsidR="006D1AF7" w:rsidRPr="00701439">
        <w:rPr>
          <w:sz w:val="20"/>
          <w:szCs w:val="20"/>
        </w:rPr>
        <w:t>decreased</w:t>
      </w:r>
      <w:r w:rsidRPr="00701439">
        <w:rPr>
          <w:sz w:val="20"/>
          <w:szCs w:val="20"/>
        </w:rPr>
        <w:t xml:space="preserve"> to £1</w:t>
      </w:r>
      <w:r w:rsidR="00693275" w:rsidRPr="00701439">
        <w:rPr>
          <w:sz w:val="20"/>
          <w:szCs w:val="20"/>
        </w:rPr>
        <w:t>6</w:t>
      </w:r>
      <w:r w:rsidR="00AD5130" w:rsidRPr="00701439">
        <w:rPr>
          <w:sz w:val="20"/>
          <w:szCs w:val="20"/>
        </w:rPr>
        <w:t>4</w:t>
      </w:r>
      <w:r w:rsidRPr="00701439">
        <w:rPr>
          <w:sz w:val="20"/>
          <w:szCs w:val="20"/>
        </w:rPr>
        <w:t>.</w:t>
      </w:r>
      <w:r w:rsidR="00AD5130" w:rsidRPr="00701439">
        <w:rPr>
          <w:sz w:val="20"/>
          <w:szCs w:val="20"/>
        </w:rPr>
        <w:t>8</w:t>
      </w:r>
      <w:r w:rsidRPr="00701439">
        <w:rPr>
          <w:sz w:val="20"/>
          <w:szCs w:val="20"/>
        </w:rPr>
        <w:t>m during the year versus £</w:t>
      </w:r>
      <w:r w:rsidR="00B30E68" w:rsidRPr="00701439">
        <w:rPr>
          <w:sz w:val="20"/>
          <w:szCs w:val="20"/>
        </w:rPr>
        <w:t>1</w:t>
      </w:r>
      <w:r w:rsidR="007649B6" w:rsidRPr="00701439">
        <w:rPr>
          <w:sz w:val="20"/>
          <w:szCs w:val="20"/>
        </w:rPr>
        <w:t>8</w:t>
      </w:r>
      <w:r w:rsidR="00B30E68" w:rsidRPr="00701439">
        <w:rPr>
          <w:sz w:val="20"/>
          <w:szCs w:val="20"/>
        </w:rPr>
        <w:t>4</w:t>
      </w:r>
      <w:r w:rsidR="007649B6" w:rsidRPr="00701439">
        <w:rPr>
          <w:sz w:val="20"/>
          <w:szCs w:val="20"/>
        </w:rPr>
        <w:t>.</w:t>
      </w:r>
      <w:r w:rsidR="00B30E68" w:rsidRPr="00701439">
        <w:rPr>
          <w:sz w:val="20"/>
          <w:szCs w:val="20"/>
        </w:rPr>
        <w:t>1</w:t>
      </w:r>
      <w:r w:rsidRPr="00701439">
        <w:rPr>
          <w:sz w:val="20"/>
          <w:szCs w:val="20"/>
        </w:rPr>
        <w:t xml:space="preserve">m in </w:t>
      </w:r>
      <w:r w:rsidR="006D1AF7" w:rsidRPr="00701439">
        <w:rPr>
          <w:sz w:val="20"/>
          <w:szCs w:val="20"/>
        </w:rPr>
        <w:t xml:space="preserve">FY’21 </w:t>
      </w:r>
      <w:r w:rsidRPr="00701439">
        <w:rPr>
          <w:sz w:val="20"/>
          <w:szCs w:val="20"/>
        </w:rPr>
        <w:t xml:space="preserve">reflecting </w:t>
      </w:r>
      <w:r w:rsidR="00727B59" w:rsidRPr="00701439">
        <w:rPr>
          <w:sz w:val="20"/>
          <w:szCs w:val="20"/>
        </w:rPr>
        <w:t>lower salary costs</w:t>
      </w:r>
      <w:r w:rsidR="000F0124" w:rsidRPr="00701439">
        <w:rPr>
          <w:sz w:val="20"/>
          <w:szCs w:val="20"/>
        </w:rPr>
        <w:t>,</w:t>
      </w:r>
      <w:r w:rsidR="00C34433" w:rsidRPr="00701439">
        <w:rPr>
          <w:sz w:val="20"/>
          <w:szCs w:val="20"/>
        </w:rPr>
        <w:t xml:space="preserve"> </w:t>
      </w:r>
      <w:r w:rsidR="00727B59" w:rsidRPr="00701439">
        <w:rPr>
          <w:sz w:val="20"/>
          <w:szCs w:val="20"/>
        </w:rPr>
        <w:t>an improved profile with some</w:t>
      </w:r>
      <w:r w:rsidR="00466DA5" w:rsidRPr="00701439">
        <w:rPr>
          <w:sz w:val="20"/>
          <w:szCs w:val="20"/>
        </w:rPr>
        <w:t xml:space="preserve"> </w:t>
      </w:r>
      <w:r w:rsidR="00F14B6B" w:rsidRPr="00701439">
        <w:rPr>
          <w:sz w:val="20"/>
          <w:szCs w:val="20"/>
        </w:rPr>
        <w:t>supplier arrangements</w:t>
      </w:r>
      <w:r w:rsidR="004C1A45" w:rsidRPr="00701439">
        <w:rPr>
          <w:sz w:val="20"/>
          <w:szCs w:val="20"/>
        </w:rPr>
        <w:t xml:space="preserve"> and some centralisation of functional costs</w:t>
      </w:r>
      <w:r w:rsidR="0089028B" w:rsidRPr="00701439">
        <w:rPr>
          <w:sz w:val="20"/>
          <w:szCs w:val="20"/>
        </w:rPr>
        <w:t>.</w:t>
      </w:r>
      <w:r w:rsidR="00F14B6B" w:rsidRPr="00701439">
        <w:rPr>
          <w:sz w:val="20"/>
          <w:szCs w:val="20"/>
        </w:rPr>
        <w:t xml:space="preserve"> </w:t>
      </w:r>
    </w:p>
    <w:p w14:paraId="0C70D4C4" w14:textId="77777777" w:rsidR="00261D92" w:rsidRPr="00701439" w:rsidRDefault="00261D92" w:rsidP="00E534C5">
      <w:pPr>
        <w:pStyle w:val="NoSpacing"/>
        <w:jc w:val="both"/>
        <w:rPr>
          <w:sz w:val="20"/>
          <w:szCs w:val="20"/>
        </w:rPr>
      </w:pPr>
    </w:p>
    <w:p w14:paraId="6799A93E" w14:textId="762FA907" w:rsidR="00DB21C6" w:rsidRPr="00701439" w:rsidRDefault="00261D92" w:rsidP="0002541E">
      <w:pPr>
        <w:pStyle w:val="NoSpacing"/>
        <w:jc w:val="both"/>
        <w:rPr>
          <w:rStyle w:val="Strong"/>
          <w:b w:val="0"/>
          <w:sz w:val="20"/>
          <w:szCs w:val="20"/>
        </w:rPr>
      </w:pPr>
      <w:r w:rsidRPr="00701439">
        <w:rPr>
          <w:sz w:val="20"/>
          <w:szCs w:val="20"/>
        </w:rPr>
        <w:t xml:space="preserve">The </w:t>
      </w:r>
      <w:r w:rsidR="00D84EA7" w:rsidRPr="00701439">
        <w:rPr>
          <w:sz w:val="20"/>
          <w:szCs w:val="20"/>
        </w:rPr>
        <w:t xml:space="preserve">credit </w:t>
      </w:r>
      <w:r w:rsidRPr="00701439">
        <w:rPr>
          <w:sz w:val="20"/>
          <w:szCs w:val="20"/>
        </w:rPr>
        <w:t xml:space="preserve">card business </w:t>
      </w:r>
      <w:r w:rsidR="00CC67D3" w:rsidRPr="00701439">
        <w:rPr>
          <w:sz w:val="20"/>
          <w:szCs w:val="20"/>
        </w:rPr>
        <w:t>grew it</w:t>
      </w:r>
      <w:r w:rsidR="00853AA1" w:rsidRPr="00701439">
        <w:rPr>
          <w:sz w:val="20"/>
          <w:szCs w:val="20"/>
        </w:rPr>
        <w:t>s</w:t>
      </w:r>
      <w:r w:rsidR="00CC67D3" w:rsidRPr="00701439">
        <w:rPr>
          <w:sz w:val="20"/>
          <w:szCs w:val="20"/>
        </w:rPr>
        <w:t xml:space="preserve"> loan book by 11%</w:t>
      </w:r>
      <w:r w:rsidRPr="00701439">
        <w:rPr>
          <w:sz w:val="20"/>
          <w:szCs w:val="20"/>
        </w:rPr>
        <w:t xml:space="preserve"> during </w:t>
      </w:r>
      <w:r w:rsidR="00CC67D3" w:rsidRPr="00701439">
        <w:rPr>
          <w:sz w:val="20"/>
          <w:szCs w:val="20"/>
        </w:rPr>
        <w:t>2022</w:t>
      </w:r>
      <w:r w:rsidR="00E95C42" w:rsidRPr="00701439">
        <w:rPr>
          <w:sz w:val="20"/>
          <w:szCs w:val="20"/>
        </w:rPr>
        <w:t>, the highest level of growth since 2017,</w:t>
      </w:r>
      <w:r w:rsidRPr="00701439">
        <w:rPr>
          <w:sz w:val="20"/>
          <w:szCs w:val="20"/>
        </w:rPr>
        <w:t xml:space="preserve"> and it has maintained its strong capital and liquidity positions. It remains focused on enhancing its customer and digital propositions, including a new Vanquis mobile app, and </w:t>
      </w:r>
      <w:r w:rsidR="00A909DF" w:rsidRPr="00701439">
        <w:rPr>
          <w:sz w:val="20"/>
          <w:szCs w:val="20"/>
        </w:rPr>
        <w:t>improving</w:t>
      </w:r>
      <w:r w:rsidRPr="00701439">
        <w:rPr>
          <w:sz w:val="20"/>
          <w:szCs w:val="20"/>
        </w:rPr>
        <w:t xml:space="preserve"> its range of </w:t>
      </w:r>
      <w:r w:rsidR="00AD235C" w:rsidRPr="00701439">
        <w:rPr>
          <w:sz w:val="20"/>
          <w:szCs w:val="20"/>
        </w:rPr>
        <w:t>services</w:t>
      </w:r>
      <w:r w:rsidRPr="00701439">
        <w:rPr>
          <w:sz w:val="20"/>
          <w:szCs w:val="20"/>
        </w:rPr>
        <w:t xml:space="preserve"> for customers.</w:t>
      </w:r>
      <w:r w:rsidR="00AD235C" w:rsidRPr="00701439">
        <w:rPr>
          <w:sz w:val="20"/>
          <w:szCs w:val="20"/>
        </w:rPr>
        <w:t xml:space="preserve"> </w:t>
      </w:r>
      <w:r w:rsidR="00DB21C6" w:rsidRPr="00701439">
        <w:rPr>
          <w:rStyle w:val="Strong"/>
          <w:b w:val="0"/>
          <w:sz w:val="20"/>
          <w:szCs w:val="20"/>
        </w:rPr>
        <w:t>During 2023, the credit card business will continue to focus on its strategic ambitions which include growing its customer numbers and balances in a sustainable way and providing an enhanced digital experience</w:t>
      </w:r>
      <w:r w:rsidR="007E3554" w:rsidRPr="00701439">
        <w:rPr>
          <w:rStyle w:val="Strong"/>
          <w:b w:val="0"/>
          <w:sz w:val="20"/>
          <w:szCs w:val="20"/>
        </w:rPr>
        <w:t>.</w:t>
      </w:r>
    </w:p>
    <w:p w14:paraId="5F9F29EF" w14:textId="0CFE98BA" w:rsidR="00261D92" w:rsidRPr="00701439" w:rsidRDefault="00261D92" w:rsidP="00E534C5">
      <w:pPr>
        <w:pStyle w:val="NoSpacing"/>
        <w:jc w:val="both"/>
        <w:rPr>
          <w:sz w:val="20"/>
          <w:szCs w:val="20"/>
        </w:rPr>
      </w:pPr>
    </w:p>
    <w:p w14:paraId="7818A1A5" w14:textId="77777777" w:rsidR="00261D92" w:rsidRPr="00701439" w:rsidRDefault="00261D92" w:rsidP="00E534C5">
      <w:pPr>
        <w:rPr>
          <w:sz w:val="20"/>
          <w:szCs w:val="20"/>
        </w:rPr>
      </w:pPr>
    </w:p>
    <w:bookmarkEnd w:id="9"/>
    <w:p w14:paraId="13C309B2" w14:textId="570D8B23" w:rsidR="00F01EC8" w:rsidRPr="00701439" w:rsidRDefault="00B633D5" w:rsidP="00E534C5">
      <w:pPr>
        <w:pStyle w:val="NoSpacing"/>
        <w:jc w:val="both"/>
        <w:rPr>
          <w:rStyle w:val="Strong"/>
          <w:color w:val="4747FF"/>
        </w:rPr>
      </w:pPr>
      <w:r w:rsidRPr="00701439">
        <w:rPr>
          <w:rStyle w:val="Strong"/>
          <w:color w:val="4747FF"/>
        </w:rPr>
        <w:t>Vehicle Finance</w:t>
      </w:r>
    </w:p>
    <w:tbl>
      <w:tblPr>
        <w:tblW w:w="9752" w:type="dxa"/>
        <w:tblLayout w:type="fixed"/>
        <w:tblLook w:val="04A0" w:firstRow="1" w:lastRow="0" w:firstColumn="1" w:lastColumn="0" w:noHBand="0" w:noVBand="1"/>
      </w:tblPr>
      <w:tblGrid>
        <w:gridCol w:w="6350"/>
        <w:gridCol w:w="1134"/>
        <w:gridCol w:w="1134"/>
        <w:gridCol w:w="1134"/>
      </w:tblGrid>
      <w:tr w:rsidR="00901C83" w:rsidRPr="00701439" w14:paraId="68EE2734" w14:textId="77777777" w:rsidTr="00F01EC8">
        <w:tc>
          <w:tcPr>
            <w:tcW w:w="6350" w:type="dxa"/>
          </w:tcPr>
          <w:p w14:paraId="3C57ACA2" w14:textId="77777777" w:rsidR="00901C83" w:rsidRPr="00701439" w:rsidRDefault="00901C83" w:rsidP="00E534C5">
            <w:pPr>
              <w:pStyle w:val="NoSpacing"/>
              <w:jc w:val="both"/>
              <w:rPr>
                <w:sz w:val="20"/>
                <w:szCs w:val="20"/>
              </w:rPr>
            </w:pPr>
          </w:p>
        </w:tc>
        <w:tc>
          <w:tcPr>
            <w:tcW w:w="3402" w:type="dxa"/>
            <w:gridSpan w:val="3"/>
            <w:hideMark/>
          </w:tcPr>
          <w:p w14:paraId="0A869AD2" w14:textId="367C9816" w:rsidR="00901C83" w:rsidRPr="00701439" w:rsidRDefault="00901C83" w:rsidP="00E534C5">
            <w:pPr>
              <w:pStyle w:val="NoSpacing"/>
              <w:jc w:val="center"/>
              <w:rPr>
                <w:i/>
                <w:sz w:val="20"/>
                <w:szCs w:val="20"/>
              </w:rPr>
            </w:pPr>
            <w:r w:rsidRPr="00701439">
              <w:rPr>
                <w:sz w:val="20"/>
                <w:szCs w:val="20"/>
              </w:rPr>
              <w:t>Twelve months ended 31 December</w:t>
            </w:r>
          </w:p>
        </w:tc>
      </w:tr>
      <w:tr w:rsidR="00F01EC8" w:rsidRPr="00701439" w14:paraId="013661AC" w14:textId="77777777" w:rsidTr="00F01EC8">
        <w:tc>
          <w:tcPr>
            <w:tcW w:w="6350" w:type="dxa"/>
          </w:tcPr>
          <w:p w14:paraId="1362E995" w14:textId="77777777" w:rsidR="00F01EC8" w:rsidRPr="00701439" w:rsidRDefault="00F01EC8" w:rsidP="00E534C5">
            <w:pPr>
              <w:pStyle w:val="NoSpacing"/>
              <w:jc w:val="both"/>
              <w:rPr>
                <w:sz w:val="20"/>
                <w:szCs w:val="20"/>
              </w:rPr>
            </w:pPr>
          </w:p>
        </w:tc>
        <w:tc>
          <w:tcPr>
            <w:tcW w:w="1134" w:type="dxa"/>
            <w:hideMark/>
          </w:tcPr>
          <w:p w14:paraId="54A7BDFD" w14:textId="5830341D" w:rsidR="00F01EC8" w:rsidRPr="00701439" w:rsidRDefault="00B633D5" w:rsidP="00E534C5">
            <w:pPr>
              <w:pStyle w:val="NoSpacing"/>
              <w:jc w:val="center"/>
              <w:rPr>
                <w:sz w:val="20"/>
                <w:szCs w:val="20"/>
              </w:rPr>
            </w:pPr>
            <w:r w:rsidRPr="00701439">
              <w:rPr>
                <w:sz w:val="20"/>
                <w:szCs w:val="20"/>
              </w:rPr>
              <w:t>202</w:t>
            </w:r>
            <w:r w:rsidR="00115BF4" w:rsidRPr="00701439">
              <w:rPr>
                <w:sz w:val="20"/>
                <w:szCs w:val="20"/>
              </w:rPr>
              <w:t>2</w:t>
            </w:r>
          </w:p>
        </w:tc>
        <w:tc>
          <w:tcPr>
            <w:tcW w:w="1134" w:type="dxa"/>
            <w:hideMark/>
          </w:tcPr>
          <w:p w14:paraId="423069FA" w14:textId="4C4C28A8" w:rsidR="00F01EC8" w:rsidRPr="00701439" w:rsidRDefault="00B633D5" w:rsidP="00E534C5">
            <w:pPr>
              <w:pStyle w:val="NoSpacing"/>
              <w:jc w:val="center"/>
              <w:rPr>
                <w:sz w:val="20"/>
                <w:szCs w:val="20"/>
              </w:rPr>
            </w:pPr>
            <w:r w:rsidRPr="00701439">
              <w:rPr>
                <w:sz w:val="20"/>
                <w:szCs w:val="20"/>
              </w:rPr>
              <w:t>202</w:t>
            </w:r>
            <w:r w:rsidR="00115BF4" w:rsidRPr="00701439">
              <w:rPr>
                <w:sz w:val="20"/>
                <w:szCs w:val="20"/>
              </w:rPr>
              <w:t>1</w:t>
            </w:r>
          </w:p>
        </w:tc>
        <w:tc>
          <w:tcPr>
            <w:tcW w:w="1134" w:type="dxa"/>
            <w:vMerge w:val="restart"/>
            <w:tcBorders>
              <w:top w:val="nil"/>
              <w:left w:val="nil"/>
              <w:bottom w:val="single" w:sz="4" w:space="0" w:color="auto"/>
              <w:right w:val="nil"/>
            </w:tcBorders>
            <w:vAlign w:val="center"/>
            <w:hideMark/>
          </w:tcPr>
          <w:p w14:paraId="565E7835" w14:textId="77777777" w:rsidR="00F01EC8" w:rsidRPr="00701439" w:rsidRDefault="00F01EC8" w:rsidP="00E534C5">
            <w:pPr>
              <w:pStyle w:val="NoSpacing"/>
              <w:jc w:val="center"/>
              <w:rPr>
                <w:i/>
                <w:sz w:val="20"/>
                <w:szCs w:val="20"/>
              </w:rPr>
            </w:pPr>
            <w:r w:rsidRPr="00701439">
              <w:rPr>
                <w:i/>
                <w:sz w:val="20"/>
                <w:szCs w:val="20"/>
              </w:rPr>
              <w:t>Change</w:t>
            </w:r>
          </w:p>
        </w:tc>
      </w:tr>
      <w:tr w:rsidR="00F01EC8" w:rsidRPr="00701439" w14:paraId="1F6CD92F" w14:textId="77777777" w:rsidTr="00F01EC8">
        <w:tc>
          <w:tcPr>
            <w:tcW w:w="6350" w:type="dxa"/>
          </w:tcPr>
          <w:p w14:paraId="1E4DC3DA" w14:textId="77777777" w:rsidR="00F01EC8" w:rsidRPr="00701439" w:rsidRDefault="00F01EC8" w:rsidP="00E534C5">
            <w:pPr>
              <w:pStyle w:val="NoSpacing"/>
              <w:jc w:val="both"/>
              <w:rPr>
                <w:sz w:val="20"/>
                <w:szCs w:val="20"/>
              </w:rPr>
            </w:pPr>
          </w:p>
        </w:tc>
        <w:tc>
          <w:tcPr>
            <w:tcW w:w="1134" w:type="dxa"/>
            <w:tcBorders>
              <w:top w:val="nil"/>
              <w:left w:val="nil"/>
              <w:bottom w:val="single" w:sz="4" w:space="0" w:color="auto"/>
              <w:right w:val="nil"/>
            </w:tcBorders>
            <w:vAlign w:val="bottom"/>
            <w:hideMark/>
          </w:tcPr>
          <w:p w14:paraId="285F36CC" w14:textId="77777777" w:rsidR="00F01EC8" w:rsidRPr="00701439" w:rsidRDefault="00F01EC8" w:rsidP="00E534C5">
            <w:pPr>
              <w:pStyle w:val="NoSpacing"/>
              <w:jc w:val="center"/>
              <w:rPr>
                <w:sz w:val="20"/>
                <w:szCs w:val="20"/>
              </w:rPr>
            </w:pPr>
            <w:r w:rsidRPr="00701439">
              <w:rPr>
                <w:sz w:val="20"/>
                <w:szCs w:val="20"/>
              </w:rPr>
              <w:t>£m</w:t>
            </w:r>
          </w:p>
        </w:tc>
        <w:tc>
          <w:tcPr>
            <w:tcW w:w="1134" w:type="dxa"/>
            <w:tcBorders>
              <w:top w:val="nil"/>
              <w:left w:val="nil"/>
              <w:bottom w:val="single" w:sz="4" w:space="0" w:color="auto"/>
              <w:right w:val="nil"/>
            </w:tcBorders>
            <w:vAlign w:val="bottom"/>
            <w:hideMark/>
          </w:tcPr>
          <w:p w14:paraId="67C602B7" w14:textId="77777777" w:rsidR="00F01EC8" w:rsidRPr="00701439" w:rsidRDefault="00F01EC8" w:rsidP="00E534C5">
            <w:pPr>
              <w:pStyle w:val="NoSpacing"/>
              <w:jc w:val="center"/>
              <w:rPr>
                <w:sz w:val="20"/>
                <w:szCs w:val="20"/>
              </w:rPr>
            </w:pPr>
            <w:r w:rsidRPr="00701439">
              <w:rPr>
                <w:sz w:val="20"/>
                <w:szCs w:val="20"/>
              </w:rPr>
              <w:t>£m</w:t>
            </w:r>
          </w:p>
        </w:tc>
        <w:tc>
          <w:tcPr>
            <w:tcW w:w="1134" w:type="dxa"/>
            <w:vMerge/>
            <w:tcBorders>
              <w:top w:val="nil"/>
              <w:left w:val="nil"/>
              <w:bottom w:val="single" w:sz="4" w:space="0" w:color="auto"/>
              <w:right w:val="nil"/>
            </w:tcBorders>
            <w:vAlign w:val="center"/>
            <w:hideMark/>
          </w:tcPr>
          <w:p w14:paraId="32631D6E" w14:textId="77777777" w:rsidR="00F01EC8" w:rsidRPr="00701439" w:rsidRDefault="00F01EC8" w:rsidP="00E534C5">
            <w:pPr>
              <w:jc w:val="center"/>
              <w:rPr>
                <w:rFonts w:asciiTheme="minorHAnsi" w:hAnsiTheme="minorHAnsi"/>
                <w:i/>
                <w:sz w:val="20"/>
                <w:szCs w:val="20"/>
                <w:lang w:eastAsia="en-US"/>
              </w:rPr>
            </w:pPr>
          </w:p>
        </w:tc>
      </w:tr>
      <w:tr w:rsidR="00F01EC8" w:rsidRPr="00701439" w14:paraId="2F252ACF" w14:textId="77777777" w:rsidTr="00F01EC8">
        <w:tc>
          <w:tcPr>
            <w:tcW w:w="6350" w:type="dxa"/>
          </w:tcPr>
          <w:p w14:paraId="2DD499D8" w14:textId="77777777" w:rsidR="00F01EC8" w:rsidRPr="00701439" w:rsidRDefault="00F01EC8" w:rsidP="00E534C5">
            <w:pPr>
              <w:pStyle w:val="NoSpacing"/>
              <w:jc w:val="both"/>
              <w:rPr>
                <w:sz w:val="20"/>
                <w:szCs w:val="20"/>
              </w:rPr>
            </w:pPr>
          </w:p>
        </w:tc>
        <w:tc>
          <w:tcPr>
            <w:tcW w:w="1134" w:type="dxa"/>
            <w:tcBorders>
              <w:top w:val="single" w:sz="4" w:space="0" w:color="auto"/>
              <w:left w:val="nil"/>
              <w:bottom w:val="nil"/>
              <w:right w:val="nil"/>
            </w:tcBorders>
            <w:vAlign w:val="bottom"/>
          </w:tcPr>
          <w:p w14:paraId="501ECF08" w14:textId="77777777" w:rsidR="00F01EC8" w:rsidRPr="00701439" w:rsidRDefault="00F01EC8" w:rsidP="00E534C5">
            <w:pPr>
              <w:pStyle w:val="NoSpacing"/>
              <w:jc w:val="center"/>
              <w:rPr>
                <w:sz w:val="20"/>
                <w:szCs w:val="20"/>
              </w:rPr>
            </w:pPr>
          </w:p>
        </w:tc>
        <w:tc>
          <w:tcPr>
            <w:tcW w:w="1134" w:type="dxa"/>
            <w:tcBorders>
              <w:top w:val="single" w:sz="4" w:space="0" w:color="auto"/>
              <w:left w:val="nil"/>
              <w:bottom w:val="nil"/>
              <w:right w:val="nil"/>
            </w:tcBorders>
            <w:vAlign w:val="bottom"/>
          </w:tcPr>
          <w:p w14:paraId="48F93E65" w14:textId="77777777" w:rsidR="00F01EC8" w:rsidRPr="00701439" w:rsidRDefault="00F01EC8" w:rsidP="00E534C5">
            <w:pPr>
              <w:pStyle w:val="NoSpacing"/>
              <w:jc w:val="center"/>
              <w:rPr>
                <w:sz w:val="20"/>
                <w:szCs w:val="20"/>
              </w:rPr>
            </w:pPr>
          </w:p>
        </w:tc>
        <w:tc>
          <w:tcPr>
            <w:tcW w:w="1134" w:type="dxa"/>
            <w:tcBorders>
              <w:top w:val="single" w:sz="4" w:space="0" w:color="auto"/>
              <w:left w:val="nil"/>
              <w:bottom w:val="nil"/>
              <w:right w:val="nil"/>
            </w:tcBorders>
            <w:vAlign w:val="bottom"/>
          </w:tcPr>
          <w:p w14:paraId="1CDB9664" w14:textId="77777777" w:rsidR="00F01EC8" w:rsidRPr="00701439" w:rsidRDefault="00F01EC8" w:rsidP="00E534C5">
            <w:pPr>
              <w:pStyle w:val="NoSpacing"/>
              <w:jc w:val="center"/>
              <w:rPr>
                <w:i/>
                <w:sz w:val="20"/>
                <w:szCs w:val="20"/>
              </w:rPr>
            </w:pPr>
          </w:p>
        </w:tc>
      </w:tr>
      <w:tr w:rsidR="00115BF4" w:rsidRPr="00701439" w14:paraId="70743075" w14:textId="77777777" w:rsidTr="00901C83">
        <w:tc>
          <w:tcPr>
            <w:tcW w:w="6350" w:type="dxa"/>
            <w:vAlign w:val="bottom"/>
            <w:hideMark/>
          </w:tcPr>
          <w:p w14:paraId="3FE80EAE" w14:textId="49766D78" w:rsidR="00115BF4" w:rsidRPr="00701439" w:rsidRDefault="00066D8B" w:rsidP="00115BF4">
            <w:pPr>
              <w:pStyle w:val="NoSpacing"/>
              <w:jc w:val="both"/>
              <w:rPr>
                <w:sz w:val="20"/>
                <w:szCs w:val="20"/>
              </w:rPr>
            </w:pPr>
            <w:r w:rsidRPr="00701439">
              <w:rPr>
                <w:sz w:val="20"/>
                <w:szCs w:val="20"/>
              </w:rPr>
              <w:t>Total c</w:t>
            </w:r>
            <w:r w:rsidR="00115BF4" w:rsidRPr="00701439">
              <w:rPr>
                <w:sz w:val="20"/>
                <w:szCs w:val="20"/>
              </w:rPr>
              <w:t>ustomer numbers ('000)</w:t>
            </w:r>
          </w:p>
        </w:tc>
        <w:tc>
          <w:tcPr>
            <w:tcW w:w="1134" w:type="dxa"/>
            <w:vAlign w:val="bottom"/>
          </w:tcPr>
          <w:p w14:paraId="44880DFD" w14:textId="2130252C" w:rsidR="00115BF4" w:rsidRPr="00701439" w:rsidRDefault="00B51D80" w:rsidP="00115BF4">
            <w:pPr>
              <w:pStyle w:val="NoSpacing"/>
              <w:jc w:val="center"/>
              <w:rPr>
                <w:sz w:val="20"/>
                <w:szCs w:val="20"/>
              </w:rPr>
            </w:pPr>
            <w:r w:rsidRPr="00701439">
              <w:rPr>
                <w:sz w:val="20"/>
                <w:szCs w:val="20"/>
              </w:rPr>
              <w:t>100</w:t>
            </w:r>
            <w:r w:rsidR="00115BF4" w:rsidRPr="00701439">
              <w:rPr>
                <w:sz w:val="20"/>
                <w:szCs w:val="20"/>
              </w:rPr>
              <w:t>.</w:t>
            </w:r>
            <w:r w:rsidRPr="00701439">
              <w:rPr>
                <w:sz w:val="20"/>
                <w:szCs w:val="20"/>
              </w:rPr>
              <w:t>0</w:t>
            </w:r>
          </w:p>
        </w:tc>
        <w:tc>
          <w:tcPr>
            <w:tcW w:w="1134" w:type="dxa"/>
            <w:vAlign w:val="bottom"/>
          </w:tcPr>
          <w:p w14:paraId="328D8884" w14:textId="20C092FE" w:rsidR="00115BF4" w:rsidRPr="00701439" w:rsidRDefault="00115BF4" w:rsidP="00115BF4">
            <w:pPr>
              <w:pStyle w:val="NoSpacing"/>
              <w:jc w:val="center"/>
              <w:rPr>
                <w:sz w:val="20"/>
                <w:szCs w:val="20"/>
              </w:rPr>
            </w:pPr>
            <w:r w:rsidRPr="00701439">
              <w:rPr>
                <w:sz w:val="20"/>
                <w:szCs w:val="20"/>
              </w:rPr>
              <w:t>93.9</w:t>
            </w:r>
          </w:p>
        </w:tc>
        <w:tc>
          <w:tcPr>
            <w:tcW w:w="1134" w:type="dxa"/>
            <w:vAlign w:val="bottom"/>
          </w:tcPr>
          <w:p w14:paraId="7ABAEF1D" w14:textId="7A54B39F" w:rsidR="00115BF4" w:rsidRPr="00701439" w:rsidRDefault="00347FD2" w:rsidP="00115BF4">
            <w:pPr>
              <w:pStyle w:val="NoSpacing"/>
              <w:jc w:val="center"/>
              <w:rPr>
                <w:i/>
                <w:sz w:val="20"/>
                <w:szCs w:val="20"/>
              </w:rPr>
            </w:pPr>
            <w:r w:rsidRPr="00701439">
              <w:rPr>
                <w:i/>
                <w:sz w:val="20"/>
                <w:szCs w:val="20"/>
              </w:rPr>
              <w:t>6</w:t>
            </w:r>
            <w:r w:rsidR="00BD344B" w:rsidRPr="00701439">
              <w:rPr>
                <w:i/>
                <w:sz w:val="20"/>
                <w:szCs w:val="20"/>
              </w:rPr>
              <w:t>.5</w:t>
            </w:r>
            <w:r w:rsidR="00115BF4" w:rsidRPr="00701439">
              <w:rPr>
                <w:i/>
                <w:sz w:val="20"/>
                <w:szCs w:val="20"/>
              </w:rPr>
              <w:t>%</w:t>
            </w:r>
          </w:p>
        </w:tc>
      </w:tr>
      <w:tr w:rsidR="00115BF4" w:rsidRPr="00701439" w14:paraId="6235B506" w14:textId="77777777" w:rsidTr="00901C83">
        <w:tc>
          <w:tcPr>
            <w:tcW w:w="6350" w:type="dxa"/>
            <w:vAlign w:val="bottom"/>
            <w:hideMark/>
          </w:tcPr>
          <w:p w14:paraId="3473DB56" w14:textId="77777777" w:rsidR="00115BF4" w:rsidRPr="00701439" w:rsidRDefault="00115BF4" w:rsidP="00115BF4">
            <w:pPr>
              <w:pStyle w:val="NoSpacing"/>
              <w:jc w:val="both"/>
              <w:rPr>
                <w:sz w:val="20"/>
                <w:szCs w:val="20"/>
              </w:rPr>
            </w:pPr>
            <w:r w:rsidRPr="00701439">
              <w:rPr>
                <w:sz w:val="20"/>
                <w:szCs w:val="20"/>
              </w:rPr>
              <w:t>Period-end receivables</w:t>
            </w:r>
          </w:p>
        </w:tc>
        <w:tc>
          <w:tcPr>
            <w:tcW w:w="1134" w:type="dxa"/>
            <w:vAlign w:val="bottom"/>
          </w:tcPr>
          <w:p w14:paraId="5BB23C32" w14:textId="25A9A0D4" w:rsidR="00115BF4" w:rsidRPr="00701439" w:rsidRDefault="00B51D80" w:rsidP="00115BF4">
            <w:pPr>
              <w:pStyle w:val="NoSpacing"/>
              <w:jc w:val="center"/>
              <w:rPr>
                <w:sz w:val="20"/>
                <w:szCs w:val="20"/>
              </w:rPr>
            </w:pPr>
            <w:r w:rsidRPr="00701439">
              <w:rPr>
                <w:sz w:val="20"/>
                <w:szCs w:val="20"/>
              </w:rPr>
              <w:t>646</w:t>
            </w:r>
            <w:r w:rsidR="00115BF4" w:rsidRPr="00701439">
              <w:rPr>
                <w:sz w:val="20"/>
                <w:szCs w:val="20"/>
              </w:rPr>
              <w:t>.</w:t>
            </w:r>
            <w:r w:rsidRPr="00701439">
              <w:rPr>
                <w:sz w:val="20"/>
                <w:szCs w:val="20"/>
              </w:rPr>
              <w:t>1</w:t>
            </w:r>
          </w:p>
        </w:tc>
        <w:tc>
          <w:tcPr>
            <w:tcW w:w="1134" w:type="dxa"/>
            <w:vAlign w:val="bottom"/>
          </w:tcPr>
          <w:p w14:paraId="5FBC2EB7" w14:textId="16D3EB93" w:rsidR="00115BF4" w:rsidRPr="00701439" w:rsidRDefault="00115BF4" w:rsidP="00115BF4">
            <w:pPr>
              <w:pStyle w:val="NoSpacing"/>
              <w:jc w:val="center"/>
              <w:rPr>
                <w:sz w:val="20"/>
                <w:szCs w:val="20"/>
              </w:rPr>
            </w:pPr>
            <w:r w:rsidRPr="00701439">
              <w:rPr>
                <w:sz w:val="20"/>
                <w:szCs w:val="20"/>
              </w:rPr>
              <w:t>586.2</w:t>
            </w:r>
          </w:p>
        </w:tc>
        <w:tc>
          <w:tcPr>
            <w:tcW w:w="1134" w:type="dxa"/>
            <w:vAlign w:val="bottom"/>
          </w:tcPr>
          <w:p w14:paraId="5159198A" w14:textId="3C349ABE" w:rsidR="00115BF4" w:rsidRPr="00701439" w:rsidRDefault="00D30759" w:rsidP="00115BF4">
            <w:pPr>
              <w:pStyle w:val="NoSpacing"/>
              <w:jc w:val="center"/>
              <w:rPr>
                <w:i/>
                <w:sz w:val="20"/>
                <w:szCs w:val="20"/>
              </w:rPr>
            </w:pPr>
            <w:r w:rsidRPr="00701439">
              <w:rPr>
                <w:i/>
                <w:sz w:val="20"/>
                <w:szCs w:val="20"/>
              </w:rPr>
              <w:t>10</w:t>
            </w:r>
            <w:r w:rsidR="00115BF4" w:rsidRPr="00701439">
              <w:rPr>
                <w:i/>
                <w:sz w:val="20"/>
                <w:szCs w:val="20"/>
              </w:rPr>
              <w:t>.</w:t>
            </w:r>
            <w:r w:rsidRPr="00701439">
              <w:rPr>
                <w:i/>
                <w:sz w:val="20"/>
                <w:szCs w:val="20"/>
              </w:rPr>
              <w:t>2</w:t>
            </w:r>
            <w:r w:rsidR="00115BF4" w:rsidRPr="00701439">
              <w:rPr>
                <w:i/>
                <w:sz w:val="20"/>
                <w:szCs w:val="20"/>
              </w:rPr>
              <w:t>%</w:t>
            </w:r>
          </w:p>
        </w:tc>
      </w:tr>
      <w:tr w:rsidR="00115BF4" w:rsidRPr="00701439" w14:paraId="5ABD087E" w14:textId="77777777" w:rsidTr="00355BF8">
        <w:tc>
          <w:tcPr>
            <w:tcW w:w="6350" w:type="dxa"/>
            <w:tcBorders>
              <w:top w:val="nil"/>
              <w:left w:val="nil"/>
              <w:bottom w:val="single" w:sz="4" w:space="0" w:color="auto"/>
              <w:right w:val="nil"/>
            </w:tcBorders>
            <w:vAlign w:val="bottom"/>
            <w:hideMark/>
          </w:tcPr>
          <w:p w14:paraId="416E849E" w14:textId="22B47680" w:rsidR="00115BF4" w:rsidRPr="00701439" w:rsidRDefault="00115BF4" w:rsidP="00115BF4">
            <w:pPr>
              <w:pStyle w:val="NoSpacing"/>
              <w:jc w:val="both"/>
              <w:rPr>
                <w:sz w:val="20"/>
                <w:szCs w:val="20"/>
              </w:rPr>
            </w:pPr>
            <w:r w:rsidRPr="00701439">
              <w:rPr>
                <w:sz w:val="20"/>
                <w:szCs w:val="20"/>
              </w:rPr>
              <w:t>Average</w:t>
            </w:r>
            <w:r w:rsidR="007D649E" w:rsidRPr="00701439">
              <w:rPr>
                <w:sz w:val="20"/>
                <w:szCs w:val="20"/>
              </w:rPr>
              <w:t xml:space="preserve"> gross</w:t>
            </w:r>
            <w:r w:rsidRPr="00701439">
              <w:rPr>
                <w:sz w:val="20"/>
                <w:szCs w:val="20"/>
              </w:rPr>
              <w:t xml:space="preserve"> receivables</w:t>
            </w:r>
            <w:r w:rsidRPr="00701439">
              <w:rPr>
                <w:sz w:val="20"/>
                <w:szCs w:val="20"/>
                <w:vertAlign w:val="superscript"/>
              </w:rPr>
              <w:t>1</w:t>
            </w:r>
          </w:p>
        </w:tc>
        <w:tc>
          <w:tcPr>
            <w:tcW w:w="1134" w:type="dxa"/>
            <w:tcBorders>
              <w:top w:val="nil"/>
              <w:left w:val="nil"/>
              <w:bottom w:val="single" w:sz="4" w:space="0" w:color="auto"/>
              <w:right w:val="nil"/>
            </w:tcBorders>
            <w:shd w:val="clear" w:color="auto" w:fill="auto"/>
            <w:vAlign w:val="bottom"/>
          </w:tcPr>
          <w:p w14:paraId="47E26848" w14:textId="25163D65" w:rsidR="00115BF4" w:rsidRPr="00701439" w:rsidRDefault="00425319" w:rsidP="00115BF4">
            <w:pPr>
              <w:pStyle w:val="NoSpacing"/>
              <w:jc w:val="center"/>
              <w:rPr>
                <w:sz w:val="20"/>
                <w:szCs w:val="20"/>
              </w:rPr>
            </w:pPr>
            <w:r w:rsidRPr="00701439">
              <w:rPr>
                <w:sz w:val="20"/>
                <w:szCs w:val="20"/>
              </w:rPr>
              <w:t>6</w:t>
            </w:r>
            <w:r w:rsidR="00B1701E" w:rsidRPr="00701439">
              <w:rPr>
                <w:sz w:val="20"/>
                <w:szCs w:val="20"/>
              </w:rPr>
              <w:t>5</w:t>
            </w:r>
            <w:r w:rsidR="00AB5865" w:rsidRPr="00701439">
              <w:rPr>
                <w:sz w:val="20"/>
                <w:szCs w:val="20"/>
              </w:rPr>
              <w:t>6</w:t>
            </w:r>
            <w:r w:rsidR="00B1701E" w:rsidRPr="00701439">
              <w:rPr>
                <w:sz w:val="20"/>
                <w:szCs w:val="20"/>
              </w:rPr>
              <w:t>.</w:t>
            </w:r>
            <w:r w:rsidR="00AB5865" w:rsidRPr="00701439">
              <w:rPr>
                <w:sz w:val="20"/>
                <w:szCs w:val="20"/>
              </w:rPr>
              <w:t>6</w:t>
            </w:r>
          </w:p>
        </w:tc>
        <w:tc>
          <w:tcPr>
            <w:tcW w:w="1134" w:type="dxa"/>
            <w:tcBorders>
              <w:top w:val="nil"/>
              <w:left w:val="nil"/>
              <w:bottom w:val="single" w:sz="4" w:space="0" w:color="auto"/>
              <w:right w:val="nil"/>
            </w:tcBorders>
            <w:shd w:val="clear" w:color="auto" w:fill="auto"/>
            <w:vAlign w:val="bottom"/>
          </w:tcPr>
          <w:p w14:paraId="53C7658D" w14:textId="5420FF08" w:rsidR="00115BF4" w:rsidRPr="00701439" w:rsidRDefault="00B1701E" w:rsidP="00115BF4">
            <w:pPr>
              <w:pStyle w:val="NoSpacing"/>
              <w:jc w:val="center"/>
              <w:rPr>
                <w:sz w:val="20"/>
                <w:szCs w:val="20"/>
              </w:rPr>
            </w:pPr>
            <w:r w:rsidRPr="00701439">
              <w:rPr>
                <w:sz w:val="20"/>
                <w:szCs w:val="20"/>
              </w:rPr>
              <w:t>6</w:t>
            </w:r>
            <w:r w:rsidR="002C2931" w:rsidRPr="00701439">
              <w:rPr>
                <w:sz w:val="20"/>
                <w:szCs w:val="20"/>
              </w:rPr>
              <w:t>7</w:t>
            </w:r>
            <w:r w:rsidR="00BF3463" w:rsidRPr="00701439">
              <w:rPr>
                <w:sz w:val="20"/>
                <w:szCs w:val="20"/>
              </w:rPr>
              <w:t>1</w:t>
            </w:r>
            <w:r w:rsidRPr="00701439">
              <w:rPr>
                <w:sz w:val="20"/>
                <w:szCs w:val="20"/>
              </w:rPr>
              <w:t>.</w:t>
            </w:r>
            <w:r w:rsidR="002C2931" w:rsidRPr="00701439">
              <w:rPr>
                <w:sz w:val="20"/>
                <w:szCs w:val="20"/>
              </w:rPr>
              <w:t>1</w:t>
            </w:r>
          </w:p>
        </w:tc>
        <w:tc>
          <w:tcPr>
            <w:tcW w:w="1134" w:type="dxa"/>
            <w:tcBorders>
              <w:top w:val="nil"/>
              <w:left w:val="nil"/>
              <w:bottom w:val="single" w:sz="4" w:space="0" w:color="auto"/>
              <w:right w:val="nil"/>
            </w:tcBorders>
            <w:shd w:val="clear" w:color="auto" w:fill="auto"/>
            <w:vAlign w:val="bottom"/>
          </w:tcPr>
          <w:p w14:paraId="238FB26F" w14:textId="51E3D193" w:rsidR="00115BF4" w:rsidRPr="00701439" w:rsidRDefault="00F501CC" w:rsidP="00115BF4">
            <w:pPr>
              <w:pStyle w:val="NoSpacing"/>
              <w:jc w:val="center"/>
              <w:rPr>
                <w:i/>
                <w:sz w:val="20"/>
                <w:szCs w:val="20"/>
              </w:rPr>
            </w:pPr>
            <w:r w:rsidRPr="00701439">
              <w:rPr>
                <w:i/>
                <w:sz w:val="20"/>
                <w:szCs w:val="20"/>
              </w:rPr>
              <w:t>(2.2</w:t>
            </w:r>
            <w:r w:rsidR="00115BF4" w:rsidRPr="00701439">
              <w:rPr>
                <w:i/>
                <w:sz w:val="20"/>
                <w:szCs w:val="20"/>
              </w:rPr>
              <w:t>%</w:t>
            </w:r>
            <w:r w:rsidRPr="00701439">
              <w:rPr>
                <w:i/>
                <w:sz w:val="20"/>
                <w:szCs w:val="20"/>
              </w:rPr>
              <w:t>)</w:t>
            </w:r>
          </w:p>
        </w:tc>
      </w:tr>
      <w:tr w:rsidR="00F01EC8" w:rsidRPr="00701439" w14:paraId="62DBA2EF" w14:textId="77777777" w:rsidTr="00F01EC8">
        <w:tc>
          <w:tcPr>
            <w:tcW w:w="6350" w:type="dxa"/>
            <w:tcBorders>
              <w:top w:val="single" w:sz="4" w:space="0" w:color="auto"/>
              <w:left w:val="nil"/>
              <w:bottom w:val="nil"/>
              <w:right w:val="nil"/>
            </w:tcBorders>
            <w:vAlign w:val="bottom"/>
          </w:tcPr>
          <w:p w14:paraId="20FB9E25" w14:textId="77777777" w:rsidR="00F01EC8" w:rsidRPr="00701439" w:rsidRDefault="00F01EC8" w:rsidP="00E534C5">
            <w:pPr>
              <w:pStyle w:val="NoSpacing"/>
              <w:jc w:val="both"/>
              <w:rPr>
                <w:sz w:val="20"/>
                <w:szCs w:val="20"/>
              </w:rPr>
            </w:pPr>
          </w:p>
        </w:tc>
        <w:tc>
          <w:tcPr>
            <w:tcW w:w="1134" w:type="dxa"/>
            <w:tcBorders>
              <w:top w:val="single" w:sz="4" w:space="0" w:color="auto"/>
              <w:left w:val="nil"/>
              <w:bottom w:val="nil"/>
              <w:right w:val="nil"/>
            </w:tcBorders>
            <w:vAlign w:val="bottom"/>
          </w:tcPr>
          <w:p w14:paraId="6FEEB925" w14:textId="77777777" w:rsidR="00F01EC8" w:rsidRPr="00701439" w:rsidRDefault="00F01EC8" w:rsidP="00E534C5">
            <w:pPr>
              <w:pStyle w:val="NoSpacing"/>
              <w:jc w:val="center"/>
              <w:rPr>
                <w:sz w:val="20"/>
                <w:szCs w:val="20"/>
              </w:rPr>
            </w:pPr>
          </w:p>
        </w:tc>
        <w:tc>
          <w:tcPr>
            <w:tcW w:w="1134" w:type="dxa"/>
            <w:tcBorders>
              <w:top w:val="single" w:sz="4" w:space="0" w:color="auto"/>
              <w:left w:val="nil"/>
              <w:bottom w:val="nil"/>
              <w:right w:val="nil"/>
            </w:tcBorders>
            <w:vAlign w:val="bottom"/>
          </w:tcPr>
          <w:p w14:paraId="3441BA20" w14:textId="77777777" w:rsidR="00F01EC8" w:rsidRPr="00701439" w:rsidRDefault="00F01EC8" w:rsidP="00E534C5">
            <w:pPr>
              <w:pStyle w:val="NoSpacing"/>
              <w:jc w:val="center"/>
              <w:rPr>
                <w:sz w:val="20"/>
                <w:szCs w:val="20"/>
              </w:rPr>
            </w:pPr>
          </w:p>
        </w:tc>
        <w:tc>
          <w:tcPr>
            <w:tcW w:w="1134" w:type="dxa"/>
            <w:tcBorders>
              <w:top w:val="single" w:sz="4" w:space="0" w:color="auto"/>
              <w:left w:val="nil"/>
              <w:bottom w:val="nil"/>
              <w:right w:val="nil"/>
            </w:tcBorders>
            <w:vAlign w:val="bottom"/>
          </w:tcPr>
          <w:p w14:paraId="588E36DD" w14:textId="77777777" w:rsidR="00F01EC8" w:rsidRPr="00701439" w:rsidRDefault="00F01EC8" w:rsidP="00E534C5">
            <w:pPr>
              <w:pStyle w:val="NoSpacing"/>
              <w:jc w:val="center"/>
              <w:rPr>
                <w:i/>
                <w:sz w:val="20"/>
                <w:szCs w:val="20"/>
              </w:rPr>
            </w:pPr>
          </w:p>
        </w:tc>
      </w:tr>
      <w:tr w:rsidR="00166AB4" w:rsidRPr="00701439" w14:paraId="2AF421A2" w14:textId="77777777" w:rsidTr="00046EF2">
        <w:tc>
          <w:tcPr>
            <w:tcW w:w="6350" w:type="dxa"/>
            <w:vAlign w:val="bottom"/>
            <w:hideMark/>
          </w:tcPr>
          <w:p w14:paraId="1F06A52F" w14:textId="54C0791B" w:rsidR="00166AB4" w:rsidRPr="00701439" w:rsidRDefault="00115BF4" w:rsidP="00E534C5">
            <w:pPr>
              <w:pStyle w:val="NoSpacing"/>
              <w:jc w:val="both"/>
              <w:rPr>
                <w:b/>
                <w:sz w:val="20"/>
                <w:szCs w:val="20"/>
              </w:rPr>
            </w:pPr>
            <w:r w:rsidRPr="00701439">
              <w:rPr>
                <w:b/>
                <w:sz w:val="20"/>
                <w:szCs w:val="20"/>
              </w:rPr>
              <w:t>Interest income</w:t>
            </w:r>
          </w:p>
        </w:tc>
        <w:tc>
          <w:tcPr>
            <w:tcW w:w="1134" w:type="dxa"/>
            <w:vAlign w:val="bottom"/>
          </w:tcPr>
          <w:p w14:paraId="5CFBC74D" w14:textId="2C39FA9E" w:rsidR="00166AB4" w:rsidRPr="00701439" w:rsidRDefault="00BB4F26" w:rsidP="00E534C5">
            <w:pPr>
              <w:pStyle w:val="NoSpacing"/>
              <w:jc w:val="center"/>
              <w:rPr>
                <w:b/>
                <w:sz w:val="20"/>
                <w:szCs w:val="20"/>
              </w:rPr>
            </w:pPr>
            <w:r w:rsidRPr="00701439">
              <w:rPr>
                <w:b/>
                <w:sz w:val="20"/>
                <w:szCs w:val="20"/>
              </w:rPr>
              <w:t>1</w:t>
            </w:r>
            <w:r w:rsidR="00BD2F3F" w:rsidRPr="00701439">
              <w:rPr>
                <w:b/>
                <w:sz w:val="20"/>
                <w:szCs w:val="20"/>
              </w:rPr>
              <w:t>40.6</w:t>
            </w:r>
          </w:p>
        </w:tc>
        <w:tc>
          <w:tcPr>
            <w:tcW w:w="1134" w:type="dxa"/>
            <w:vAlign w:val="bottom"/>
          </w:tcPr>
          <w:p w14:paraId="4219BCE6" w14:textId="76F2F10C" w:rsidR="00166AB4" w:rsidRPr="00701439" w:rsidRDefault="00BB4F26" w:rsidP="00E534C5">
            <w:pPr>
              <w:pStyle w:val="NoSpacing"/>
              <w:jc w:val="center"/>
              <w:rPr>
                <w:b/>
                <w:sz w:val="20"/>
                <w:szCs w:val="20"/>
              </w:rPr>
            </w:pPr>
            <w:r w:rsidRPr="00701439">
              <w:rPr>
                <w:b/>
                <w:sz w:val="20"/>
                <w:szCs w:val="20"/>
              </w:rPr>
              <w:t>13</w:t>
            </w:r>
            <w:r w:rsidR="008F70BB" w:rsidRPr="00701439">
              <w:rPr>
                <w:b/>
                <w:sz w:val="20"/>
                <w:szCs w:val="20"/>
              </w:rPr>
              <w:t>7.9</w:t>
            </w:r>
          </w:p>
        </w:tc>
        <w:tc>
          <w:tcPr>
            <w:tcW w:w="1134" w:type="dxa"/>
            <w:vAlign w:val="bottom"/>
          </w:tcPr>
          <w:p w14:paraId="70709AEB" w14:textId="1ADEE679" w:rsidR="00166AB4" w:rsidRPr="00701439" w:rsidRDefault="000048E9" w:rsidP="00E534C5">
            <w:pPr>
              <w:pStyle w:val="NoSpacing"/>
              <w:jc w:val="center"/>
              <w:rPr>
                <w:b/>
                <w:i/>
                <w:sz w:val="20"/>
                <w:szCs w:val="20"/>
              </w:rPr>
            </w:pPr>
            <w:r w:rsidRPr="00701439">
              <w:rPr>
                <w:b/>
                <w:i/>
                <w:sz w:val="20"/>
                <w:szCs w:val="20"/>
              </w:rPr>
              <w:t>2.</w:t>
            </w:r>
            <w:r w:rsidR="002E1007" w:rsidRPr="00701439">
              <w:rPr>
                <w:b/>
                <w:i/>
                <w:sz w:val="20"/>
                <w:szCs w:val="20"/>
              </w:rPr>
              <w:t>0</w:t>
            </w:r>
            <w:r w:rsidRPr="00701439">
              <w:rPr>
                <w:b/>
                <w:i/>
                <w:sz w:val="20"/>
                <w:szCs w:val="20"/>
              </w:rPr>
              <w:t>%</w:t>
            </w:r>
          </w:p>
        </w:tc>
      </w:tr>
      <w:tr w:rsidR="00166AB4" w:rsidRPr="00701439" w14:paraId="11218962" w14:textId="77777777" w:rsidTr="000328C7">
        <w:tc>
          <w:tcPr>
            <w:tcW w:w="6350" w:type="dxa"/>
            <w:tcBorders>
              <w:top w:val="nil"/>
              <w:left w:val="nil"/>
              <w:bottom w:val="single" w:sz="4" w:space="0" w:color="auto"/>
              <w:right w:val="nil"/>
            </w:tcBorders>
            <w:vAlign w:val="bottom"/>
            <w:hideMark/>
          </w:tcPr>
          <w:p w14:paraId="72BB0BDB" w14:textId="488DDB60" w:rsidR="00166AB4" w:rsidRPr="00701439" w:rsidRDefault="00166AB4" w:rsidP="00E534C5">
            <w:pPr>
              <w:pStyle w:val="NoSpacing"/>
              <w:jc w:val="both"/>
              <w:rPr>
                <w:sz w:val="20"/>
                <w:szCs w:val="20"/>
              </w:rPr>
            </w:pPr>
            <w:r w:rsidRPr="00701439">
              <w:rPr>
                <w:sz w:val="20"/>
                <w:szCs w:val="20"/>
              </w:rPr>
              <w:t>Interest</w:t>
            </w:r>
            <w:r w:rsidR="00115BF4" w:rsidRPr="00701439">
              <w:rPr>
                <w:sz w:val="20"/>
                <w:szCs w:val="20"/>
              </w:rPr>
              <w:t xml:space="preserve"> expense</w:t>
            </w:r>
          </w:p>
        </w:tc>
        <w:tc>
          <w:tcPr>
            <w:tcW w:w="1134" w:type="dxa"/>
            <w:tcBorders>
              <w:top w:val="nil"/>
              <w:left w:val="nil"/>
              <w:bottom w:val="single" w:sz="4" w:space="0" w:color="auto"/>
              <w:right w:val="nil"/>
            </w:tcBorders>
            <w:vAlign w:val="bottom"/>
          </w:tcPr>
          <w:p w14:paraId="0CC2BFC1" w14:textId="70654BDD" w:rsidR="00166AB4" w:rsidRPr="00701439" w:rsidRDefault="00BB4F26" w:rsidP="00E534C5">
            <w:pPr>
              <w:pStyle w:val="NoSpacing"/>
              <w:jc w:val="center"/>
              <w:rPr>
                <w:sz w:val="20"/>
                <w:szCs w:val="20"/>
              </w:rPr>
            </w:pPr>
            <w:r w:rsidRPr="00701439">
              <w:rPr>
                <w:sz w:val="20"/>
                <w:szCs w:val="20"/>
              </w:rPr>
              <w:t>(2</w:t>
            </w:r>
            <w:r w:rsidR="00BD2F3F" w:rsidRPr="00701439">
              <w:rPr>
                <w:sz w:val="20"/>
                <w:szCs w:val="20"/>
              </w:rPr>
              <w:t>2</w:t>
            </w:r>
            <w:r w:rsidRPr="00701439">
              <w:rPr>
                <w:sz w:val="20"/>
                <w:szCs w:val="20"/>
              </w:rPr>
              <w:t>.1)</w:t>
            </w:r>
          </w:p>
        </w:tc>
        <w:tc>
          <w:tcPr>
            <w:tcW w:w="1134" w:type="dxa"/>
            <w:tcBorders>
              <w:top w:val="nil"/>
              <w:left w:val="nil"/>
              <w:bottom w:val="single" w:sz="4" w:space="0" w:color="auto"/>
              <w:right w:val="nil"/>
            </w:tcBorders>
            <w:vAlign w:val="bottom"/>
          </w:tcPr>
          <w:p w14:paraId="264317DF" w14:textId="61165D4E" w:rsidR="00166AB4" w:rsidRPr="00701439" w:rsidRDefault="00BB4F26" w:rsidP="00E534C5">
            <w:pPr>
              <w:pStyle w:val="NoSpacing"/>
              <w:jc w:val="center"/>
              <w:rPr>
                <w:sz w:val="20"/>
                <w:szCs w:val="20"/>
              </w:rPr>
            </w:pPr>
            <w:r w:rsidRPr="00701439">
              <w:rPr>
                <w:sz w:val="20"/>
                <w:szCs w:val="20"/>
              </w:rPr>
              <w:t>(2</w:t>
            </w:r>
            <w:r w:rsidR="00DE6570" w:rsidRPr="00701439">
              <w:rPr>
                <w:sz w:val="20"/>
                <w:szCs w:val="20"/>
              </w:rPr>
              <w:t>7.1</w:t>
            </w:r>
            <w:r w:rsidRPr="00701439">
              <w:rPr>
                <w:sz w:val="20"/>
                <w:szCs w:val="20"/>
              </w:rPr>
              <w:t>)</w:t>
            </w:r>
          </w:p>
        </w:tc>
        <w:tc>
          <w:tcPr>
            <w:tcW w:w="1134" w:type="dxa"/>
            <w:tcBorders>
              <w:top w:val="nil"/>
              <w:left w:val="nil"/>
              <w:bottom w:val="single" w:sz="4" w:space="0" w:color="auto"/>
              <w:right w:val="nil"/>
            </w:tcBorders>
            <w:vAlign w:val="bottom"/>
          </w:tcPr>
          <w:p w14:paraId="76F787CC" w14:textId="0A000ACB" w:rsidR="00166AB4" w:rsidRPr="00701439" w:rsidRDefault="006B2612" w:rsidP="004B075F">
            <w:pPr>
              <w:pStyle w:val="NoSpacing"/>
              <w:jc w:val="center"/>
              <w:rPr>
                <w:i/>
                <w:sz w:val="20"/>
                <w:szCs w:val="20"/>
              </w:rPr>
            </w:pPr>
            <w:r w:rsidRPr="00701439">
              <w:rPr>
                <w:i/>
                <w:sz w:val="20"/>
                <w:szCs w:val="20"/>
              </w:rPr>
              <w:t>(1</w:t>
            </w:r>
            <w:r w:rsidR="00FD790C" w:rsidRPr="00701439">
              <w:rPr>
                <w:i/>
                <w:sz w:val="20"/>
                <w:szCs w:val="20"/>
              </w:rPr>
              <w:t>8</w:t>
            </w:r>
            <w:r w:rsidRPr="00701439">
              <w:rPr>
                <w:i/>
                <w:sz w:val="20"/>
                <w:szCs w:val="20"/>
              </w:rPr>
              <w:t>.</w:t>
            </w:r>
            <w:r w:rsidR="00C61D48" w:rsidRPr="00701439">
              <w:rPr>
                <w:i/>
                <w:sz w:val="20"/>
                <w:szCs w:val="20"/>
              </w:rPr>
              <w:t>5</w:t>
            </w:r>
            <w:r w:rsidRPr="00701439">
              <w:rPr>
                <w:i/>
                <w:sz w:val="20"/>
                <w:szCs w:val="20"/>
              </w:rPr>
              <w:t>%)</w:t>
            </w:r>
          </w:p>
        </w:tc>
      </w:tr>
      <w:tr w:rsidR="00166AB4" w:rsidRPr="00701439" w14:paraId="71C38A31" w14:textId="77777777" w:rsidTr="000328C7">
        <w:tc>
          <w:tcPr>
            <w:tcW w:w="6350" w:type="dxa"/>
            <w:tcBorders>
              <w:top w:val="single" w:sz="4" w:space="0" w:color="auto"/>
              <w:left w:val="nil"/>
              <w:right w:val="nil"/>
            </w:tcBorders>
            <w:vAlign w:val="bottom"/>
            <w:hideMark/>
          </w:tcPr>
          <w:p w14:paraId="4EA03A36" w14:textId="32067498" w:rsidR="00166AB4" w:rsidRPr="00701439" w:rsidRDefault="00166AB4" w:rsidP="00E534C5">
            <w:pPr>
              <w:pStyle w:val="NoSpacing"/>
              <w:jc w:val="both"/>
              <w:rPr>
                <w:b/>
                <w:sz w:val="20"/>
                <w:szCs w:val="20"/>
              </w:rPr>
            </w:pPr>
            <w:r w:rsidRPr="00701439">
              <w:rPr>
                <w:b/>
                <w:sz w:val="20"/>
                <w:szCs w:val="20"/>
              </w:rPr>
              <w:t>Net interest</w:t>
            </w:r>
            <w:r w:rsidR="005224C1" w:rsidRPr="00701439">
              <w:rPr>
                <w:b/>
                <w:sz w:val="20"/>
                <w:szCs w:val="20"/>
              </w:rPr>
              <w:t xml:space="preserve"> income</w:t>
            </w:r>
          </w:p>
        </w:tc>
        <w:tc>
          <w:tcPr>
            <w:tcW w:w="1134" w:type="dxa"/>
            <w:tcBorders>
              <w:top w:val="single" w:sz="4" w:space="0" w:color="auto"/>
              <w:left w:val="nil"/>
              <w:right w:val="nil"/>
            </w:tcBorders>
            <w:vAlign w:val="bottom"/>
          </w:tcPr>
          <w:p w14:paraId="73E5F9A3" w14:textId="2D722235" w:rsidR="00166AB4" w:rsidRPr="00701439" w:rsidRDefault="00BB4F26" w:rsidP="00E534C5">
            <w:pPr>
              <w:pStyle w:val="NoSpacing"/>
              <w:jc w:val="center"/>
              <w:rPr>
                <w:b/>
                <w:sz w:val="20"/>
                <w:szCs w:val="20"/>
              </w:rPr>
            </w:pPr>
            <w:r w:rsidRPr="00701439">
              <w:rPr>
                <w:b/>
                <w:sz w:val="20"/>
                <w:szCs w:val="20"/>
              </w:rPr>
              <w:t>1</w:t>
            </w:r>
            <w:r w:rsidR="000048E9" w:rsidRPr="00701439">
              <w:rPr>
                <w:b/>
                <w:sz w:val="20"/>
                <w:szCs w:val="20"/>
              </w:rPr>
              <w:t>1</w:t>
            </w:r>
            <w:r w:rsidR="000B666C" w:rsidRPr="00701439">
              <w:rPr>
                <w:b/>
                <w:sz w:val="20"/>
                <w:szCs w:val="20"/>
              </w:rPr>
              <w:t>8.5</w:t>
            </w:r>
          </w:p>
        </w:tc>
        <w:tc>
          <w:tcPr>
            <w:tcW w:w="1134" w:type="dxa"/>
            <w:tcBorders>
              <w:top w:val="single" w:sz="4" w:space="0" w:color="auto"/>
              <w:left w:val="nil"/>
              <w:right w:val="nil"/>
            </w:tcBorders>
            <w:vAlign w:val="bottom"/>
          </w:tcPr>
          <w:p w14:paraId="58A6E21E" w14:textId="3CB3BD57" w:rsidR="00166AB4" w:rsidRPr="00701439" w:rsidRDefault="00BB4F26" w:rsidP="00E534C5">
            <w:pPr>
              <w:pStyle w:val="NoSpacing"/>
              <w:jc w:val="center"/>
              <w:rPr>
                <w:b/>
                <w:sz w:val="20"/>
                <w:szCs w:val="20"/>
              </w:rPr>
            </w:pPr>
            <w:r w:rsidRPr="00701439">
              <w:rPr>
                <w:b/>
                <w:sz w:val="20"/>
                <w:szCs w:val="20"/>
              </w:rPr>
              <w:t>1</w:t>
            </w:r>
            <w:r w:rsidR="00DE6570" w:rsidRPr="00701439">
              <w:rPr>
                <w:b/>
                <w:sz w:val="20"/>
                <w:szCs w:val="20"/>
              </w:rPr>
              <w:t>10.8</w:t>
            </w:r>
          </w:p>
        </w:tc>
        <w:tc>
          <w:tcPr>
            <w:tcW w:w="1134" w:type="dxa"/>
            <w:tcBorders>
              <w:top w:val="single" w:sz="4" w:space="0" w:color="auto"/>
              <w:left w:val="nil"/>
              <w:right w:val="nil"/>
            </w:tcBorders>
            <w:vAlign w:val="bottom"/>
          </w:tcPr>
          <w:p w14:paraId="153D7523" w14:textId="1BF8C561" w:rsidR="00166AB4" w:rsidRPr="00701439" w:rsidRDefault="00100A80" w:rsidP="00E534C5">
            <w:pPr>
              <w:pStyle w:val="NoSpacing"/>
              <w:jc w:val="center"/>
              <w:rPr>
                <w:b/>
                <w:i/>
                <w:sz w:val="20"/>
                <w:szCs w:val="20"/>
              </w:rPr>
            </w:pPr>
            <w:r w:rsidRPr="00701439">
              <w:rPr>
                <w:b/>
                <w:i/>
                <w:sz w:val="20"/>
                <w:szCs w:val="20"/>
              </w:rPr>
              <w:t>6</w:t>
            </w:r>
            <w:r w:rsidR="000048E9" w:rsidRPr="00701439">
              <w:rPr>
                <w:b/>
                <w:i/>
                <w:sz w:val="20"/>
                <w:szCs w:val="20"/>
              </w:rPr>
              <w:t>.</w:t>
            </w:r>
            <w:r w:rsidRPr="00701439">
              <w:rPr>
                <w:b/>
                <w:i/>
                <w:sz w:val="20"/>
                <w:szCs w:val="20"/>
              </w:rPr>
              <w:t>9</w:t>
            </w:r>
            <w:r w:rsidR="000048E9" w:rsidRPr="00701439">
              <w:rPr>
                <w:b/>
                <w:i/>
                <w:sz w:val="20"/>
                <w:szCs w:val="20"/>
              </w:rPr>
              <w:t>%</w:t>
            </w:r>
          </w:p>
        </w:tc>
      </w:tr>
      <w:tr w:rsidR="005224C1" w:rsidRPr="00701439" w14:paraId="50DD6E40" w14:textId="77777777" w:rsidTr="00901C83">
        <w:tc>
          <w:tcPr>
            <w:tcW w:w="6350" w:type="dxa"/>
            <w:tcBorders>
              <w:top w:val="single" w:sz="4" w:space="0" w:color="auto"/>
              <w:left w:val="nil"/>
              <w:bottom w:val="nil"/>
              <w:right w:val="nil"/>
            </w:tcBorders>
            <w:vAlign w:val="bottom"/>
          </w:tcPr>
          <w:p w14:paraId="6082B66A" w14:textId="770E5881" w:rsidR="005224C1" w:rsidRPr="00701439" w:rsidRDefault="001135C7" w:rsidP="00E534C5">
            <w:pPr>
              <w:pStyle w:val="NoSpacing"/>
              <w:jc w:val="both"/>
              <w:rPr>
                <w:b/>
                <w:sz w:val="20"/>
                <w:szCs w:val="20"/>
              </w:rPr>
            </w:pPr>
            <w:r w:rsidRPr="00701439">
              <w:rPr>
                <w:b/>
                <w:sz w:val="20"/>
                <w:szCs w:val="20"/>
              </w:rPr>
              <w:t>Total income</w:t>
            </w:r>
          </w:p>
        </w:tc>
        <w:tc>
          <w:tcPr>
            <w:tcW w:w="1134" w:type="dxa"/>
            <w:tcBorders>
              <w:top w:val="single" w:sz="4" w:space="0" w:color="auto"/>
              <w:left w:val="nil"/>
              <w:bottom w:val="nil"/>
              <w:right w:val="nil"/>
            </w:tcBorders>
            <w:vAlign w:val="bottom"/>
          </w:tcPr>
          <w:p w14:paraId="119CE2D1" w14:textId="24971E6A" w:rsidR="005224C1" w:rsidRPr="00701439" w:rsidRDefault="005B3BEB" w:rsidP="00E534C5">
            <w:pPr>
              <w:pStyle w:val="NoSpacing"/>
              <w:jc w:val="center"/>
              <w:rPr>
                <w:b/>
                <w:sz w:val="20"/>
                <w:szCs w:val="20"/>
              </w:rPr>
            </w:pPr>
            <w:r w:rsidRPr="00701439">
              <w:rPr>
                <w:b/>
                <w:sz w:val="20"/>
                <w:szCs w:val="20"/>
              </w:rPr>
              <w:t>118.5</w:t>
            </w:r>
          </w:p>
        </w:tc>
        <w:tc>
          <w:tcPr>
            <w:tcW w:w="1134" w:type="dxa"/>
            <w:tcBorders>
              <w:top w:val="single" w:sz="4" w:space="0" w:color="auto"/>
              <w:left w:val="nil"/>
              <w:bottom w:val="nil"/>
              <w:right w:val="nil"/>
            </w:tcBorders>
            <w:vAlign w:val="bottom"/>
          </w:tcPr>
          <w:p w14:paraId="4AB62B64" w14:textId="56738F71" w:rsidR="005224C1" w:rsidRPr="00701439" w:rsidRDefault="00944899" w:rsidP="00E534C5">
            <w:pPr>
              <w:pStyle w:val="NoSpacing"/>
              <w:jc w:val="center"/>
              <w:rPr>
                <w:b/>
                <w:sz w:val="20"/>
                <w:szCs w:val="20"/>
              </w:rPr>
            </w:pPr>
            <w:r w:rsidRPr="00701439">
              <w:rPr>
                <w:b/>
                <w:sz w:val="20"/>
                <w:szCs w:val="20"/>
              </w:rPr>
              <w:t>110.8</w:t>
            </w:r>
          </w:p>
        </w:tc>
        <w:tc>
          <w:tcPr>
            <w:tcW w:w="1134" w:type="dxa"/>
            <w:tcBorders>
              <w:top w:val="single" w:sz="4" w:space="0" w:color="auto"/>
              <w:left w:val="nil"/>
              <w:bottom w:val="nil"/>
              <w:right w:val="nil"/>
            </w:tcBorders>
            <w:vAlign w:val="bottom"/>
          </w:tcPr>
          <w:p w14:paraId="49AB6F66" w14:textId="4AB35A58" w:rsidR="005224C1" w:rsidRPr="00701439" w:rsidRDefault="005B3BEB" w:rsidP="00E534C5">
            <w:pPr>
              <w:pStyle w:val="NoSpacing"/>
              <w:jc w:val="center"/>
              <w:rPr>
                <w:b/>
                <w:i/>
                <w:sz w:val="20"/>
                <w:szCs w:val="20"/>
              </w:rPr>
            </w:pPr>
            <w:r w:rsidRPr="00701439">
              <w:rPr>
                <w:b/>
                <w:i/>
                <w:sz w:val="20"/>
                <w:szCs w:val="20"/>
              </w:rPr>
              <w:t>6.9%</w:t>
            </w:r>
          </w:p>
        </w:tc>
      </w:tr>
      <w:tr w:rsidR="00166AB4" w:rsidRPr="00701439" w14:paraId="38688BBD" w14:textId="77777777" w:rsidTr="00901C83">
        <w:tc>
          <w:tcPr>
            <w:tcW w:w="6350" w:type="dxa"/>
            <w:tcBorders>
              <w:top w:val="nil"/>
              <w:left w:val="nil"/>
              <w:bottom w:val="single" w:sz="4" w:space="0" w:color="auto"/>
              <w:right w:val="nil"/>
            </w:tcBorders>
            <w:vAlign w:val="bottom"/>
            <w:hideMark/>
          </w:tcPr>
          <w:p w14:paraId="759968C4" w14:textId="6D8BFE34" w:rsidR="00166AB4" w:rsidRPr="00701439" w:rsidRDefault="00166AB4" w:rsidP="00E534C5">
            <w:pPr>
              <w:pStyle w:val="NoSpacing"/>
              <w:jc w:val="both"/>
              <w:rPr>
                <w:sz w:val="20"/>
                <w:szCs w:val="20"/>
              </w:rPr>
            </w:pPr>
            <w:r w:rsidRPr="00701439">
              <w:rPr>
                <w:sz w:val="20"/>
                <w:szCs w:val="20"/>
              </w:rPr>
              <w:t>Impairment</w:t>
            </w:r>
            <w:r w:rsidR="001135C7" w:rsidRPr="00701439">
              <w:rPr>
                <w:sz w:val="20"/>
                <w:szCs w:val="20"/>
              </w:rPr>
              <w:t xml:space="preserve"> charges</w:t>
            </w:r>
          </w:p>
        </w:tc>
        <w:tc>
          <w:tcPr>
            <w:tcW w:w="1134" w:type="dxa"/>
            <w:tcBorders>
              <w:top w:val="nil"/>
              <w:left w:val="nil"/>
              <w:bottom w:val="single" w:sz="4" w:space="0" w:color="auto"/>
              <w:right w:val="nil"/>
            </w:tcBorders>
            <w:vAlign w:val="bottom"/>
          </w:tcPr>
          <w:p w14:paraId="195527DC" w14:textId="3F415E26" w:rsidR="00166AB4" w:rsidRPr="00701439" w:rsidRDefault="00BB4F26" w:rsidP="00E534C5">
            <w:pPr>
              <w:pStyle w:val="NoSpacing"/>
              <w:jc w:val="center"/>
              <w:rPr>
                <w:sz w:val="20"/>
                <w:szCs w:val="20"/>
              </w:rPr>
            </w:pPr>
            <w:r w:rsidRPr="00701439">
              <w:rPr>
                <w:sz w:val="20"/>
                <w:szCs w:val="20"/>
              </w:rPr>
              <w:t>(</w:t>
            </w:r>
            <w:r w:rsidR="000048E9" w:rsidRPr="00701439">
              <w:rPr>
                <w:sz w:val="20"/>
                <w:szCs w:val="20"/>
              </w:rPr>
              <w:t>4</w:t>
            </w:r>
            <w:r w:rsidR="00801B70" w:rsidRPr="00701439">
              <w:rPr>
                <w:sz w:val="20"/>
                <w:szCs w:val="20"/>
              </w:rPr>
              <w:t>0</w:t>
            </w:r>
            <w:r w:rsidR="000048E9" w:rsidRPr="00701439">
              <w:rPr>
                <w:sz w:val="20"/>
                <w:szCs w:val="20"/>
              </w:rPr>
              <w:t>.</w:t>
            </w:r>
            <w:r w:rsidR="00801B70" w:rsidRPr="00701439">
              <w:rPr>
                <w:sz w:val="20"/>
                <w:szCs w:val="20"/>
              </w:rPr>
              <w:t>8</w:t>
            </w:r>
            <w:r w:rsidRPr="00701439">
              <w:rPr>
                <w:sz w:val="20"/>
                <w:szCs w:val="20"/>
              </w:rPr>
              <w:t>)</w:t>
            </w:r>
          </w:p>
        </w:tc>
        <w:tc>
          <w:tcPr>
            <w:tcW w:w="1134" w:type="dxa"/>
            <w:tcBorders>
              <w:top w:val="nil"/>
              <w:left w:val="nil"/>
              <w:bottom w:val="single" w:sz="4" w:space="0" w:color="auto"/>
              <w:right w:val="nil"/>
            </w:tcBorders>
            <w:vAlign w:val="bottom"/>
          </w:tcPr>
          <w:p w14:paraId="72E6D1C0" w14:textId="2A52BDEA" w:rsidR="00166AB4" w:rsidRPr="00701439" w:rsidRDefault="00BB4F26" w:rsidP="00E534C5">
            <w:pPr>
              <w:pStyle w:val="NoSpacing"/>
              <w:jc w:val="center"/>
              <w:rPr>
                <w:sz w:val="20"/>
                <w:szCs w:val="20"/>
              </w:rPr>
            </w:pPr>
            <w:r w:rsidRPr="00701439">
              <w:rPr>
                <w:sz w:val="20"/>
                <w:szCs w:val="20"/>
              </w:rPr>
              <w:t>(</w:t>
            </w:r>
            <w:r w:rsidR="00DE6570" w:rsidRPr="00701439">
              <w:rPr>
                <w:sz w:val="20"/>
                <w:szCs w:val="20"/>
              </w:rPr>
              <w:t>44.6</w:t>
            </w:r>
            <w:r w:rsidRPr="00701439">
              <w:rPr>
                <w:sz w:val="20"/>
                <w:szCs w:val="20"/>
              </w:rPr>
              <w:t>)</w:t>
            </w:r>
          </w:p>
        </w:tc>
        <w:tc>
          <w:tcPr>
            <w:tcW w:w="1134" w:type="dxa"/>
            <w:tcBorders>
              <w:top w:val="nil"/>
              <w:left w:val="nil"/>
              <w:bottom w:val="single" w:sz="4" w:space="0" w:color="auto"/>
              <w:right w:val="nil"/>
            </w:tcBorders>
            <w:vAlign w:val="bottom"/>
          </w:tcPr>
          <w:p w14:paraId="1C09A0BF" w14:textId="39EB9E1D" w:rsidR="00166AB4" w:rsidRPr="00701439" w:rsidRDefault="00E61644" w:rsidP="00E534C5">
            <w:pPr>
              <w:pStyle w:val="NoSpacing"/>
              <w:jc w:val="center"/>
              <w:rPr>
                <w:i/>
                <w:sz w:val="20"/>
                <w:szCs w:val="20"/>
              </w:rPr>
            </w:pPr>
            <w:r w:rsidRPr="00701439">
              <w:rPr>
                <w:i/>
                <w:sz w:val="20"/>
                <w:szCs w:val="20"/>
              </w:rPr>
              <w:t>(</w:t>
            </w:r>
            <w:r w:rsidR="00E3042A" w:rsidRPr="00701439">
              <w:rPr>
                <w:i/>
                <w:sz w:val="20"/>
                <w:szCs w:val="20"/>
              </w:rPr>
              <w:t>8</w:t>
            </w:r>
            <w:r w:rsidR="000048E9" w:rsidRPr="00701439">
              <w:rPr>
                <w:i/>
                <w:sz w:val="20"/>
                <w:szCs w:val="20"/>
              </w:rPr>
              <w:t>.</w:t>
            </w:r>
            <w:r w:rsidR="00E3042A" w:rsidRPr="00701439">
              <w:rPr>
                <w:i/>
                <w:sz w:val="20"/>
                <w:szCs w:val="20"/>
              </w:rPr>
              <w:t>5</w:t>
            </w:r>
            <w:r w:rsidR="006B2612" w:rsidRPr="00701439">
              <w:rPr>
                <w:i/>
                <w:sz w:val="20"/>
                <w:szCs w:val="20"/>
              </w:rPr>
              <w:t>%</w:t>
            </w:r>
            <w:r w:rsidR="00E3042A" w:rsidRPr="00701439">
              <w:rPr>
                <w:i/>
                <w:sz w:val="20"/>
                <w:szCs w:val="20"/>
              </w:rPr>
              <w:t>)</w:t>
            </w:r>
          </w:p>
        </w:tc>
      </w:tr>
      <w:tr w:rsidR="00166AB4" w:rsidRPr="00701439" w14:paraId="5E3D5C8A" w14:textId="77777777" w:rsidTr="00901C83">
        <w:tc>
          <w:tcPr>
            <w:tcW w:w="6350" w:type="dxa"/>
            <w:tcBorders>
              <w:top w:val="single" w:sz="4" w:space="0" w:color="auto"/>
              <w:left w:val="nil"/>
              <w:bottom w:val="nil"/>
              <w:right w:val="nil"/>
            </w:tcBorders>
            <w:vAlign w:val="bottom"/>
            <w:hideMark/>
          </w:tcPr>
          <w:p w14:paraId="1DC5AF06" w14:textId="434C8802" w:rsidR="00166AB4" w:rsidRPr="00701439" w:rsidRDefault="00166AB4" w:rsidP="00E534C5">
            <w:pPr>
              <w:pStyle w:val="NoSpacing"/>
              <w:jc w:val="both"/>
              <w:rPr>
                <w:b/>
                <w:sz w:val="20"/>
                <w:szCs w:val="20"/>
              </w:rPr>
            </w:pPr>
            <w:r w:rsidRPr="00701439">
              <w:rPr>
                <w:b/>
                <w:sz w:val="20"/>
                <w:szCs w:val="20"/>
              </w:rPr>
              <w:t xml:space="preserve">Risk-adjusted </w:t>
            </w:r>
            <w:r w:rsidR="001135C7" w:rsidRPr="00701439">
              <w:rPr>
                <w:b/>
                <w:sz w:val="20"/>
                <w:szCs w:val="20"/>
              </w:rPr>
              <w:t>income</w:t>
            </w:r>
          </w:p>
        </w:tc>
        <w:tc>
          <w:tcPr>
            <w:tcW w:w="1134" w:type="dxa"/>
            <w:tcBorders>
              <w:top w:val="single" w:sz="4" w:space="0" w:color="auto"/>
              <w:left w:val="nil"/>
              <w:bottom w:val="nil"/>
              <w:right w:val="nil"/>
            </w:tcBorders>
            <w:vAlign w:val="bottom"/>
          </w:tcPr>
          <w:p w14:paraId="43D83918" w14:textId="56BBC31D" w:rsidR="00166AB4" w:rsidRPr="00701439" w:rsidRDefault="00801B70" w:rsidP="00E534C5">
            <w:pPr>
              <w:pStyle w:val="NoSpacing"/>
              <w:jc w:val="center"/>
              <w:rPr>
                <w:b/>
                <w:sz w:val="20"/>
                <w:szCs w:val="20"/>
              </w:rPr>
            </w:pPr>
            <w:r w:rsidRPr="00701439">
              <w:rPr>
                <w:b/>
                <w:sz w:val="20"/>
                <w:szCs w:val="20"/>
              </w:rPr>
              <w:t>77</w:t>
            </w:r>
            <w:r w:rsidR="00FA060F" w:rsidRPr="00701439">
              <w:rPr>
                <w:b/>
                <w:sz w:val="20"/>
                <w:szCs w:val="20"/>
              </w:rPr>
              <w:t>.</w:t>
            </w:r>
            <w:r w:rsidRPr="00701439">
              <w:rPr>
                <w:b/>
                <w:sz w:val="20"/>
                <w:szCs w:val="20"/>
              </w:rPr>
              <w:t>7</w:t>
            </w:r>
          </w:p>
        </w:tc>
        <w:tc>
          <w:tcPr>
            <w:tcW w:w="1134" w:type="dxa"/>
            <w:tcBorders>
              <w:top w:val="single" w:sz="4" w:space="0" w:color="auto"/>
              <w:left w:val="nil"/>
              <w:bottom w:val="nil"/>
              <w:right w:val="nil"/>
            </w:tcBorders>
            <w:vAlign w:val="bottom"/>
          </w:tcPr>
          <w:p w14:paraId="5913253C" w14:textId="6A0A91EF" w:rsidR="00166AB4" w:rsidRPr="00701439" w:rsidRDefault="00EF6122" w:rsidP="00E534C5">
            <w:pPr>
              <w:pStyle w:val="NoSpacing"/>
              <w:jc w:val="center"/>
              <w:rPr>
                <w:b/>
                <w:sz w:val="20"/>
                <w:szCs w:val="20"/>
              </w:rPr>
            </w:pPr>
            <w:r w:rsidRPr="00701439">
              <w:rPr>
                <w:b/>
                <w:sz w:val="20"/>
                <w:szCs w:val="20"/>
              </w:rPr>
              <w:t>66.2</w:t>
            </w:r>
          </w:p>
        </w:tc>
        <w:tc>
          <w:tcPr>
            <w:tcW w:w="1134" w:type="dxa"/>
            <w:tcBorders>
              <w:top w:val="single" w:sz="4" w:space="0" w:color="auto"/>
              <w:left w:val="nil"/>
              <w:bottom w:val="nil"/>
              <w:right w:val="nil"/>
            </w:tcBorders>
            <w:vAlign w:val="bottom"/>
          </w:tcPr>
          <w:p w14:paraId="4E884EA1" w14:textId="4A834A7B" w:rsidR="00166AB4" w:rsidRPr="00701439" w:rsidRDefault="00313922" w:rsidP="00E534C5">
            <w:pPr>
              <w:pStyle w:val="NoSpacing"/>
              <w:jc w:val="center"/>
              <w:rPr>
                <w:b/>
                <w:i/>
                <w:sz w:val="20"/>
                <w:szCs w:val="20"/>
              </w:rPr>
            </w:pPr>
            <w:r w:rsidRPr="00701439">
              <w:rPr>
                <w:b/>
                <w:i/>
                <w:sz w:val="20"/>
                <w:szCs w:val="20"/>
              </w:rPr>
              <w:t>17</w:t>
            </w:r>
            <w:r w:rsidR="00FA060F" w:rsidRPr="00701439">
              <w:rPr>
                <w:b/>
                <w:i/>
                <w:sz w:val="20"/>
                <w:szCs w:val="20"/>
              </w:rPr>
              <w:t>.4</w:t>
            </w:r>
            <w:r w:rsidR="006B2612" w:rsidRPr="00701439">
              <w:rPr>
                <w:b/>
                <w:i/>
                <w:sz w:val="20"/>
                <w:szCs w:val="20"/>
              </w:rPr>
              <w:t>%</w:t>
            </w:r>
          </w:p>
        </w:tc>
      </w:tr>
      <w:tr w:rsidR="00166AB4" w:rsidRPr="00701439" w14:paraId="29519C86" w14:textId="77777777" w:rsidTr="00901C83">
        <w:tc>
          <w:tcPr>
            <w:tcW w:w="6350" w:type="dxa"/>
            <w:tcBorders>
              <w:top w:val="nil"/>
              <w:left w:val="nil"/>
              <w:bottom w:val="single" w:sz="4" w:space="0" w:color="auto"/>
              <w:right w:val="nil"/>
            </w:tcBorders>
            <w:vAlign w:val="bottom"/>
            <w:hideMark/>
          </w:tcPr>
          <w:p w14:paraId="7314031B" w14:textId="328D7C87" w:rsidR="00166AB4" w:rsidRPr="00701439" w:rsidRDefault="001135C7" w:rsidP="00E534C5">
            <w:pPr>
              <w:pStyle w:val="NoSpacing"/>
              <w:jc w:val="both"/>
              <w:rPr>
                <w:sz w:val="20"/>
                <w:szCs w:val="20"/>
              </w:rPr>
            </w:pPr>
            <w:r w:rsidRPr="00701439">
              <w:rPr>
                <w:sz w:val="20"/>
                <w:szCs w:val="20"/>
              </w:rPr>
              <w:t>Opera</w:t>
            </w:r>
            <w:r w:rsidR="00985FEB" w:rsidRPr="00701439">
              <w:rPr>
                <w:sz w:val="20"/>
                <w:szCs w:val="20"/>
              </w:rPr>
              <w:t>ting c</w:t>
            </w:r>
            <w:r w:rsidR="00166AB4" w:rsidRPr="00701439">
              <w:rPr>
                <w:sz w:val="20"/>
                <w:szCs w:val="20"/>
              </w:rPr>
              <w:t>osts</w:t>
            </w:r>
          </w:p>
        </w:tc>
        <w:tc>
          <w:tcPr>
            <w:tcW w:w="1134" w:type="dxa"/>
            <w:tcBorders>
              <w:top w:val="nil"/>
              <w:left w:val="nil"/>
              <w:bottom w:val="single" w:sz="4" w:space="0" w:color="auto"/>
              <w:right w:val="nil"/>
            </w:tcBorders>
            <w:vAlign w:val="bottom"/>
          </w:tcPr>
          <w:p w14:paraId="61C80F01" w14:textId="76448F3E" w:rsidR="00166AB4" w:rsidRPr="00701439" w:rsidRDefault="00BB4F26" w:rsidP="00E534C5">
            <w:pPr>
              <w:pStyle w:val="NoSpacing"/>
              <w:jc w:val="center"/>
              <w:rPr>
                <w:sz w:val="20"/>
                <w:szCs w:val="20"/>
              </w:rPr>
            </w:pPr>
            <w:r w:rsidRPr="00701439">
              <w:rPr>
                <w:sz w:val="20"/>
                <w:szCs w:val="20"/>
              </w:rPr>
              <w:t>(3</w:t>
            </w:r>
            <w:r w:rsidR="00645CAF" w:rsidRPr="00701439">
              <w:rPr>
                <w:sz w:val="20"/>
                <w:szCs w:val="20"/>
              </w:rPr>
              <w:t>9</w:t>
            </w:r>
            <w:r w:rsidR="00FA060F" w:rsidRPr="00701439">
              <w:rPr>
                <w:sz w:val="20"/>
                <w:szCs w:val="20"/>
              </w:rPr>
              <w:t>.</w:t>
            </w:r>
            <w:r w:rsidR="00645CAF" w:rsidRPr="00701439">
              <w:rPr>
                <w:sz w:val="20"/>
                <w:szCs w:val="20"/>
              </w:rPr>
              <w:t>7</w:t>
            </w:r>
            <w:r w:rsidRPr="00701439">
              <w:rPr>
                <w:sz w:val="20"/>
                <w:szCs w:val="20"/>
              </w:rPr>
              <w:t>)</w:t>
            </w:r>
          </w:p>
        </w:tc>
        <w:tc>
          <w:tcPr>
            <w:tcW w:w="1134" w:type="dxa"/>
            <w:tcBorders>
              <w:top w:val="nil"/>
              <w:left w:val="nil"/>
              <w:bottom w:val="single" w:sz="4" w:space="0" w:color="auto"/>
              <w:right w:val="nil"/>
            </w:tcBorders>
            <w:vAlign w:val="bottom"/>
          </w:tcPr>
          <w:p w14:paraId="52F47E4A" w14:textId="78EF26CC" w:rsidR="00166AB4" w:rsidRPr="00701439" w:rsidRDefault="00BB4F26" w:rsidP="00E534C5">
            <w:pPr>
              <w:pStyle w:val="NoSpacing"/>
              <w:jc w:val="center"/>
              <w:rPr>
                <w:sz w:val="20"/>
                <w:szCs w:val="20"/>
              </w:rPr>
            </w:pPr>
            <w:r w:rsidRPr="00701439">
              <w:rPr>
                <w:sz w:val="20"/>
                <w:szCs w:val="20"/>
              </w:rPr>
              <w:t>(</w:t>
            </w:r>
            <w:r w:rsidR="00EF6122" w:rsidRPr="00701439">
              <w:rPr>
                <w:sz w:val="20"/>
                <w:szCs w:val="20"/>
              </w:rPr>
              <w:t>37.3</w:t>
            </w:r>
            <w:r w:rsidRPr="00701439">
              <w:rPr>
                <w:sz w:val="20"/>
                <w:szCs w:val="20"/>
              </w:rPr>
              <w:t>)</w:t>
            </w:r>
          </w:p>
        </w:tc>
        <w:tc>
          <w:tcPr>
            <w:tcW w:w="1134" w:type="dxa"/>
            <w:tcBorders>
              <w:top w:val="nil"/>
              <w:left w:val="nil"/>
              <w:bottom w:val="single" w:sz="4" w:space="0" w:color="auto"/>
              <w:right w:val="nil"/>
            </w:tcBorders>
            <w:vAlign w:val="bottom"/>
          </w:tcPr>
          <w:p w14:paraId="089DD06D" w14:textId="249470C2" w:rsidR="00166AB4" w:rsidRPr="00701439" w:rsidRDefault="00B52EE4" w:rsidP="00E534C5">
            <w:pPr>
              <w:pStyle w:val="NoSpacing"/>
              <w:jc w:val="center"/>
              <w:rPr>
                <w:i/>
                <w:sz w:val="20"/>
                <w:szCs w:val="20"/>
              </w:rPr>
            </w:pPr>
            <w:r w:rsidRPr="00701439">
              <w:rPr>
                <w:i/>
                <w:sz w:val="20"/>
                <w:szCs w:val="20"/>
              </w:rPr>
              <w:t>6</w:t>
            </w:r>
            <w:r w:rsidR="00FA060F" w:rsidRPr="00701439">
              <w:rPr>
                <w:i/>
                <w:sz w:val="20"/>
                <w:szCs w:val="20"/>
              </w:rPr>
              <w:t>.</w:t>
            </w:r>
            <w:r w:rsidR="00DD718D" w:rsidRPr="00701439">
              <w:rPr>
                <w:i/>
                <w:sz w:val="20"/>
                <w:szCs w:val="20"/>
              </w:rPr>
              <w:t>4</w:t>
            </w:r>
            <w:r w:rsidR="006B2612" w:rsidRPr="00701439">
              <w:rPr>
                <w:i/>
                <w:sz w:val="20"/>
                <w:szCs w:val="20"/>
              </w:rPr>
              <w:t>%</w:t>
            </w:r>
          </w:p>
        </w:tc>
      </w:tr>
      <w:tr w:rsidR="00166AB4" w:rsidRPr="00701439" w14:paraId="6A9AA54A" w14:textId="77777777" w:rsidTr="00901C83">
        <w:tc>
          <w:tcPr>
            <w:tcW w:w="6350" w:type="dxa"/>
            <w:tcBorders>
              <w:top w:val="single" w:sz="4" w:space="0" w:color="auto"/>
              <w:left w:val="nil"/>
              <w:bottom w:val="nil"/>
              <w:right w:val="nil"/>
            </w:tcBorders>
            <w:vAlign w:val="bottom"/>
            <w:hideMark/>
          </w:tcPr>
          <w:p w14:paraId="3AEE79A0" w14:textId="1F878742" w:rsidR="00166AB4" w:rsidRPr="00701439" w:rsidRDefault="00166AB4" w:rsidP="00E534C5">
            <w:pPr>
              <w:pStyle w:val="NoSpacing"/>
              <w:jc w:val="both"/>
              <w:rPr>
                <w:b/>
                <w:sz w:val="20"/>
                <w:szCs w:val="20"/>
              </w:rPr>
            </w:pPr>
            <w:r w:rsidRPr="00701439">
              <w:rPr>
                <w:b/>
                <w:sz w:val="20"/>
                <w:szCs w:val="20"/>
              </w:rPr>
              <w:t>Adjusted profit before tax</w:t>
            </w:r>
            <w:r w:rsidR="00D31CBE" w:rsidRPr="00701439">
              <w:rPr>
                <w:b/>
                <w:sz w:val="20"/>
                <w:szCs w:val="20"/>
                <w:vertAlign w:val="superscript"/>
              </w:rPr>
              <w:t>2</w:t>
            </w:r>
          </w:p>
        </w:tc>
        <w:tc>
          <w:tcPr>
            <w:tcW w:w="1134" w:type="dxa"/>
            <w:tcBorders>
              <w:top w:val="single" w:sz="4" w:space="0" w:color="auto"/>
              <w:left w:val="nil"/>
              <w:bottom w:val="nil"/>
              <w:right w:val="nil"/>
            </w:tcBorders>
            <w:vAlign w:val="bottom"/>
          </w:tcPr>
          <w:p w14:paraId="69BCCAC3" w14:textId="19B64275" w:rsidR="00166AB4" w:rsidRPr="00701439" w:rsidRDefault="00645CAF" w:rsidP="00E534C5">
            <w:pPr>
              <w:pStyle w:val="NoSpacing"/>
              <w:jc w:val="center"/>
              <w:rPr>
                <w:b/>
                <w:sz w:val="20"/>
                <w:szCs w:val="20"/>
              </w:rPr>
            </w:pPr>
            <w:r w:rsidRPr="00701439">
              <w:rPr>
                <w:b/>
                <w:sz w:val="20"/>
                <w:szCs w:val="20"/>
              </w:rPr>
              <w:t>38.0</w:t>
            </w:r>
          </w:p>
        </w:tc>
        <w:tc>
          <w:tcPr>
            <w:tcW w:w="1134" w:type="dxa"/>
            <w:tcBorders>
              <w:top w:val="single" w:sz="4" w:space="0" w:color="auto"/>
              <w:left w:val="nil"/>
              <w:bottom w:val="nil"/>
              <w:right w:val="nil"/>
            </w:tcBorders>
            <w:vAlign w:val="bottom"/>
          </w:tcPr>
          <w:p w14:paraId="0ABB7A4D" w14:textId="09B0658F" w:rsidR="00166AB4" w:rsidRPr="00701439" w:rsidRDefault="00EF6122" w:rsidP="00E534C5">
            <w:pPr>
              <w:pStyle w:val="NoSpacing"/>
              <w:jc w:val="center"/>
              <w:rPr>
                <w:b/>
                <w:sz w:val="20"/>
                <w:szCs w:val="20"/>
              </w:rPr>
            </w:pPr>
            <w:r w:rsidRPr="00701439">
              <w:rPr>
                <w:b/>
                <w:sz w:val="20"/>
                <w:szCs w:val="20"/>
              </w:rPr>
              <w:t>28</w:t>
            </w:r>
            <w:r w:rsidR="00BB4F26" w:rsidRPr="00701439">
              <w:rPr>
                <w:b/>
                <w:sz w:val="20"/>
                <w:szCs w:val="20"/>
              </w:rPr>
              <w:t>.9</w:t>
            </w:r>
          </w:p>
        </w:tc>
        <w:tc>
          <w:tcPr>
            <w:tcW w:w="1134" w:type="dxa"/>
            <w:tcBorders>
              <w:top w:val="single" w:sz="4" w:space="0" w:color="auto"/>
              <w:left w:val="nil"/>
              <w:bottom w:val="nil"/>
              <w:right w:val="nil"/>
            </w:tcBorders>
            <w:vAlign w:val="bottom"/>
          </w:tcPr>
          <w:p w14:paraId="554F9F2F" w14:textId="0CA24C3A" w:rsidR="00166AB4" w:rsidRPr="00701439" w:rsidRDefault="00114797" w:rsidP="00E534C5">
            <w:pPr>
              <w:jc w:val="center"/>
              <w:rPr>
                <w:rFonts w:asciiTheme="minorHAnsi" w:hAnsiTheme="minorHAnsi" w:cs="Arial"/>
                <w:i/>
                <w:iCs/>
                <w:sz w:val="20"/>
                <w:szCs w:val="20"/>
              </w:rPr>
            </w:pPr>
            <w:r w:rsidRPr="00701439">
              <w:rPr>
                <w:rFonts w:asciiTheme="minorHAnsi" w:hAnsiTheme="minorHAnsi" w:cs="Arial"/>
                <w:i/>
                <w:iCs/>
                <w:sz w:val="20"/>
                <w:szCs w:val="20"/>
              </w:rPr>
              <w:t>31.5%</w:t>
            </w:r>
          </w:p>
        </w:tc>
      </w:tr>
      <w:tr w:rsidR="00F01EC8" w:rsidRPr="00701439" w14:paraId="46ECFAC8" w14:textId="77777777" w:rsidTr="00F01EC8">
        <w:tc>
          <w:tcPr>
            <w:tcW w:w="6350" w:type="dxa"/>
            <w:vAlign w:val="bottom"/>
          </w:tcPr>
          <w:p w14:paraId="49C3F235" w14:textId="77777777" w:rsidR="00F01EC8" w:rsidRPr="00701439" w:rsidRDefault="00F01EC8" w:rsidP="00E534C5">
            <w:pPr>
              <w:pStyle w:val="NoSpacing"/>
              <w:jc w:val="both"/>
              <w:rPr>
                <w:sz w:val="20"/>
                <w:szCs w:val="20"/>
              </w:rPr>
            </w:pPr>
          </w:p>
        </w:tc>
        <w:tc>
          <w:tcPr>
            <w:tcW w:w="1134" w:type="dxa"/>
            <w:vAlign w:val="bottom"/>
          </w:tcPr>
          <w:p w14:paraId="7D2FAB6C" w14:textId="77777777" w:rsidR="00F01EC8" w:rsidRPr="00701439" w:rsidRDefault="00F01EC8" w:rsidP="00E534C5">
            <w:pPr>
              <w:pStyle w:val="NoSpacing"/>
              <w:jc w:val="center"/>
              <w:rPr>
                <w:sz w:val="20"/>
                <w:szCs w:val="20"/>
              </w:rPr>
            </w:pPr>
          </w:p>
        </w:tc>
        <w:tc>
          <w:tcPr>
            <w:tcW w:w="1134" w:type="dxa"/>
            <w:vAlign w:val="bottom"/>
          </w:tcPr>
          <w:p w14:paraId="28D05C13" w14:textId="77777777" w:rsidR="00F01EC8" w:rsidRPr="00701439" w:rsidRDefault="00F01EC8" w:rsidP="00E534C5">
            <w:pPr>
              <w:pStyle w:val="NoSpacing"/>
              <w:jc w:val="center"/>
              <w:rPr>
                <w:sz w:val="20"/>
                <w:szCs w:val="20"/>
              </w:rPr>
            </w:pPr>
          </w:p>
        </w:tc>
        <w:tc>
          <w:tcPr>
            <w:tcW w:w="1134" w:type="dxa"/>
            <w:vAlign w:val="bottom"/>
          </w:tcPr>
          <w:p w14:paraId="5C6918E5" w14:textId="77777777" w:rsidR="00F01EC8" w:rsidRPr="00701439" w:rsidRDefault="00F01EC8" w:rsidP="00E534C5">
            <w:pPr>
              <w:pStyle w:val="NoSpacing"/>
              <w:jc w:val="center"/>
              <w:rPr>
                <w:i/>
                <w:sz w:val="20"/>
                <w:szCs w:val="20"/>
              </w:rPr>
            </w:pPr>
          </w:p>
        </w:tc>
      </w:tr>
      <w:tr w:rsidR="00115BF4" w:rsidRPr="00701439" w14:paraId="7B74E837" w14:textId="77777777" w:rsidTr="00901C83">
        <w:tc>
          <w:tcPr>
            <w:tcW w:w="6350" w:type="dxa"/>
            <w:vAlign w:val="bottom"/>
            <w:hideMark/>
          </w:tcPr>
          <w:p w14:paraId="0C5DB296" w14:textId="152262C0" w:rsidR="00115BF4" w:rsidRPr="00701439" w:rsidRDefault="00115BF4" w:rsidP="00115BF4">
            <w:pPr>
              <w:pStyle w:val="NoSpacing"/>
              <w:jc w:val="both"/>
              <w:rPr>
                <w:sz w:val="20"/>
                <w:szCs w:val="20"/>
              </w:rPr>
            </w:pPr>
            <w:r w:rsidRPr="00701439">
              <w:rPr>
                <w:sz w:val="20"/>
                <w:szCs w:val="20"/>
              </w:rPr>
              <w:t xml:space="preserve">Annualised </w:t>
            </w:r>
            <w:r w:rsidR="006876D8" w:rsidRPr="00701439">
              <w:rPr>
                <w:sz w:val="20"/>
                <w:szCs w:val="20"/>
              </w:rPr>
              <w:t>asset</w:t>
            </w:r>
            <w:r w:rsidRPr="00701439">
              <w:rPr>
                <w:sz w:val="20"/>
                <w:szCs w:val="20"/>
              </w:rPr>
              <w:t xml:space="preserve"> yield</w:t>
            </w:r>
            <w:r w:rsidRPr="00701439">
              <w:rPr>
                <w:sz w:val="20"/>
                <w:szCs w:val="20"/>
                <w:vertAlign w:val="superscript"/>
              </w:rPr>
              <w:t>3</w:t>
            </w:r>
          </w:p>
        </w:tc>
        <w:tc>
          <w:tcPr>
            <w:tcW w:w="1134" w:type="dxa"/>
            <w:vAlign w:val="bottom"/>
          </w:tcPr>
          <w:p w14:paraId="0198D580" w14:textId="64A37D87" w:rsidR="00115BF4" w:rsidRPr="00701439" w:rsidRDefault="00115BF4" w:rsidP="00115BF4">
            <w:pPr>
              <w:pStyle w:val="NoSpacing"/>
              <w:jc w:val="center"/>
              <w:rPr>
                <w:sz w:val="20"/>
                <w:szCs w:val="20"/>
              </w:rPr>
            </w:pPr>
            <w:r w:rsidRPr="00701439">
              <w:rPr>
                <w:sz w:val="20"/>
                <w:szCs w:val="20"/>
              </w:rPr>
              <w:t>2</w:t>
            </w:r>
            <w:r w:rsidR="00BA4EA4" w:rsidRPr="00701439">
              <w:rPr>
                <w:sz w:val="20"/>
                <w:szCs w:val="20"/>
              </w:rPr>
              <w:t>1.4</w:t>
            </w:r>
            <w:r w:rsidRPr="00701439">
              <w:rPr>
                <w:sz w:val="20"/>
                <w:szCs w:val="20"/>
              </w:rPr>
              <w:t>%</w:t>
            </w:r>
          </w:p>
        </w:tc>
        <w:tc>
          <w:tcPr>
            <w:tcW w:w="1134" w:type="dxa"/>
            <w:vAlign w:val="bottom"/>
          </w:tcPr>
          <w:p w14:paraId="5F433B08" w14:textId="145B7E51" w:rsidR="00115BF4" w:rsidRPr="00701439" w:rsidRDefault="00D4413E" w:rsidP="00115BF4">
            <w:pPr>
              <w:pStyle w:val="NoSpacing"/>
              <w:jc w:val="center"/>
              <w:rPr>
                <w:sz w:val="20"/>
                <w:szCs w:val="20"/>
              </w:rPr>
            </w:pPr>
            <w:r w:rsidRPr="00701439">
              <w:rPr>
                <w:sz w:val="20"/>
                <w:szCs w:val="20"/>
              </w:rPr>
              <w:t>2</w:t>
            </w:r>
            <w:r w:rsidR="001174DD" w:rsidRPr="00701439">
              <w:rPr>
                <w:sz w:val="20"/>
                <w:szCs w:val="20"/>
              </w:rPr>
              <w:t>0</w:t>
            </w:r>
            <w:r w:rsidRPr="00701439">
              <w:rPr>
                <w:sz w:val="20"/>
                <w:szCs w:val="20"/>
              </w:rPr>
              <w:t>.</w:t>
            </w:r>
            <w:r w:rsidR="001174DD" w:rsidRPr="00701439">
              <w:rPr>
                <w:sz w:val="20"/>
                <w:szCs w:val="20"/>
              </w:rPr>
              <w:t>5</w:t>
            </w:r>
            <w:r w:rsidR="00115BF4" w:rsidRPr="00701439">
              <w:rPr>
                <w:sz w:val="20"/>
                <w:szCs w:val="20"/>
              </w:rPr>
              <w:t>%</w:t>
            </w:r>
          </w:p>
        </w:tc>
        <w:tc>
          <w:tcPr>
            <w:tcW w:w="1134" w:type="dxa"/>
            <w:vAlign w:val="bottom"/>
          </w:tcPr>
          <w:p w14:paraId="313C9034" w14:textId="2333A2C9" w:rsidR="00115BF4" w:rsidRPr="00701439" w:rsidRDefault="000D5DB4" w:rsidP="00473222">
            <w:pPr>
              <w:pStyle w:val="NoSpacing"/>
              <w:jc w:val="center"/>
              <w:rPr>
                <w:i/>
                <w:sz w:val="20"/>
                <w:szCs w:val="20"/>
              </w:rPr>
            </w:pPr>
            <w:r w:rsidRPr="00701439">
              <w:rPr>
                <w:i/>
                <w:sz w:val="20"/>
                <w:szCs w:val="20"/>
              </w:rPr>
              <w:t>0.</w:t>
            </w:r>
            <w:r w:rsidR="00974F72" w:rsidRPr="00701439">
              <w:rPr>
                <w:i/>
                <w:sz w:val="20"/>
                <w:szCs w:val="20"/>
              </w:rPr>
              <w:t>9</w:t>
            </w:r>
            <w:r w:rsidR="00115BF4" w:rsidRPr="00701439">
              <w:rPr>
                <w:i/>
                <w:sz w:val="20"/>
                <w:szCs w:val="20"/>
              </w:rPr>
              <w:t>%</w:t>
            </w:r>
          </w:p>
        </w:tc>
      </w:tr>
      <w:tr w:rsidR="00115BF4" w:rsidRPr="00701439" w14:paraId="271244C5" w14:textId="77777777" w:rsidTr="00901C83">
        <w:tc>
          <w:tcPr>
            <w:tcW w:w="6350" w:type="dxa"/>
            <w:vAlign w:val="bottom"/>
            <w:hideMark/>
          </w:tcPr>
          <w:p w14:paraId="4EFD7134" w14:textId="2D35A10F" w:rsidR="00115BF4" w:rsidRPr="00701439" w:rsidRDefault="00115BF4" w:rsidP="00115BF4">
            <w:pPr>
              <w:pStyle w:val="NoSpacing"/>
              <w:jc w:val="both"/>
              <w:rPr>
                <w:sz w:val="20"/>
                <w:szCs w:val="20"/>
              </w:rPr>
            </w:pPr>
            <w:r w:rsidRPr="00701439">
              <w:rPr>
                <w:sz w:val="20"/>
                <w:szCs w:val="20"/>
              </w:rPr>
              <w:t xml:space="preserve">Annualised </w:t>
            </w:r>
            <w:r w:rsidR="00D4413E" w:rsidRPr="00701439">
              <w:rPr>
                <w:sz w:val="20"/>
                <w:szCs w:val="20"/>
              </w:rPr>
              <w:t>cost of risk</w:t>
            </w:r>
            <w:r w:rsidRPr="00701439">
              <w:rPr>
                <w:sz w:val="20"/>
                <w:szCs w:val="20"/>
                <w:vertAlign w:val="superscript"/>
              </w:rPr>
              <w:t>4</w:t>
            </w:r>
          </w:p>
        </w:tc>
        <w:tc>
          <w:tcPr>
            <w:tcW w:w="1134" w:type="dxa"/>
            <w:vAlign w:val="bottom"/>
          </w:tcPr>
          <w:p w14:paraId="6BECAF08" w14:textId="1470F16F" w:rsidR="00115BF4" w:rsidRPr="00701439" w:rsidRDefault="005B164F" w:rsidP="00115BF4">
            <w:pPr>
              <w:pStyle w:val="NoSpacing"/>
              <w:jc w:val="center"/>
              <w:rPr>
                <w:sz w:val="20"/>
                <w:szCs w:val="20"/>
              </w:rPr>
            </w:pPr>
            <w:r w:rsidRPr="00701439">
              <w:rPr>
                <w:sz w:val="20"/>
                <w:szCs w:val="20"/>
              </w:rPr>
              <w:t>(</w:t>
            </w:r>
            <w:r w:rsidR="00D4413E" w:rsidRPr="00701439">
              <w:rPr>
                <w:sz w:val="20"/>
                <w:szCs w:val="20"/>
              </w:rPr>
              <w:t>6.2</w:t>
            </w:r>
            <w:r w:rsidR="00115BF4" w:rsidRPr="00701439">
              <w:rPr>
                <w:sz w:val="20"/>
                <w:szCs w:val="20"/>
              </w:rPr>
              <w:t>%</w:t>
            </w:r>
            <w:r w:rsidRPr="00701439">
              <w:rPr>
                <w:sz w:val="20"/>
                <w:szCs w:val="20"/>
              </w:rPr>
              <w:t>)</w:t>
            </w:r>
          </w:p>
        </w:tc>
        <w:tc>
          <w:tcPr>
            <w:tcW w:w="1134" w:type="dxa"/>
            <w:vAlign w:val="bottom"/>
          </w:tcPr>
          <w:p w14:paraId="7203A942" w14:textId="1E293444" w:rsidR="00115BF4" w:rsidRPr="00701439" w:rsidRDefault="005B164F" w:rsidP="00115BF4">
            <w:pPr>
              <w:pStyle w:val="NoSpacing"/>
              <w:jc w:val="center"/>
              <w:rPr>
                <w:sz w:val="20"/>
                <w:szCs w:val="20"/>
              </w:rPr>
            </w:pPr>
            <w:r w:rsidRPr="00701439">
              <w:rPr>
                <w:sz w:val="20"/>
                <w:szCs w:val="20"/>
              </w:rPr>
              <w:t>(</w:t>
            </w:r>
            <w:r w:rsidR="00486A3B" w:rsidRPr="00701439">
              <w:rPr>
                <w:sz w:val="20"/>
                <w:szCs w:val="20"/>
              </w:rPr>
              <w:t>6.6</w:t>
            </w:r>
            <w:r w:rsidR="00115BF4" w:rsidRPr="00701439">
              <w:rPr>
                <w:sz w:val="20"/>
                <w:szCs w:val="20"/>
              </w:rPr>
              <w:t>%)</w:t>
            </w:r>
          </w:p>
        </w:tc>
        <w:tc>
          <w:tcPr>
            <w:tcW w:w="1134" w:type="dxa"/>
            <w:vAlign w:val="bottom"/>
          </w:tcPr>
          <w:p w14:paraId="118143CA" w14:textId="62EFE572" w:rsidR="00115BF4" w:rsidRPr="00701439" w:rsidRDefault="00A815B5" w:rsidP="00115BF4">
            <w:pPr>
              <w:pStyle w:val="NoSpacing"/>
              <w:jc w:val="center"/>
              <w:rPr>
                <w:i/>
                <w:sz w:val="20"/>
                <w:szCs w:val="20"/>
              </w:rPr>
            </w:pPr>
            <w:r w:rsidRPr="00701439">
              <w:rPr>
                <w:i/>
                <w:sz w:val="20"/>
                <w:szCs w:val="20"/>
              </w:rPr>
              <w:t>0.</w:t>
            </w:r>
            <w:r w:rsidR="00B1560F" w:rsidRPr="00701439">
              <w:rPr>
                <w:i/>
                <w:sz w:val="20"/>
                <w:szCs w:val="20"/>
              </w:rPr>
              <w:t>4</w:t>
            </w:r>
            <w:r w:rsidR="00115BF4" w:rsidRPr="00701439">
              <w:rPr>
                <w:i/>
                <w:sz w:val="20"/>
                <w:szCs w:val="20"/>
              </w:rPr>
              <w:t>%</w:t>
            </w:r>
          </w:p>
        </w:tc>
      </w:tr>
      <w:tr w:rsidR="00115BF4" w:rsidRPr="00701439" w14:paraId="47D13DD2" w14:textId="77777777" w:rsidTr="00901C83">
        <w:tc>
          <w:tcPr>
            <w:tcW w:w="6350" w:type="dxa"/>
            <w:vAlign w:val="bottom"/>
            <w:hideMark/>
          </w:tcPr>
          <w:p w14:paraId="02E50FBD" w14:textId="04D52399" w:rsidR="00115BF4" w:rsidRPr="00701439" w:rsidRDefault="00115BF4" w:rsidP="00115BF4">
            <w:pPr>
              <w:pStyle w:val="NoSpacing"/>
              <w:jc w:val="both"/>
              <w:rPr>
                <w:sz w:val="20"/>
                <w:szCs w:val="20"/>
              </w:rPr>
            </w:pPr>
            <w:r w:rsidRPr="00701439">
              <w:rPr>
                <w:sz w:val="20"/>
                <w:szCs w:val="20"/>
              </w:rPr>
              <w:t>Annualised return on assets</w:t>
            </w:r>
            <w:r w:rsidRPr="00701439">
              <w:rPr>
                <w:sz w:val="20"/>
                <w:szCs w:val="20"/>
                <w:vertAlign w:val="superscript"/>
              </w:rPr>
              <w:t>5</w:t>
            </w:r>
          </w:p>
        </w:tc>
        <w:tc>
          <w:tcPr>
            <w:tcW w:w="1134" w:type="dxa"/>
            <w:vAlign w:val="bottom"/>
          </w:tcPr>
          <w:p w14:paraId="289974CB" w14:textId="1E7BC41D" w:rsidR="00115BF4" w:rsidRPr="00701439" w:rsidRDefault="00044BEB" w:rsidP="00115BF4">
            <w:pPr>
              <w:pStyle w:val="NoSpacing"/>
              <w:jc w:val="center"/>
              <w:rPr>
                <w:sz w:val="20"/>
                <w:szCs w:val="20"/>
              </w:rPr>
            </w:pPr>
            <w:r w:rsidRPr="00701439">
              <w:rPr>
                <w:sz w:val="20"/>
                <w:szCs w:val="20"/>
              </w:rPr>
              <w:t>3.6%</w:t>
            </w:r>
          </w:p>
        </w:tc>
        <w:tc>
          <w:tcPr>
            <w:tcW w:w="1134" w:type="dxa"/>
            <w:vAlign w:val="bottom"/>
          </w:tcPr>
          <w:p w14:paraId="22224CE4" w14:textId="0D1F4F00" w:rsidR="00115BF4" w:rsidRPr="00701439" w:rsidRDefault="00827D65" w:rsidP="00115BF4">
            <w:pPr>
              <w:pStyle w:val="NoSpacing"/>
              <w:jc w:val="center"/>
              <w:rPr>
                <w:sz w:val="20"/>
                <w:szCs w:val="20"/>
              </w:rPr>
            </w:pPr>
            <w:r w:rsidRPr="00701439">
              <w:rPr>
                <w:sz w:val="20"/>
                <w:szCs w:val="20"/>
              </w:rPr>
              <w:t>3.0%</w:t>
            </w:r>
          </w:p>
        </w:tc>
        <w:tc>
          <w:tcPr>
            <w:tcW w:w="1134" w:type="dxa"/>
            <w:vAlign w:val="bottom"/>
          </w:tcPr>
          <w:p w14:paraId="18EC99B4" w14:textId="05266AE7" w:rsidR="00115BF4" w:rsidRPr="00701439" w:rsidRDefault="00A15737" w:rsidP="00115BF4">
            <w:pPr>
              <w:pStyle w:val="NoSpacing"/>
              <w:jc w:val="center"/>
              <w:rPr>
                <w:i/>
                <w:sz w:val="20"/>
                <w:szCs w:val="20"/>
              </w:rPr>
            </w:pPr>
            <w:r w:rsidRPr="00701439">
              <w:rPr>
                <w:sz w:val="20"/>
                <w:szCs w:val="20"/>
              </w:rPr>
              <w:t>0.6%</w:t>
            </w:r>
          </w:p>
        </w:tc>
      </w:tr>
      <w:tr w:rsidR="00F01EC8" w:rsidRPr="00701439" w14:paraId="63CC9A52" w14:textId="77777777" w:rsidTr="00F01EC8">
        <w:tc>
          <w:tcPr>
            <w:tcW w:w="6350" w:type="dxa"/>
            <w:vAlign w:val="bottom"/>
          </w:tcPr>
          <w:p w14:paraId="413D7A4E" w14:textId="77777777" w:rsidR="00F01EC8" w:rsidRPr="00701439" w:rsidRDefault="00F01EC8" w:rsidP="00E534C5">
            <w:pPr>
              <w:pStyle w:val="NoSpacing"/>
              <w:jc w:val="both"/>
              <w:rPr>
                <w:sz w:val="20"/>
                <w:szCs w:val="20"/>
              </w:rPr>
            </w:pPr>
          </w:p>
        </w:tc>
        <w:tc>
          <w:tcPr>
            <w:tcW w:w="1134" w:type="dxa"/>
            <w:vAlign w:val="bottom"/>
          </w:tcPr>
          <w:p w14:paraId="6E89D415" w14:textId="77777777" w:rsidR="00F01EC8" w:rsidRPr="00701439" w:rsidRDefault="00F01EC8" w:rsidP="00E534C5">
            <w:pPr>
              <w:pStyle w:val="NoSpacing"/>
              <w:jc w:val="center"/>
              <w:rPr>
                <w:sz w:val="20"/>
                <w:szCs w:val="20"/>
              </w:rPr>
            </w:pPr>
          </w:p>
        </w:tc>
        <w:tc>
          <w:tcPr>
            <w:tcW w:w="1134" w:type="dxa"/>
            <w:vAlign w:val="bottom"/>
          </w:tcPr>
          <w:p w14:paraId="389A09FD" w14:textId="77777777" w:rsidR="00F01EC8" w:rsidRPr="00701439" w:rsidRDefault="00F01EC8" w:rsidP="00E534C5">
            <w:pPr>
              <w:pStyle w:val="NoSpacing"/>
              <w:jc w:val="center"/>
              <w:rPr>
                <w:sz w:val="20"/>
                <w:szCs w:val="20"/>
              </w:rPr>
            </w:pPr>
          </w:p>
        </w:tc>
        <w:tc>
          <w:tcPr>
            <w:tcW w:w="1134" w:type="dxa"/>
            <w:vAlign w:val="bottom"/>
          </w:tcPr>
          <w:p w14:paraId="087DF92B" w14:textId="77777777" w:rsidR="00F01EC8" w:rsidRPr="00701439" w:rsidRDefault="00F01EC8" w:rsidP="00E534C5">
            <w:pPr>
              <w:pStyle w:val="NoSpacing"/>
              <w:jc w:val="center"/>
              <w:rPr>
                <w:sz w:val="20"/>
                <w:szCs w:val="20"/>
              </w:rPr>
            </w:pPr>
          </w:p>
        </w:tc>
      </w:tr>
    </w:tbl>
    <w:p w14:paraId="4A3AF49F" w14:textId="77777777" w:rsidR="00BE6A84" w:rsidRPr="00701439" w:rsidRDefault="00BE6A84" w:rsidP="00BE6A84">
      <w:pPr>
        <w:pStyle w:val="NoSpacing"/>
        <w:ind w:left="284" w:hanging="284"/>
        <w:jc w:val="both"/>
        <w:rPr>
          <w:i/>
          <w:sz w:val="20"/>
          <w:szCs w:val="20"/>
        </w:rPr>
      </w:pPr>
      <w:r w:rsidRPr="00701439">
        <w:rPr>
          <w:i/>
          <w:sz w:val="20"/>
          <w:szCs w:val="20"/>
          <w:vertAlign w:val="superscript"/>
        </w:rPr>
        <w:t>1</w:t>
      </w:r>
      <w:r w:rsidRPr="00701439">
        <w:rPr>
          <w:i/>
          <w:sz w:val="20"/>
          <w:szCs w:val="20"/>
        </w:rPr>
        <w:tab/>
        <w:t>Calculated as the average of month end gross receivables for the 13 months ended 31 December.</w:t>
      </w:r>
    </w:p>
    <w:p w14:paraId="52C76229" w14:textId="0151A523" w:rsidR="00BE6A84" w:rsidRPr="00701439" w:rsidRDefault="00BE6A84" w:rsidP="00BE6A84">
      <w:pPr>
        <w:pStyle w:val="NoSpacing"/>
        <w:ind w:left="284" w:hanging="284"/>
        <w:jc w:val="both"/>
        <w:rPr>
          <w:i/>
          <w:sz w:val="20"/>
          <w:szCs w:val="20"/>
        </w:rPr>
      </w:pPr>
      <w:r w:rsidRPr="00701439">
        <w:rPr>
          <w:i/>
          <w:sz w:val="20"/>
          <w:szCs w:val="20"/>
          <w:vertAlign w:val="superscript"/>
        </w:rPr>
        <w:t>2</w:t>
      </w:r>
      <w:r w:rsidRPr="00701439">
        <w:rPr>
          <w:i/>
          <w:sz w:val="20"/>
          <w:szCs w:val="20"/>
        </w:rPr>
        <w:tab/>
        <w:t xml:space="preserve">Adjusted </w:t>
      </w:r>
      <w:proofErr w:type="gramStart"/>
      <w:r w:rsidRPr="00701439">
        <w:rPr>
          <w:i/>
          <w:sz w:val="20"/>
          <w:szCs w:val="20"/>
        </w:rPr>
        <w:t>profit</w:t>
      </w:r>
      <w:proofErr w:type="gramEnd"/>
      <w:r w:rsidRPr="00701439">
        <w:rPr>
          <w:i/>
          <w:sz w:val="20"/>
          <w:szCs w:val="20"/>
        </w:rPr>
        <w:t xml:space="preserve"> before tax is stated before £0.2m of exceptional redundancy costs in 2022 and exceptional </w:t>
      </w:r>
      <w:r w:rsidR="00BF1D95" w:rsidRPr="00701439">
        <w:rPr>
          <w:i/>
          <w:sz w:val="20"/>
          <w:szCs w:val="20"/>
        </w:rPr>
        <w:t>Senior bond buy-back</w:t>
      </w:r>
      <w:r w:rsidRPr="00701439">
        <w:rPr>
          <w:i/>
          <w:sz w:val="20"/>
          <w:szCs w:val="20"/>
        </w:rPr>
        <w:t xml:space="preserve"> costs of</w:t>
      </w:r>
      <w:r w:rsidRPr="00701439">
        <w:rPr>
          <w:rFonts w:cs="Arial"/>
          <w:i/>
          <w:sz w:val="20"/>
          <w:szCs w:val="20"/>
        </w:rPr>
        <w:t xml:space="preserve"> £1.</w:t>
      </w:r>
      <w:r w:rsidR="00BF1D95" w:rsidRPr="00701439">
        <w:rPr>
          <w:rFonts w:cs="Arial"/>
          <w:i/>
          <w:sz w:val="20"/>
          <w:szCs w:val="20"/>
        </w:rPr>
        <w:t>4</w:t>
      </w:r>
      <w:r w:rsidRPr="00701439">
        <w:rPr>
          <w:rFonts w:cs="Arial"/>
          <w:i/>
          <w:sz w:val="20"/>
          <w:szCs w:val="20"/>
        </w:rPr>
        <w:t xml:space="preserve">m in 2021. </w:t>
      </w:r>
    </w:p>
    <w:p w14:paraId="460D9609" w14:textId="4731C565" w:rsidR="00BE6A84" w:rsidRPr="00701439" w:rsidRDefault="00BE6A84" w:rsidP="00BE6A84">
      <w:pPr>
        <w:pStyle w:val="NoSpacing"/>
        <w:ind w:left="284" w:hanging="284"/>
        <w:jc w:val="both"/>
        <w:rPr>
          <w:i/>
          <w:sz w:val="20"/>
          <w:szCs w:val="20"/>
        </w:rPr>
      </w:pPr>
      <w:r w:rsidRPr="00701439">
        <w:rPr>
          <w:i/>
          <w:sz w:val="20"/>
          <w:szCs w:val="20"/>
          <w:vertAlign w:val="superscript"/>
        </w:rPr>
        <w:t>3</w:t>
      </w:r>
      <w:r w:rsidRPr="00701439">
        <w:rPr>
          <w:i/>
          <w:sz w:val="20"/>
          <w:szCs w:val="20"/>
          <w:vertAlign w:val="superscript"/>
        </w:rPr>
        <w:tab/>
      </w:r>
      <w:r w:rsidRPr="00701439">
        <w:rPr>
          <w:i/>
          <w:sz w:val="20"/>
          <w:szCs w:val="20"/>
        </w:rPr>
        <w:t>Interest income as a percentage of average gross receivables for the 13 months ended 31 December.</w:t>
      </w:r>
    </w:p>
    <w:p w14:paraId="1241BAA1" w14:textId="77777777" w:rsidR="00BE6A84" w:rsidRPr="00701439" w:rsidRDefault="00BE6A84" w:rsidP="00BE6A84">
      <w:pPr>
        <w:pStyle w:val="NoSpacing"/>
        <w:jc w:val="both"/>
        <w:rPr>
          <w:i/>
          <w:sz w:val="20"/>
          <w:szCs w:val="20"/>
        </w:rPr>
      </w:pPr>
      <w:r w:rsidRPr="00701439">
        <w:rPr>
          <w:i/>
          <w:sz w:val="20"/>
          <w:szCs w:val="20"/>
          <w:vertAlign w:val="superscript"/>
        </w:rPr>
        <w:t xml:space="preserve">4 </w:t>
      </w:r>
      <w:r w:rsidRPr="00701439">
        <w:rPr>
          <w:i/>
          <w:sz w:val="20"/>
          <w:szCs w:val="20"/>
        </w:rPr>
        <w:t xml:space="preserve">    Impairment charges as a percentage of average gross receivables for the 13 months ended 31 December.</w:t>
      </w:r>
    </w:p>
    <w:p w14:paraId="7EA1606A" w14:textId="5B4CDABA" w:rsidR="00BE6A84" w:rsidRPr="00701439" w:rsidRDefault="00BE6A84" w:rsidP="00BE6A84">
      <w:pPr>
        <w:pStyle w:val="NoSpacing"/>
        <w:ind w:left="284" w:hanging="284"/>
        <w:jc w:val="both"/>
        <w:rPr>
          <w:i/>
          <w:sz w:val="20"/>
          <w:szCs w:val="20"/>
        </w:rPr>
      </w:pPr>
      <w:r w:rsidRPr="00701439">
        <w:rPr>
          <w:i/>
          <w:sz w:val="20"/>
          <w:szCs w:val="20"/>
          <w:vertAlign w:val="superscript"/>
        </w:rPr>
        <w:t>5</w:t>
      </w:r>
      <w:r w:rsidRPr="00701439">
        <w:rPr>
          <w:i/>
          <w:sz w:val="20"/>
          <w:szCs w:val="20"/>
          <w:vertAlign w:val="superscript"/>
        </w:rPr>
        <w:tab/>
      </w:r>
      <w:r w:rsidRPr="00701439">
        <w:rPr>
          <w:i/>
          <w:sz w:val="20"/>
          <w:szCs w:val="20"/>
        </w:rPr>
        <w:t xml:space="preserve">Adjusted </w:t>
      </w:r>
      <w:proofErr w:type="gramStart"/>
      <w:r w:rsidRPr="00701439">
        <w:rPr>
          <w:i/>
          <w:sz w:val="20"/>
          <w:szCs w:val="20"/>
        </w:rPr>
        <w:t>profit</w:t>
      </w:r>
      <w:proofErr w:type="gramEnd"/>
      <w:r w:rsidRPr="00701439">
        <w:rPr>
          <w:i/>
          <w:sz w:val="20"/>
          <w:szCs w:val="20"/>
        </w:rPr>
        <w:t xml:space="preserve"> after tax as a percentage of average </w:t>
      </w:r>
      <w:r w:rsidR="004A7068" w:rsidRPr="00701439">
        <w:rPr>
          <w:i/>
          <w:sz w:val="20"/>
          <w:szCs w:val="20"/>
        </w:rPr>
        <w:t>total assets</w:t>
      </w:r>
      <w:r w:rsidRPr="00701439">
        <w:rPr>
          <w:i/>
          <w:sz w:val="20"/>
          <w:szCs w:val="20"/>
        </w:rPr>
        <w:t xml:space="preserve"> for the 13 months ended 31 December.</w:t>
      </w:r>
    </w:p>
    <w:p w14:paraId="3D282EC8" w14:textId="77777777" w:rsidR="00F01EC8" w:rsidRPr="00701439" w:rsidRDefault="00F01EC8" w:rsidP="00E534C5">
      <w:pPr>
        <w:pStyle w:val="NoSpacing"/>
        <w:ind w:left="284" w:hanging="284"/>
        <w:jc w:val="both"/>
        <w:rPr>
          <w:i/>
          <w:sz w:val="20"/>
          <w:szCs w:val="20"/>
        </w:rPr>
      </w:pPr>
    </w:p>
    <w:p w14:paraId="2343F6F9" w14:textId="2DDFC05D" w:rsidR="00740F8E" w:rsidRPr="00701439" w:rsidRDefault="00740F8E" w:rsidP="00E534C5">
      <w:pPr>
        <w:spacing w:after="160"/>
        <w:jc w:val="both"/>
        <w:rPr>
          <w:rFonts w:asciiTheme="minorHAnsi" w:eastAsia="Calibri" w:hAnsiTheme="minorHAnsi"/>
          <w:sz w:val="20"/>
          <w:szCs w:val="20"/>
          <w:lang w:eastAsia="en-US"/>
        </w:rPr>
      </w:pPr>
      <w:r w:rsidRPr="00701439">
        <w:rPr>
          <w:rFonts w:asciiTheme="minorHAnsi" w:eastAsia="Calibri" w:hAnsiTheme="minorHAnsi"/>
          <w:sz w:val="20"/>
          <w:szCs w:val="20"/>
          <w:lang w:eastAsia="en-US"/>
        </w:rPr>
        <w:t xml:space="preserve">The Group’s vehicle finance business is one of the </w:t>
      </w:r>
      <w:r w:rsidR="00DD7B46" w:rsidRPr="00701439">
        <w:rPr>
          <w:rFonts w:asciiTheme="minorHAnsi" w:eastAsia="Calibri" w:hAnsiTheme="minorHAnsi"/>
          <w:sz w:val="20"/>
          <w:szCs w:val="20"/>
          <w:lang w:eastAsia="en-US"/>
        </w:rPr>
        <w:t>leading</w:t>
      </w:r>
      <w:r w:rsidRPr="00701439">
        <w:rPr>
          <w:rFonts w:asciiTheme="minorHAnsi" w:eastAsia="Calibri" w:hAnsiTheme="minorHAnsi"/>
          <w:sz w:val="20"/>
          <w:szCs w:val="20"/>
          <w:lang w:eastAsia="en-US"/>
        </w:rPr>
        <w:t xml:space="preserve"> suppliers of vehicle finance to non-prime customers in the UK. For the twelve months to the end of 31 December 202</w:t>
      </w:r>
      <w:r w:rsidR="004522C2" w:rsidRPr="00701439">
        <w:rPr>
          <w:rFonts w:asciiTheme="minorHAnsi" w:eastAsia="Calibri" w:hAnsiTheme="minorHAnsi"/>
          <w:sz w:val="20"/>
          <w:szCs w:val="20"/>
          <w:lang w:eastAsia="en-US"/>
        </w:rPr>
        <w:t>2</w:t>
      </w:r>
      <w:r w:rsidRPr="00701439">
        <w:rPr>
          <w:rFonts w:asciiTheme="minorHAnsi" w:eastAsia="Calibri" w:hAnsiTheme="minorHAnsi"/>
          <w:sz w:val="20"/>
          <w:szCs w:val="20"/>
          <w:lang w:eastAsia="en-US"/>
        </w:rPr>
        <w:t>, Moneybarn generated adjusted profit before tax of £</w:t>
      </w:r>
      <w:r w:rsidR="00FC5621" w:rsidRPr="00701439">
        <w:rPr>
          <w:rFonts w:asciiTheme="minorHAnsi" w:eastAsia="Calibri" w:hAnsiTheme="minorHAnsi"/>
          <w:sz w:val="20"/>
          <w:szCs w:val="20"/>
          <w:lang w:eastAsia="en-US"/>
        </w:rPr>
        <w:t>3</w:t>
      </w:r>
      <w:r w:rsidR="00A10B00" w:rsidRPr="00701439">
        <w:rPr>
          <w:rFonts w:asciiTheme="minorHAnsi" w:eastAsia="Calibri" w:hAnsiTheme="minorHAnsi"/>
          <w:sz w:val="20"/>
          <w:szCs w:val="20"/>
          <w:lang w:eastAsia="en-US"/>
        </w:rPr>
        <w:t>8.</w:t>
      </w:r>
      <w:r w:rsidR="00FC5621" w:rsidRPr="00701439">
        <w:rPr>
          <w:rFonts w:asciiTheme="minorHAnsi" w:eastAsia="Calibri" w:hAnsiTheme="minorHAnsi"/>
          <w:sz w:val="20"/>
          <w:szCs w:val="20"/>
          <w:lang w:eastAsia="en-US"/>
        </w:rPr>
        <w:t>0</w:t>
      </w:r>
      <w:r w:rsidRPr="00701439">
        <w:rPr>
          <w:rFonts w:asciiTheme="minorHAnsi" w:eastAsia="Calibri" w:hAnsiTheme="minorHAnsi"/>
          <w:sz w:val="20"/>
          <w:szCs w:val="20"/>
          <w:lang w:eastAsia="en-US"/>
        </w:rPr>
        <w:t>m (FY’2</w:t>
      </w:r>
      <w:r w:rsidR="004522C2" w:rsidRPr="00701439">
        <w:rPr>
          <w:rFonts w:asciiTheme="minorHAnsi" w:eastAsia="Calibri" w:hAnsiTheme="minorHAnsi"/>
          <w:sz w:val="20"/>
          <w:szCs w:val="20"/>
          <w:lang w:eastAsia="en-US"/>
        </w:rPr>
        <w:t>1</w:t>
      </w:r>
      <w:r w:rsidRPr="00701439">
        <w:rPr>
          <w:rFonts w:asciiTheme="minorHAnsi" w:eastAsia="Calibri" w:hAnsiTheme="minorHAnsi"/>
          <w:sz w:val="20"/>
          <w:szCs w:val="20"/>
          <w:lang w:eastAsia="en-US"/>
        </w:rPr>
        <w:t>: £</w:t>
      </w:r>
      <w:r w:rsidR="004522C2" w:rsidRPr="00701439">
        <w:rPr>
          <w:rFonts w:asciiTheme="minorHAnsi" w:eastAsia="Calibri" w:hAnsiTheme="minorHAnsi"/>
          <w:sz w:val="20"/>
          <w:szCs w:val="20"/>
          <w:lang w:eastAsia="en-US"/>
        </w:rPr>
        <w:t>28.9</w:t>
      </w:r>
      <w:r w:rsidRPr="00701439">
        <w:rPr>
          <w:rFonts w:asciiTheme="minorHAnsi" w:eastAsia="Calibri" w:hAnsiTheme="minorHAnsi"/>
          <w:sz w:val="20"/>
          <w:szCs w:val="20"/>
          <w:lang w:eastAsia="en-US"/>
        </w:rPr>
        <w:t>m) and receivables at the period end were £</w:t>
      </w:r>
      <w:r w:rsidR="00E75468" w:rsidRPr="00701439">
        <w:rPr>
          <w:rFonts w:asciiTheme="minorHAnsi" w:eastAsia="Calibri" w:hAnsiTheme="minorHAnsi"/>
          <w:sz w:val="20"/>
          <w:szCs w:val="20"/>
          <w:lang w:eastAsia="en-US"/>
        </w:rPr>
        <w:t>646</w:t>
      </w:r>
      <w:r w:rsidRPr="00701439">
        <w:rPr>
          <w:rFonts w:asciiTheme="minorHAnsi" w:eastAsia="Calibri" w:hAnsiTheme="minorHAnsi"/>
          <w:sz w:val="20"/>
          <w:szCs w:val="20"/>
          <w:lang w:eastAsia="en-US"/>
        </w:rPr>
        <w:t>m (FY’2</w:t>
      </w:r>
      <w:r w:rsidR="004522C2" w:rsidRPr="00701439">
        <w:rPr>
          <w:rFonts w:asciiTheme="minorHAnsi" w:eastAsia="Calibri" w:hAnsiTheme="minorHAnsi"/>
          <w:sz w:val="20"/>
          <w:szCs w:val="20"/>
          <w:lang w:eastAsia="en-US"/>
        </w:rPr>
        <w:t>1</w:t>
      </w:r>
      <w:r w:rsidRPr="00701439">
        <w:rPr>
          <w:rFonts w:asciiTheme="minorHAnsi" w:eastAsia="Calibri" w:hAnsiTheme="minorHAnsi"/>
          <w:sz w:val="20"/>
          <w:szCs w:val="20"/>
          <w:lang w:eastAsia="en-US"/>
        </w:rPr>
        <w:t>: £5</w:t>
      </w:r>
      <w:r w:rsidR="004522C2" w:rsidRPr="00701439">
        <w:rPr>
          <w:rFonts w:asciiTheme="minorHAnsi" w:eastAsia="Calibri" w:hAnsiTheme="minorHAnsi"/>
          <w:sz w:val="20"/>
          <w:szCs w:val="20"/>
          <w:lang w:eastAsia="en-US"/>
        </w:rPr>
        <w:t>86</w:t>
      </w:r>
      <w:r w:rsidRPr="00701439">
        <w:rPr>
          <w:rFonts w:asciiTheme="minorHAnsi" w:eastAsia="Calibri" w:hAnsiTheme="minorHAnsi"/>
          <w:sz w:val="20"/>
          <w:szCs w:val="20"/>
          <w:lang w:eastAsia="en-US"/>
        </w:rPr>
        <w:t>m)</w:t>
      </w:r>
      <w:r w:rsidR="00BD6C85" w:rsidRPr="00701439">
        <w:rPr>
          <w:rFonts w:asciiTheme="minorHAnsi" w:eastAsia="Calibri" w:hAnsiTheme="minorHAnsi"/>
          <w:sz w:val="20"/>
          <w:szCs w:val="20"/>
          <w:lang w:eastAsia="en-US"/>
        </w:rPr>
        <w:t xml:space="preserve">, representing </w:t>
      </w:r>
      <w:r w:rsidR="004F2077" w:rsidRPr="00701439">
        <w:rPr>
          <w:rFonts w:asciiTheme="minorHAnsi" w:eastAsia="Calibri" w:hAnsiTheme="minorHAnsi"/>
          <w:sz w:val="20"/>
          <w:szCs w:val="20"/>
          <w:lang w:eastAsia="en-US"/>
        </w:rPr>
        <w:t xml:space="preserve">growth of 10% year-on-year. </w:t>
      </w:r>
    </w:p>
    <w:p w14:paraId="0166787E" w14:textId="400D4F7A" w:rsidR="00740F8E" w:rsidRPr="00701439" w:rsidRDefault="00740F8E" w:rsidP="00E534C5">
      <w:pPr>
        <w:spacing w:after="160"/>
        <w:jc w:val="both"/>
        <w:rPr>
          <w:rFonts w:asciiTheme="minorHAnsi" w:eastAsia="Calibri" w:hAnsiTheme="minorHAnsi"/>
          <w:sz w:val="20"/>
          <w:szCs w:val="20"/>
          <w:lang w:eastAsia="en-US"/>
        </w:rPr>
      </w:pPr>
      <w:r w:rsidRPr="00701439">
        <w:rPr>
          <w:rFonts w:asciiTheme="minorHAnsi" w:eastAsia="Calibri" w:hAnsiTheme="minorHAnsi"/>
          <w:sz w:val="20"/>
          <w:szCs w:val="20"/>
          <w:lang w:eastAsia="en-US"/>
        </w:rPr>
        <w:t xml:space="preserve">New business volumes </w:t>
      </w:r>
      <w:r w:rsidR="00A05CDD" w:rsidRPr="00701439">
        <w:rPr>
          <w:rFonts w:asciiTheme="minorHAnsi" w:eastAsia="Calibri" w:hAnsiTheme="minorHAnsi"/>
          <w:sz w:val="20"/>
          <w:szCs w:val="20"/>
          <w:lang w:eastAsia="en-US"/>
        </w:rPr>
        <w:t>in</w:t>
      </w:r>
      <w:r w:rsidRPr="00701439">
        <w:rPr>
          <w:rFonts w:asciiTheme="minorHAnsi" w:eastAsia="Calibri" w:hAnsiTheme="minorHAnsi"/>
          <w:sz w:val="20"/>
          <w:szCs w:val="20"/>
          <w:lang w:eastAsia="en-US"/>
        </w:rPr>
        <w:t xml:space="preserve"> </w:t>
      </w:r>
      <w:r w:rsidR="008830F9" w:rsidRPr="00701439">
        <w:rPr>
          <w:rFonts w:asciiTheme="minorHAnsi" w:eastAsia="Calibri" w:hAnsiTheme="minorHAnsi"/>
          <w:sz w:val="20"/>
          <w:szCs w:val="20"/>
          <w:lang w:eastAsia="en-US"/>
        </w:rPr>
        <w:t>FY’22</w:t>
      </w:r>
      <w:r w:rsidRPr="00701439">
        <w:rPr>
          <w:rFonts w:asciiTheme="minorHAnsi" w:eastAsia="Calibri" w:hAnsiTheme="minorHAnsi"/>
          <w:sz w:val="20"/>
          <w:szCs w:val="20"/>
          <w:lang w:eastAsia="en-US"/>
        </w:rPr>
        <w:t xml:space="preserve"> </w:t>
      </w:r>
      <w:r w:rsidR="00A05CDD" w:rsidRPr="00701439">
        <w:rPr>
          <w:rFonts w:asciiTheme="minorHAnsi" w:eastAsia="Calibri" w:hAnsiTheme="minorHAnsi"/>
          <w:sz w:val="20"/>
          <w:szCs w:val="20"/>
          <w:lang w:eastAsia="en-US"/>
        </w:rPr>
        <w:t>grew by 14%</w:t>
      </w:r>
      <w:r w:rsidRPr="00701439">
        <w:rPr>
          <w:rFonts w:asciiTheme="minorHAnsi" w:eastAsia="Calibri" w:hAnsiTheme="minorHAnsi"/>
          <w:sz w:val="20"/>
          <w:szCs w:val="20"/>
          <w:lang w:eastAsia="en-US"/>
        </w:rPr>
        <w:t xml:space="preserve"> versus </w:t>
      </w:r>
      <w:r w:rsidR="00FA3499" w:rsidRPr="00701439">
        <w:rPr>
          <w:rFonts w:asciiTheme="minorHAnsi" w:eastAsia="Calibri" w:hAnsiTheme="minorHAnsi"/>
          <w:sz w:val="20"/>
          <w:szCs w:val="20"/>
          <w:lang w:eastAsia="en-US"/>
        </w:rPr>
        <w:t>FY’21</w:t>
      </w:r>
      <w:r w:rsidRPr="00701439">
        <w:rPr>
          <w:rFonts w:asciiTheme="minorHAnsi" w:eastAsia="Calibri" w:hAnsiTheme="minorHAnsi"/>
          <w:sz w:val="20"/>
          <w:szCs w:val="20"/>
          <w:lang w:eastAsia="en-US"/>
        </w:rPr>
        <w:t xml:space="preserve"> at </w:t>
      </w:r>
      <w:r w:rsidR="00FC51AE" w:rsidRPr="00701439">
        <w:rPr>
          <w:rFonts w:asciiTheme="minorHAnsi" w:eastAsia="Calibri" w:hAnsiTheme="minorHAnsi"/>
          <w:sz w:val="20"/>
          <w:szCs w:val="20"/>
          <w:lang w:eastAsia="en-US"/>
        </w:rPr>
        <w:t>42</w:t>
      </w:r>
      <w:r w:rsidRPr="00701439">
        <w:rPr>
          <w:rFonts w:asciiTheme="minorHAnsi" w:eastAsia="Calibri" w:hAnsiTheme="minorHAnsi"/>
          <w:sz w:val="20"/>
          <w:szCs w:val="20"/>
          <w:lang w:eastAsia="en-US"/>
        </w:rPr>
        <w:t>k (FY’2</w:t>
      </w:r>
      <w:r w:rsidR="00881B90" w:rsidRPr="00701439">
        <w:rPr>
          <w:rFonts w:asciiTheme="minorHAnsi" w:eastAsia="Calibri" w:hAnsiTheme="minorHAnsi"/>
          <w:sz w:val="20"/>
          <w:szCs w:val="20"/>
          <w:lang w:eastAsia="en-US"/>
        </w:rPr>
        <w:t>1</w:t>
      </w:r>
      <w:r w:rsidRPr="00701439">
        <w:rPr>
          <w:rFonts w:asciiTheme="minorHAnsi" w:eastAsia="Calibri" w:hAnsiTheme="minorHAnsi"/>
          <w:sz w:val="20"/>
          <w:szCs w:val="20"/>
          <w:lang w:eastAsia="en-US"/>
        </w:rPr>
        <w:t>: 3</w:t>
      </w:r>
      <w:r w:rsidR="00881B90" w:rsidRPr="00701439">
        <w:rPr>
          <w:rFonts w:asciiTheme="minorHAnsi" w:eastAsia="Calibri" w:hAnsiTheme="minorHAnsi"/>
          <w:sz w:val="20"/>
          <w:szCs w:val="20"/>
          <w:lang w:eastAsia="en-US"/>
        </w:rPr>
        <w:t>7</w:t>
      </w:r>
      <w:r w:rsidRPr="00701439">
        <w:rPr>
          <w:rFonts w:asciiTheme="minorHAnsi" w:eastAsia="Calibri" w:hAnsiTheme="minorHAnsi"/>
          <w:sz w:val="20"/>
          <w:szCs w:val="20"/>
          <w:lang w:eastAsia="en-US"/>
        </w:rPr>
        <w:t xml:space="preserve">k) </w:t>
      </w:r>
      <w:r w:rsidR="00427371" w:rsidRPr="00701439">
        <w:rPr>
          <w:rFonts w:asciiTheme="minorHAnsi" w:eastAsia="Calibri" w:hAnsiTheme="minorHAnsi"/>
          <w:sz w:val="20"/>
          <w:szCs w:val="20"/>
          <w:lang w:eastAsia="en-US"/>
        </w:rPr>
        <w:t>notwithstanding the challenging macroeconomic backdrop</w:t>
      </w:r>
      <w:r w:rsidRPr="00701439">
        <w:rPr>
          <w:rFonts w:asciiTheme="minorHAnsi" w:eastAsia="Calibri" w:hAnsiTheme="minorHAnsi"/>
          <w:sz w:val="20"/>
          <w:szCs w:val="20"/>
          <w:lang w:eastAsia="en-US"/>
        </w:rPr>
        <w:t xml:space="preserve">. </w:t>
      </w:r>
      <w:r w:rsidR="00427371" w:rsidRPr="00701439">
        <w:rPr>
          <w:rFonts w:asciiTheme="minorHAnsi" w:eastAsia="Calibri" w:hAnsiTheme="minorHAnsi"/>
          <w:sz w:val="20"/>
          <w:szCs w:val="20"/>
          <w:lang w:eastAsia="en-US"/>
        </w:rPr>
        <w:t>As a result</w:t>
      </w:r>
      <w:r w:rsidRPr="00701439">
        <w:rPr>
          <w:rFonts w:asciiTheme="minorHAnsi" w:eastAsia="Calibri" w:hAnsiTheme="minorHAnsi"/>
          <w:sz w:val="20"/>
          <w:szCs w:val="20"/>
          <w:lang w:eastAsia="en-US"/>
        </w:rPr>
        <w:t xml:space="preserve">, the vehicle finance business ended the year with </w:t>
      </w:r>
      <w:r w:rsidR="008B782B" w:rsidRPr="00701439">
        <w:rPr>
          <w:rFonts w:asciiTheme="minorHAnsi" w:eastAsia="Calibri" w:hAnsiTheme="minorHAnsi"/>
          <w:sz w:val="20"/>
          <w:szCs w:val="20"/>
          <w:lang w:eastAsia="en-US"/>
        </w:rPr>
        <w:t>100</w:t>
      </w:r>
      <w:r w:rsidRPr="00701439">
        <w:rPr>
          <w:rFonts w:asciiTheme="minorHAnsi" w:eastAsia="Calibri" w:hAnsiTheme="minorHAnsi"/>
          <w:sz w:val="20"/>
          <w:szCs w:val="20"/>
          <w:lang w:eastAsia="en-US"/>
        </w:rPr>
        <w:t xml:space="preserve">k customers </w:t>
      </w:r>
      <w:r w:rsidR="00427371" w:rsidRPr="00701439">
        <w:rPr>
          <w:rFonts w:asciiTheme="minorHAnsi" w:eastAsia="Calibri" w:hAnsiTheme="minorHAnsi"/>
          <w:sz w:val="20"/>
          <w:szCs w:val="20"/>
          <w:lang w:eastAsia="en-US"/>
        </w:rPr>
        <w:t xml:space="preserve">for the first time in its history (FY’21: </w:t>
      </w:r>
      <w:r w:rsidR="00881B90" w:rsidRPr="00701439">
        <w:rPr>
          <w:rFonts w:asciiTheme="minorHAnsi" w:eastAsia="Calibri" w:hAnsiTheme="minorHAnsi"/>
          <w:sz w:val="20"/>
          <w:szCs w:val="20"/>
          <w:lang w:eastAsia="en-US"/>
        </w:rPr>
        <w:t>93.9</w:t>
      </w:r>
      <w:r w:rsidRPr="00701439">
        <w:rPr>
          <w:rFonts w:asciiTheme="minorHAnsi" w:eastAsia="Calibri" w:hAnsiTheme="minorHAnsi"/>
          <w:sz w:val="20"/>
          <w:szCs w:val="20"/>
          <w:lang w:eastAsia="en-US"/>
        </w:rPr>
        <w:t>k</w:t>
      </w:r>
      <w:r w:rsidR="00427371" w:rsidRPr="00701439">
        <w:rPr>
          <w:rFonts w:asciiTheme="minorHAnsi" w:eastAsia="Calibri" w:hAnsiTheme="minorHAnsi"/>
          <w:sz w:val="20"/>
          <w:szCs w:val="20"/>
          <w:lang w:eastAsia="en-US"/>
        </w:rPr>
        <w:t>)</w:t>
      </w:r>
      <w:r w:rsidRPr="00701439">
        <w:rPr>
          <w:rFonts w:asciiTheme="minorHAnsi" w:eastAsia="Calibri" w:hAnsiTheme="minorHAnsi"/>
          <w:sz w:val="20"/>
          <w:szCs w:val="20"/>
          <w:lang w:eastAsia="en-US"/>
        </w:rPr>
        <w:t xml:space="preserve">. </w:t>
      </w:r>
      <w:r w:rsidR="002B0DFB" w:rsidRPr="00701439">
        <w:rPr>
          <w:rFonts w:asciiTheme="minorHAnsi" w:eastAsia="Calibri" w:hAnsiTheme="minorHAnsi"/>
          <w:sz w:val="20"/>
          <w:szCs w:val="20"/>
          <w:lang w:eastAsia="en-US"/>
        </w:rPr>
        <w:t xml:space="preserve">As a result of its focus on higher quality customers on average, and the robust pricing environment seen in the used-car market throughout 2022, the average loan size increased to approximately £9k whilst maintaining average </w:t>
      </w:r>
      <w:r w:rsidR="000A218E" w:rsidRPr="00701439">
        <w:rPr>
          <w:rFonts w:asciiTheme="minorHAnsi" w:eastAsia="Calibri" w:hAnsiTheme="minorHAnsi"/>
          <w:sz w:val="20"/>
          <w:szCs w:val="20"/>
          <w:lang w:eastAsia="en-US"/>
        </w:rPr>
        <w:t>l</w:t>
      </w:r>
      <w:r w:rsidR="002B0DFB" w:rsidRPr="00701439">
        <w:rPr>
          <w:rFonts w:asciiTheme="minorHAnsi" w:eastAsia="Calibri" w:hAnsiTheme="minorHAnsi"/>
          <w:sz w:val="20"/>
          <w:szCs w:val="20"/>
          <w:lang w:eastAsia="en-US"/>
        </w:rPr>
        <w:t xml:space="preserve">oan to </w:t>
      </w:r>
      <w:r w:rsidR="00284840" w:rsidRPr="00701439">
        <w:rPr>
          <w:rFonts w:asciiTheme="minorHAnsi" w:eastAsia="Calibri" w:hAnsiTheme="minorHAnsi"/>
          <w:sz w:val="20"/>
          <w:szCs w:val="20"/>
          <w:lang w:eastAsia="en-US"/>
        </w:rPr>
        <w:t>v</w:t>
      </w:r>
      <w:r w:rsidR="002B0DFB" w:rsidRPr="00701439">
        <w:rPr>
          <w:rFonts w:asciiTheme="minorHAnsi" w:eastAsia="Calibri" w:hAnsiTheme="minorHAnsi"/>
          <w:sz w:val="20"/>
          <w:szCs w:val="20"/>
          <w:lang w:eastAsia="en-US"/>
        </w:rPr>
        <w:t>alues consistent with 2021, which drove total credit issued to over £342m after unwinds (FY’21: £287m).</w:t>
      </w:r>
      <w:r w:rsidR="002B0DFB" w:rsidRPr="00701439" w:rsidDel="002B0DFB">
        <w:rPr>
          <w:rFonts w:asciiTheme="minorHAnsi" w:eastAsia="Calibri" w:hAnsiTheme="minorHAnsi"/>
          <w:sz w:val="20"/>
          <w:szCs w:val="20"/>
          <w:lang w:eastAsia="en-US"/>
        </w:rPr>
        <w:t xml:space="preserve"> </w:t>
      </w:r>
    </w:p>
    <w:p w14:paraId="53291891" w14:textId="6CA49EC6" w:rsidR="00740F8E" w:rsidRPr="00701439" w:rsidRDefault="00740F8E" w:rsidP="00E534C5">
      <w:pPr>
        <w:spacing w:after="160"/>
        <w:jc w:val="both"/>
        <w:rPr>
          <w:rFonts w:asciiTheme="minorHAnsi" w:eastAsia="Calibri" w:hAnsiTheme="minorHAnsi"/>
          <w:sz w:val="20"/>
          <w:szCs w:val="20"/>
          <w:lang w:eastAsia="en-US"/>
        </w:rPr>
      </w:pPr>
      <w:r w:rsidRPr="00701439">
        <w:rPr>
          <w:rFonts w:asciiTheme="minorHAnsi" w:eastAsia="Calibri" w:hAnsiTheme="minorHAnsi"/>
          <w:sz w:val="20"/>
          <w:szCs w:val="20"/>
          <w:lang w:eastAsia="en-US"/>
        </w:rPr>
        <w:t>At the end of December, receivables stood at £</w:t>
      </w:r>
      <w:r w:rsidR="007B7911" w:rsidRPr="00701439">
        <w:rPr>
          <w:rFonts w:asciiTheme="minorHAnsi" w:eastAsia="Calibri" w:hAnsiTheme="minorHAnsi"/>
          <w:sz w:val="20"/>
          <w:szCs w:val="20"/>
          <w:lang w:eastAsia="en-US"/>
        </w:rPr>
        <w:t>646</w:t>
      </w:r>
      <w:r w:rsidR="00A10B00" w:rsidRPr="00701439">
        <w:rPr>
          <w:rFonts w:asciiTheme="minorHAnsi" w:eastAsia="Calibri" w:hAnsiTheme="minorHAnsi"/>
          <w:sz w:val="20"/>
          <w:szCs w:val="20"/>
          <w:lang w:eastAsia="en-US"/>
        </w:rPr>
        <w:t>.</w:t>
      </w:r>
      <w:r w:rsidR="007B7911" w:rsidRPr="00701439">
        <w:rPr>
          <w:rFonts w:asciiTheme="minorHAnsi" w:eastAsia="Calibri" w:hAnsiTheme="minorHAnsi"/>
          <w:sz w:val="20"/>
          <w:szCs w:val="20"/>
          <w:lang w:eastAsia="en-US"/>
        </w:rPr>
        <w:t>1</w:t>
      </w:r>
      <w:r w:rsidRPr="00701439">
        <w:rPr>
          <w:rFonts w:asciiTheme="minorHAnsi" w:eastAsia="Calibri" w:hAnsiTheme="minorHAnsi"/>
          <w:sz w:val="20"/>
          <w:szCs w:val="20"/>
          <w:lang w:eastAsia="en-US"/>
        </w:rPr>
        <w:t>m (FY’2</w:t>
      </w:r>
      <w:r w:rsidR="00E245BE" w:rsidRPr="00701439">
        <w:rPr>
          <w:rFonts w:asciiTheme="minorHAnsi" w:eastAsia="Calibri" w:hAnsiTheme="minorHAnsi"/>
          <w:sz w:val="20"/>
          <w:szCs w:val="20"/>
          <w:lang w:eastAsia="en-US"/>
        </w:rPr>
        <w:t>1</w:t>
      </w:r>
      <w:r w:rsidRPr="00701439">
        <w:rPr>
          <w:rFonts w:asciiTheme="minorHAnsi" w:eastAsia="Calibri" w:hAnsiTheme="minorHAnsi"/>
          <w:sz w:val="20"/>
          <w:szCs w:val="20"/>
          <w:lang w:eastAsia="en-US"/>
        </w:rPr>
        <w:t>: £5</w:t>
      </w:r>
      <w:r w:rsidR="00E245BE" w:rsidRPr="00701439">
        <w:rPr>
          <w:rFonts w:asciiTheme="minorHAnsi" w:eastAsia="Calibri" w:hAnsiTheme="minorHAnsi"/>
          <w:sz w:val="20"/>
          <w:szCs w:val="20"/>
          <w:lang w:eastAsia="en-US"/>
        </w:rPr>
        <w:t>8</w:t>
      </w:r>
      <w:r w:rsidRPr="00701439">
        <w:rPr>
          <w:rFonts w:asciiTheme="minorHAnsi" w:eastAsia="Calibri" w:hAnsiTheme="minorHAnsi"/>
          <w:sz w:val="20"/>
          <w:szCs w:val="20"/>
          <w:lang w:eastAsia="en-US"/>
        </w:rPr>
        <w:t>6.</w:t>
      </w:r>
      <w:r w:rsidR="00E245BE" w:rsidRPr="00701439">
        <w:rPr>
          <w:rFonts w:asciiTheme="minorHAnsi" w:eastAsia="Calibri" w:hAnsiTheme="minorHAnsi"/>
          <w:sz w:val="20"/>
          <w:szCs w:val="20"/>
          <w:lang w:eastAsia="en-US"/>
        </w:rPr>
        <w:t>2</w:t>
      </w:r>
      <w:r w:rsidRPr="00701439">
        <w:rPr>
          <w:rFonts w:asciiTheme="minorHAnsi" w:eastAsia="Calibri" w:hAnsiTheme="minorHAnsi"/>
          <w:sz w:val="20"/>
          <w:szCs w:val="20"/>
          <w:lang w:eastAsia="en-US"/>
        </w:rPr>
        <w:t xml:space="preserve">m), driven by </w:t>
      </w:r>
      <w:r w:rsidR="000F6AD3" w:rsidRPr="00701439">
        <w:rPr>
          <w:rFonts w:asciiTheme="minorHAnsi" w:eastAsia="Calibri" w:hAnsiTheme="minorHAnsi"/>
          <w:sz w:val="20"/>
          <w:szCs w:val="20"/>
          <w:lang w:eastAsia="en-US"/>
        </w:rPr>
        <w:t>the improvement in</w:t>
      </w:r>
      <w:r w:rsidRPr="00701439">
        <w:rPr>
          <w:rFonts w:asciiTheme="minorHAnsi" w:eastAsia="Calibri" w:hAnsiTheme="minorHAnsi"/>
          <w:sz w:val="20"/>
          <w:szCs w:val="20"/>
          <w:lang w:eastAsia="en-US"/>
        </w:rPr>
        <w:t xml:space="preserve"> business volumes </w:t>
      </w:r>
      <w:r w:rsidR="000F6AD3" w:rsidRPr="00701439">
        <w:rPr>
          <w:rFonts w:asciiTheme="minorHAnsi" w:eastAsia="Calibri" w:hAnsiTheme="minorHAnsi"/>
          <w:sz w:val="20"/>
          <w:szCs w:val="20"/>
          <w:lang w:eastAsia="en-US"/>
        </w:rPr>
        <w:t>year-on-year, particularly during</w:t>
      </w:r>
      <w:r w:rsidRPr="00701439">
        <w:rPr>
          <w:rFonts w:asciiTheme="minorHAnsi" w:eastAsia="Calibri" w:hAnsiTheme="minorHAnsi"/>
          <w:sz w:val="20"/>
          <w:szCs w:val="20"/>
          <w:lang w:eastAsia="en-US"/>
        </w:rPr>
        <w:t xml:space="preserve"> the second half of the year. </w:t>
      </w:r>
    </w:p>
    <w:p w14:paraId="6AA0659D" w14:textId="59AED65B" w:rsidR="00740F8E" w:rsidRPr="00701439" w:rsidRDefault="00E245BE" w:rsidP="00E534C5">
      <w:pPr>
        <w:spacing w:after="160"/>
        <w:jc w:val="both"/>
        <w:rPr>
          <w:rFonts w:asciiTheme="minorHAnsi" w:eastAsia="Calibri" w:hAnsiTheme="minorHAnsi"/>
          <w:sz w:val="20"/>
          <w:szCs w:val="20"/>
          <w:lang w:eastAsia="en-US"/>
        </w:rPr>
      </w:pPr>
      <w:r w:rsidRPr="00701439">
        <w:rPr>
          <w:rFonts w:asciiTheme="minorHAnsi" w:eastAsia="Calibri" w:hAnsiTheme="minorHAnsi"/>
          <w:sz w:val="20"/>
          <w:szCs w:val="20"/>
          <w:lang w:eastAsia="en-US"/>
        </w:rPr>
        <w:lastRenderedPageBreak/>
        <w:t>Interest income</w:t>
      </w:r>
      <w:r w:rsidR="00740F8E" w:rsidRPr="00701439">
        <w:rPr>
          <w:rFonts w:asciiTheme="minorHAnsi" w:eastAsia="Calibri" w:hAnsiTheme="minorHAnsi"/>
          <w:sz w:val="20"/>
          <w:szCs w:val="20"/>
          <w:lang w:eastAsia="en-US"/>
        </w:rPr>
        <w:t xml:space="preserve"> during </w:t>
      </w:r>
      <w:r w:rsidR="00CF4FD9" w:rsidRPr="00701439">
        <w:rPr>
          <w:rFonts w:asciiTheme="minorHAnsi" w:eastAsia="Calibri" w:hAnsiTheme="minorHAnsi"/>
          <w:sz w:val="20"/>
          <w:szCs w:val="20"/>
          <w:lang w:eastAsia="en-US"/>
        </w:rPr>
        <w:t>FY’22</w:t>
      </w:r>
      <w:r w:rsidR="00740F8E" w:rsidRPr="00701439">
        <w:rPr>
          <w:rFonts w:asciiTheme="minorHAnsi" w:eastAsia="Calibri" w:hAnsiTheme="minorHAnsi"/>
          <w:sz w:val="20"/>
          <w:szCs w:val="20"/>
          <w:lang w:eastAsia="en-US"/>
        </w:rPr>
        <w:t xml:space="preserve"> </w:t>
      </w:r>
      <w:r w:rsidR="00A57329" w:rsidRPr="00701439">
        <w:rPr>
          <w:rFonts w:asciiTheme="minorHAnsi" w:eastAsia="Calibri" w:hAnsiTheme="minorHAnsi"/>
          <w:sz w:val="20"/>
          <w:szCs w:val="20"/>
          <w:lang w:eastAsia="en-US"/>
        </w:rPr>
        <w:t>increased</w:t>
      </w:r>
      <w:r w:rsidR="00864AA8" w:rsidRPr="00701439">
        <w:rPr>
          <w:rFonts w:asciiTheme="minorHAnsi" w:eastAsia="Calibri" w:hAnsiTheme="minorHAnsi"/>
          <w:sz w:val="20"/>
          <w:szCs w:val="20"/>
          <w:lang w:eastAsia="en-US"/>
        </w:rPr>
        <w:t xml:space="preserve"> </w:t>
      </w:r>
      <w:r w:rsidR="00740F8E" w:rsidRPr="00701439">
        <w:rPr>
          <w:rFonts w:asciiTheme="minorHAnsi" w:eastAsia="Calibri" w:hAnsiTheme="minorHAnsi"/>
          <w:sz w:val="20"/>
          <w:szCs w:val="20"/>
          <w:lang w:eastAsia="en-US"/>
        </w:rPr>
        <w:t>to £1</w:t>
      </w:r>
      <w:r w:rsidR="00322E3B" w:rsidRPr="00701439">
        <w:rPr>
          <w:rFonts w:asciiTheme="minorHAnsi" w:eastAsia="Calibri" w:hAnsiTheme="minorHAnsi"/>
          <w:sz w:val="20"/>
          <w:szCs w:val="20"/>
          <w:lang w:eastAsia="en-US"/>
        </w:rPr>
        <w:t>40</w:t>
      </w:r>
      <w:r w:rsidR="00A10B00" w:rsidRPr="00701439">
        <w:rPr>
          <w:rFonts w:asciiTheme="minorHAnsi" w:eastAsia="Calibri" w:hAnsiTheme="minorHAnsi"/>
          <w:sz w:val="20"/>
          <w:szCs w:val="20"/>
          <w:lang w:eastAsia="en-US"/>
        </w:rPr>
        <w:t>.</w:t>
      </w:r>
      <w:r w:rsidR="00322E3B" w:rsidRPr="00701439">
        <w:rPr>
          <w:rFonts w:asciiTheme="minorHAnsi" w:eastAsia="Calibri" w:hAnsiTheme="minorHAnsi"/>
          <w:sz w:val="20"/>
          <w:szCs w:val="20"/>
          <w:lang w:eastAsia="en-US"/>
        </w:rPr>
        <w:t>6</w:t>
      </w:r>
      <w:r w:rsidR="00740F8E" w:rsidRPr="00701439">
        <w:rPr>
          <w:rFonts w:asciiTheme="minorHAnsi" w:eastAsia="Calibri" w:hAnsiTheme="minorHAnsi"/>
          <w:sz w:val="20"/>
          <w:szCs w:val="20"/>
          <w:lang w:eastAsia="en-US"/>
        </w:rPr>
        <w:t>m (FY’2</w:t>
      </w:r>
      <w:r w:rsidRPr="00701439">
        <w:rPr>
          <w:rFonts w:asciiTheme="minorHAnsi" w:eastAsia="Calibri" w:hAnsiTheme="minorHAnsi"/>
          <w:sz w:val="20"/>
          <w:szCs w:val="20"/>
          <w:lang w:eastAsia="en-US"/>
        </w:rPr>
        <w:t>1</w:t>
      </w:r>
      <w:r w:rsidR="00740F8E" w:rsidRPr="00701439">
        <w:rPr>
          <w:rFonts w:asciiTheme="minorHAnsi" w:eastAsia="Calibri" w:hAnsiTheme="minorHAnsi"/>
          <w:sz w:val="20"/>
          <w:szCs w:val="20"/>
          <w:lang w:eastAsia="en-US"/>
        </w:rPr>
        <w:t>: £13</w:t>
      </w:r>
      <w:r w:rsidR="00BA2433" w:rsidRPr="00701439">
        <w:rPr>
          <w:rFonts w:asciiTheme="minorHAnsi" w:eastAsia="Calibri" w:hAnsiTheme="minorHAnsi"/>
          <w:sz w:val="20"/>
          <w:szCs w:val="20"/>
          <w:lang w:eastAsia="en-US"/>
        </w:rPr>
        <w:t>7</w:t>
      </w:r>
      <w:r w:rsidR="00740F8E" w:rsidRPr="00701439">
        <w:rPr>
          <w:rFonts w:asciiTheme="minorHAnsi" w:eastAsia="Calibri" w:hAnsiTheme="minorHAnsi"/>
          <w:sz w:val="20"/>
          <w:szCs w:val="20"/>
          <w:lang w:eastAsia="en-US"/>
        </w:rPr>
        <w:t>.</w:t>
      </w:r>
      <w:r w:rsidR="00BA2433" w:rsidRPr="00701439">
        <w:rPr>
          <w:rFonts w:asciiTheme="minorHAnsi" w:eastAsia="Calibri" w:hAnsiTheme="minorHAnsi"/>
          <w:sz w:val="20"/>
          <w:szCs w:val="20"/>
          <w:lang w:eastAsia="en-US"/>
        </w:rPr>
        <w:t>9</w:t>
      </w:r>
      <w:r w:rsidR="00740F8E" w:rsidRPr="00701439">
        <w:rPr>
          <w:rFonts w:asciiTheme="minorHAnsi" w:eastAsia="Calibri" w:hAnsiTheme="minorHAnsi"/>
          <w:sz w:val="20"/>
          <w:szCs w:val="20"/>
          <w:lang w:eastAsia="en-US"/>
        </w:rPr>
        <w:t>m)</w:t>
      </w:r>
      <w:r w:rsidR="00F92BC9" w:rsidRPr="00701439">
        <w:rPr>
          <w:rFonts w:asciiTheme="minorHAnsi" w:eastAsia="Calibri" w:hAnsiTheme="minorHAnsi"/>
          <w:sz w:val="20"/>
          <w:szCs w:val="20"/>
          <w:lang w:eastAsia="en-US"/>
        </w:rPr>
        <w:t xml:space="preserve"> </w:t>
      </w:r>
      <w:r w:rsidR="00675A70" w:rsidRPr="00701439">
        <w:rPr>
          <w:rFonts w:asciiTheme="minorHAnsi" w:eastAsia="Calibri" w:hAnsiTheme="minorHAnsi"/>
          <w:sz w:val="20"/>
          <w:szCs w:val="20"/>
          <w:lang w:eastAsia="en-US"/>
        </w:rPr>
        <w:t xml:space="preserve">reflecting </w:t>
      </w:r>
      <w:r w:rsidR="00740F8E" w:rsidRPr="00701439">
        <w:rPr>
          <w:rFonts w:asciiTheme="minorHAnsi" w:eastAsia="Calibri" w:hAnsiTheme="minorHAnsi"/>
          <w:sz w:val="20"/>
          <w:szCs w:val="20"/>
          <w:lang w:eastAsia="en-US"/>
        </w:rPr>
        <w:t xml:space="preserve">the </w:t>
      </w:r>
      <w:r w:rsidR="00675A70" w:rsidRPr="00701439">
        <w:rPr>
          <w:rFonts w:asciiTheme="minorHAnsi" w:eastAsia="Calibri" w:hAnsiTheme="minorHAnsi"/>
          <w:sz w:val="20"/>
          <w:szCs w:val="20"/>
          <w:lang w:eastAsia="en-US"/>
        </w:rPr>
        <w:t xml:space="preserve">growth in </w:t>
      </w:r>
      <w:r w:rsidR="00740F8E" w:rsidRPr="00701439">
        <w:rPr>
          <w:rFonts w:asciiTheme="minorHAnsi" w:eastAsia="Calibri" w:hAnsiTheme="minorHAnsi"/>
          <w:sz w:val="20"/>
          <w:szCs w:val="20"/>
          <w:lang w:eastAsia="en-US"/>
        </w:rPr>
        <w:t xml:space="preserve">the </w:t>
      </w:r>
      <w:r w:rsidR="00675A70" w:rsidRPr="00701439">
        <w:rPr>
          <w:rFonts w:asciiTheme="minorHAnsi" w:eastAsia="Calibri" w:hAnsiTheme="minorHAnsi"/>
          <w:sz w:val="20"/>
          <w:szCs w:val="20"/>
          <w:lang w:eastAsia="en-US"/>
        </w:rPr>
        <w:t>loan book year-on-year</w:t>
      </w:r>
      <w:r w:rsidR="004F6665" w:rsidRPr="00701439">
        <w:rPr>
          <w:rFonts w:asciiTheme="minorHAnsi" w:eastAsia="Calibri" w:hAnsiTheme="minorHAnsi"/>
          <w:sz w:val="20"/>
          <w:szCs w:val="20"/>
          <w:lang w:eastAsia="en-US"/>
        </w:rPr>
        <w:t>. T</w:t>
      </w:r>
      <w:r w:rsidR="00740F8E" w:rsidRPr="00701439">
        <w:rPr>
          <w:rFonts w:asciiTheme="minorHAnsi" w:eastAsia="Calibri" w:hAnsiTheme="minorHAnsi"/>
          <w:sz w:val="20"/>
          <w:szCs w:val="20"/>
          <w:lang w:eastAsia="en-US"/>
        </w:rPr>
        <w:t xml:space="preserve">he annualised </w:t>
      </w:r>
      <w:r w:rsidR="009656C8" w:rsidRPr="00701439">
        <w:rPr>
          <w:rFonts w:asciiTheme="minorHAnsi" w:eastAsia="Calibri" w:hAnsiTheme="minorHAnsi"/>
          <w:sz w:val="20"/>
          <w:szCs w:val="20"/>
          <w:lang w:eastAsia="en-US"/>
        </w:rPr>
        <w:t>asset</w:t>
      </w:r>
      <w:r w:rsidR="00740F8E" w:rsidRPr="00701439">
        <w:rPr>
          <w:rFonts w:asciiTheme="minorHAnsi" w:eastAsia="Calibri" w:hAnsiTheme="minorHAnsi"/>
          <w:sz w:val="20"/>
          <w:szCs w:val="20"/>
          <w:lang w:eastAsia="en-US"/>
        </w:rPr>
        <w:t xml:space="preserve"> </w:t>
      </w:r>
      <w:proofErr w:type="gramStart"/>
      <w:r w:rsidR="00740F8E" w:rsidRPr="00701439">
        <w:rPr>
          <w:rFonts w:asciiTheme="minorHAnsi" w:eastAsia="Calibri" w:hAnsiTheme="minorHAnsi"/>
          <w:sz w:val="20"/>
          <w:szCs w:val="20"/>
          <w:lang w:eastAsia="en-US"/>
        </w:rPr>
        <w:t>yield</w:t>
      </w:r>
      <w:proofErr w:type="gramEnd"/>
      <w:r w:rsidR="00740F8E" w:rsidRPr="00701439">
        <w:rPr>
          <w:rFonts w:asciiTheme="minorHAnsi" w:eastAsia="Calibri" w:hAnsiTheme="minorHAnsi"/>
          <w:sz w:val="20"/>
          <w:szCs w:val="20"/>
          <w:lang w:eastAsia="en-US"/>
        </w:rPr>
        <w:t xml:space="preserve"> </w:t>
      </w:r>
      <w:r w:rsidR="00E93820" w:rsidRPr="00701439">
        <w:rPr>
          <w:rFonts w:asciiTheme="minorHAnsi" w:eastAsia="Calibri" w:hAnsiTheme="minorHAnsi"/>
          <w:sz w:val="20"/>
          <w:szCs w:val="20"/>
          <w:lang w:eastAsia="en-US"/>
        </w:rPr>
        <w:t>increased</w:t>
      </w:r>
      <w:r w:rsidR="00C00073" w:rsidRPr="00701439">
        <w:rPr>
          <w:rFonts w:asciiTheme="minorHAnsi" w:eastAsia="Calibri" w:hAnsiTheme="minorHAnsi"/>
          <w:sz w:val="20"/>
          <w:szCs w:val="20"/>
          <w:lang w:eastAsia="en-US"/>
        </w:rPr>
        <w:t xml:space="preserve"> year-on-year</w:t>
      </w:r>
      <w:r w:rsidR="00E93820" w:rsidRPr="00701439">
        <w:rPr>
          <w:rFonts w:asciiTheme="minorHAnsi" w:eastAsia="Calibri" w:hAnsiTheme="minorHAnsi"/>
          <w:sz w:val="20"/>
          <w:szCs w:val="20"/>
          <w:lang w:eastAsia="en-US"/>
        </w:rPr>
        <w:t xml:space="preserve"> to</w:t>
      </w:r>
      <w:r w:rsidR="00740F8E" w:rsidRPr="00701439">
        <w:rPr>
          <w:rFonts w:asciiTheme="minorHAnsi" w:eastAsia="Calibri" w:hAnsiTheme="minorHAnsi"/>
          <w:sz w:val="20"/>
          <w:szCs w:val="20"/>
          <w:lang w:eastAsia="en-US"/>
        </w:rPr>
        <w:t xml:space="preserve"> 2</w:t>
      </w:r>
      <w:r w:rsidR="009656C8" w:rsidRPr="00701439">
        <w:rPr>
          <w:rFonts w:asciiTheme="minorHAnsi" w:eastAsia="Calibri" w:hAnsiTheme="minorHAnsi"/>
          <w:sz w:val="20"/>
          <w:szCs w:val="20"/>
          <w:lang w:eastAsia="en-US"/>
        </w:rPr>
        <w:t>1.4</w:t>
      </w:r>
      <w:r w:rsidR="00740F8E" w:rsidRPr="00701439">
        <w:rPr>
          <w:rFonts w:asciiTheme="minorHAnsi" w:eastAsia="Calibri" w:hAnsiTheme="minorHAnsi"/>
          <w:sz w:val="20"/>
          <w:szCs w:val="20"/>
          <w:lang w:eastAsia="en-US"/>
        </w:rPr>
        <w:t xml:space="preserve">% </w:t>
      </w:r>
      <w:r w:rsidR="005545F4" w:rsidRPr="00701439">
        <w:rPr>
          <w:rFonts w:asciiTheme="minorHAnsi" w:eastAsia="Calibri" w:hAnsiTheme="minorHAnsi"/>
          <w:sz w:val="20"/>
          <w:szCs w:val="20"/>
          <w:lang w:eastAsia="en-US"/>
        </w:rPr>
        <w:t>versus</w:t>
      </w:r>
      <w:r w:rsidR="00740F8E" w:rsidRPr="00701439">
        <w:rPr>
          <w:rFonts w:asciiTheme="minorHAnsi" w:eastAsia="Calibri" w:hAnsiTheme="minorHAnsi"/>
          <w:sz w:val="20"/>
          <w:szCs w:val="20"/>
          <w:lang w:eastAsia="en-US"/>
        </w:rPr>
        <w:t xml:space="preserve"> </w:t>
      </w:r>
      <w:r w:rsidR="009656C8" w:rsidRPr="00701439">
        <w:rPr>
          <w:rFonts w:asciiTheme="minorHAnsi" w:eastAsia="Calibri" w:hAnsiTheme="minorHAnsi"/>
          <w:sz w:val="20"/>
          <w:szCs w:val="20"/>
          <w:lang w:eastAsia="en-US"/>
        </w:rPr>
        <w:t>2</w:t>
      </w:r>
      <w:r w:rsidR="00111911" w:rsidRPr="00701439">
        <w:rPr>
          <w:rFonts w:asciiTheme="minorHAnsi" w:eastAsia="Calibri" w:hAnsiTheme="minorHAnsi"/>
          <w:sz w:val="20"/>
          <w:szCs w:val="20"/>
          <w:lang w:eastAsia="en-US"/>
        </w:rPr>
        <w:t>0</w:t>
      </w:r>
      <w:r w:rsidR="009656C8" w:rsidRPr="00701439">
        <w:rPr>
          <w:rFonts w:asciiTheme="minorHAnsi" w:eastAsia="Calibri" w:hAnsiTheme="minorHAnsi"/>
          <w:sz w:val="20"/>
          <w:szCs w:val="20"/>
          <w:lang w:eastAsia="en-US"/>
        </w:rPr>
        <w:t>.</w:t>
      </w:r>
      <w:r w:rsidR="00111911" w:rsidRPr="00701439">
        <w:rPr>
          <w:rFonts w:asciiTheme="minorHAnsi" w:eastAsia="Calibri" w:hAnsiTheme="minorHAnsi"/>
          <w:sz w:val="20"/>
          <w:szCs w:val="20"/>
          <w:lang w:eastAsia="en-US"/>
        </w:rPr>
        <w:t>5</w:t>
      </w:r>
      <w:r w:rsidR="00740F8E" w:rsidRPr="00701439">
        <w:rPr>
          <w:rFonts w:asciiTheme="minorHAnsi" w:eastAsia="Calibri" w:hAnsiTheme="minorHAnsi"/>
          <w:sz w:val="20"/>
          <w:szCs w:val="20"/>
          <w:lang w:eastAsia="en-US"/>
        </w:rPr>
        <w:t xml:space="preserve">% in </w:t>
      </w:r>
      <w:r w:rsidR="005545F4" w:rsidRPr="00701439">
        <w:rPr>
          <w:rFonts w:asciiTheme="minorHAnsi" w:eastAsia="Calibri" w:hAnsiTheme="minorHAnsi"/>
          <w:sz w:val="20"/>
          <w:szCs w:val="20"/>
          <w:lang w:eastAsia="en-US"/>
        </w:rPr>
        <w:t>FY’21</w:t>
      </w:r>
      <w:r w:rsidR="005D2881" w:rsidRPr="00701439">
        <w:rPr>
          <w:rFonts w:asciiTheme="minorHAnsi" w:eastAsia="Calibri" w:hAnsiTheme="minorHAnsi"/>
          <w:sz w:val="20"/>
          <w:szCs w:val="20"/>
          <w:lang w:eastAsia="en-US"/>
        </w:rPr>
        <w:t xml:space="preserve"> reflecting the </w:t>
      </w:r>
      <w:r w:rsidR="00941DFD" w:rsidRPr="00701439">
        <w:rPr>
          <w:rFonts w:asciiTheme="minorHAnsi" w:eastAsia="Calibri" w:hAnsiTheme="minorHAnsi"/>
          <w:sz w:val="20"/>
          <w:szCs w:val="20"/>
          <w:lang w:eastAsia="en-US"/>
        </w:rPr>
        <w:t>fall</w:t>
      </w:r>
      <w:r w:rsidR="005D2881" w:rsidRPr="00701439">
        <w:rPr>
          <w:rFonts w:asciiTheme="minorHAnsi" w:eastAsia="Calibri" w:hAnsiTheme="minorHAnsi"/>
          <w:sz w:val="20"/>
          <w:szCs w:val="20"/>
          <w:lang w:eastAsia="en-US"/>
        </w:rPr>
        <w:t xml:space="preserve"> in average gross receivables </w:t>
      </w:r>
      <w:r w:rsidR="00941DFD" w:rsidRPr="00701439">
        <w:rPr>
          <w:rFonts w:asciiTheme="minorHAnsi" w:eastAsia="Calibri" w:hAnsiTheme="minorHAnsi"/>
          <w:sz w:val="20"/>
          <w:szCs w:val="20"/>
          <w:lang w:eastAsia="en-US"/>
        </w:rPr>
        <w:t xml:space="preserve">year-on-year </w:t>
      </w:r>
      <w:r w:rsidR="005D2881" w:rsidRPr="00701439">
        <w:rPr>
          <w:rFonts w:asciiTheme="minorHAnsi" w:eastAsia="Calibri" w:hAnsiTheme="minorHAnsi"/>
          <w:sz w:val="20"/>
          <w:szCs w:val="20"/>
          <w:lang w:eastAsia="en-US"/>
        </w:rPr>
        <w:t xml:space="preserve">as a result of the timing of new business volumes being weighted to the second half of the year. </w:t>
      </w:r>
    </w:p>
    <w:p w14:paraId="70B4AFF7" w14:textId="367EB0F6" w:rsidR="00F965D1" w:rsidRPr="00701439" w:rsidRDefault="00740F8E" w:rsidP="00E534C5">
      <w:pPr>
        <w:spacing w:after="160"/>
        <w:jc w:val="both"/>
        <w:rPr>
          <w:rFonts w:asciiTheme="minorHAnsi" w:eastAsia="Calibri" w:hAnsiTheme="minorHAnsi"/>
          <w:sz w:val="20"/>
          <w:szCs w:val="20"/>
          <w:lang w:eastAsia="en-US"/>
        </w:rPr>
      </w:pPr>
      <w:r w:rsidRPr="00701439">
        <w:rPr>
          <w:rFonts w:asciiTheme="minorHAnsi" w:eastAsia="Calibri" w:hAnsiTheme="minorHAnsi"/>
          <w:sz w:val="20"/>
          <w:szCs w:val="20"/>
          <w:lang w:eastAsia="en-US"/>
        </w:rPr>
        <w:t xml:space="preserve">Interest costs </w:t>
      </w:r>
      <w:r w:rsidR="00B53987" w:rsidRPr="00701439">
        <w:rPr>
          <w:rFonts w:asciiTheme="minorHAnsi" w:eastAsia="Calibri" w:hAnsiTheme="minorHAnsi"/>
          <w:sz w:val="20"/>
          <w:szCs w:val="20"/>
          <w:lang w:eastAsia="en-US"/>
        </w:rPr>
        <w:t>decreased</w:t>
      </w:r>
      <w:r w:rsidRPr="00701439">
        <w:rPr>
          <w:rFonts w:asciiTheme="minorHAnsi" w:eastAsia="Calibri" w:hAnsiTheme="minorHAnsi"/>
          <w:sz w:val="20"/>
          <w:szCs w:val="20"/>
          <w:lang w:eastAsia="en-US"/>
        </w:rPr>
        <w:t xml:space="preserve"> during the year to £2</w:t>
      </w:r>
      <w:r w:rsidR="0029058C" w:rsidRPr="00701439">
        <w:rPr>
          <w:rFonts w:asciiTheme="minorHAnsi" w:eastAsia="Calibri" w:hAnsiTheme="minorHAnsi"/>
          <w:sz w:val="20"/>
          <w:szCs w:val="20"/>
          <w:lang w:eastAsia="en-US"/>
        </w:rPr>
        <w:t>2</w:t>
      </w:r>
      <w:r w:rsidRPr="00701439">
        <w:rPr>
          <w:rFonts w:asciiTheme="minorHAnsi" w:eastAsia="Calibri" w:hAnsiTheme="minorHAnsi"/>
          <w:sz w:val="20"/>
          <w:szCs w:val="20"/>
          <w:lang w:eastAsia="en-US"/>
        </w:rPr>
        <w:t>.1m from £2</w:t>
      </w:r>
      <w:r w:rsidR="00CB242C" w:rsidRPr="00701439">
        <w:rPr>
          <w:rFonts w:asciiTheme="minorHAnsi" w:eastAsia="Calibri" w:hAnsiTheme="minorHAnsi"/>
          <w:sz w:val="20"/>
          <w:szCs w:val="20"/>
          <w:lang w:eastAsia="en-US"/>
        </w:rPr>
        <w:t>7</w:t>
      </w:r>
      <w:r w:rsidRPr="00701439">
        <w:rPr>
          <w:rFonts w:asciiTheme="minorHAnsi" w:eastAsia="Calibri" w:hAnsiTheme="minorHAnsi"/>
          <w:sz w:val="20"/>
          <w:szCs w:val="20"/>
          <w:lang w:eastAsia="en-US"/>
        </w:rPr>
        <w:t>.</w:t>
      </w:r>
      <w:r w:rsidR="00CB242C" w:rsidRPr="00701439">
        <w:rPr>
          <w:rFonts w:asciiTheme="minorHAnsi" w:eastAsia="Calibri" w:hAnsiTheme="minorHAnsi"/>
          <w:sz w:val="20"/>
          <w:szCs w:val="20"/>
          <w:lang w:eastAsia="en-US"/>
        </w:rPr>
        <w:t>1</w:t>
      </w:r>
      <w:r w:rsidRPr="00701439">
        <w:rPr>
          <w:rFonts w:asciiTheme="minorHAnsi" w:eastAsia="Calibri" w:hAnsiTheme="minorHAnsi"/>
          <w:sz w:val="20"/>
          <w:szCs w:val="20"/>
          <w:lang w:eastAsia="en-US"/>
        </w:rPr>
        <w:t xml:space="preserve">m in </w:t>
      </w:r>
      <w:r w:rsidR="00B53987" w:rsidRPr="00701439">
        <w:rPr>
          <w:rFonts w:asciiTheme="minorHAnsi" w:eastAsia="Calibri" w:hAnsiTheme="minorHAnsi"/>
          <w:sz w:val="20"/>
          <w:szCs w:val="20"/>
          <w:lang w:eastAsia="en-US"/>
        </w:rPr>
        <w:t>FY’21</w:t>
      </w:r>
      <w:r w:rsidRPr="00701439">
        <w:rPr>
          <w:rFonts w:asciiTheme="minorHAnsi" w:eastAsia="Calibri" w:hAnsiTheme="minorHAnsi"/>
          <w:sz w:val="20"/>
          <w:szCs w:val="20"/>
          <w:lang w:eastAsia="en-US"/>
        </w:rPr>
        <w:t xml:space="preserve"> reflecting a </w:t>
      </w:r>
      <w:r w:rsidR="0041704D" w:rsidRPr="00701439">
        <w:rPr>
          <w:rFonts w:asciiTheme="minorHAnsi" w:eastAsia="Calibri" w:hAnsiTheme="minorHAnsi"/>
          <w:sz w:val="20"/>
          <w:szCs w:val="20"/>
          <w:lang w:eastAsia="en-US"/>
        </w:rPr>
        <w:t>lower cost</w:t>
      </w:r>
      <w:r w:rsidR="00BF1B5D" w:rsidRPr="00701439">
        <w:rPr>
          <w:rFonts w:asciiTheme="minorHAnsi" w:eastAsia="Calibri" w:hAnsiTheme="minorHAnsi"/>
          <w:sz w:val="20"/>
          <w:szCs w:val="20"/>
          <w:lang w:eastAsia="en-US"/>
        </w:rPr>
        <w:t xml:space="preserve"> </w:t>
      </w:r>
      <w:r w:rsidR="002132BF" w:rsidRPr="00701439">
        <w:rPr>
          <w:rFonts w:asciiTheme="minorHAnsi" w:eastAsia="Calibri" w:hAnsiTheme="minorHAnsi"/>
          <w:sz w:val="20"/>
          <w:szCs w:val="20"/>
          <w:lang w:eastAsia="en-US"/>
        </w:rPr>
        <w:t xml:space="preserve">of </w:t>
      </w:r>
      <w:r w:rsidR="00BF1B5D" w:rsidRPr="00701439">
        <w:rPr>
          <w:rFonts w:asciiTheme="minorHAnsi" w:eastAsia="Calibri" w:hAnsiTheme="minorHAnsi"/>
          <w:sz w:val="20"/>
          <w:szCs w:val="20"/>
          <w:lang w:eastAsia="en-US"/>
        </w:rPr>
        <w:t>funding received</w:t>
      </w:r>
      <w:r w:rsidR="0041704D" w:rsidRPr="00701439">
        <w:rPr>
          <w:rFonts w:asciiTheme="minorHAnsi" w:eastAsia="Calibri" w:hAnsiTheme="minorHAnsi"/>
          <w:sz w:val="20"/>
          <w:szCs w:val="20"/>
          <w:lang w:eastAsia="en-US"/>
        </w:rPr>
        <w:t xml:space="preserve"> from the Group during</w:t>
      </w:r>
      <w:r w:rsidRPr="00701439">
        <w:rPr>
          <w:rFonts w:asciiTheme="minorHAnsi" w:eastAsia="Calibri" w:hAnsiTheme="minorHAnsi"/>
          <w:sz w:val="20"/>
          <w:szCs w:val="20"/>
          <w:lang w:eastAsia="en-US"/>
        </w:rPr>
        <w:t xml:space="preserve"> the period</w:t>
      </w:r>
      <w:r w:rsidR="00FB743A" w:rsidRPr="00701439">
        <w:rPr>
          <w:rFonts w:asciiTheme="minorHAnsi" w:eastAsia="Calibri" w:hAnsiTheme="minorHAnsi"/>
          <w:sz w:val="20"/>
          <w:szCs w:val="20"/>
          <w:lang w:eastAsia="en-US"/>
        </w:rPr>
        <w:t>, including the intercompany loan from Vanquis Bank</w:t>
      </w:r>
      <w:r w:rsidRPr="00701439">
        <w:rPr>
          <w:rFonts w:asciiTheme="minorHAnsi" w:eastAsia="Calibri" w:hAnsiTheme="minorHAnsi"/>
          <w:sz w:val="20"/>
          <w:szCs w:val="20"/>
          <w:lang w:eastAsia="en-US"/>
        </w:rPr>
        <w:t xml:space="preserve">. As a result, the net interest margin </w:t>
      </w:r>
      <w:r w:rsidR="0041704D" w:rsidRPr="00701439">
        <w:rPr>
          <w:rFonts w:asciiTheme="minorHAnsi" w:eastAsia="Calibri" w:hAnsiTheme="minorHAnsi"/>
          <w:sz w:val="20"/>
          <w:szCs w:val="20"/>
          <w:lang w:eastAsia="en-US"/>
        </w:rPr>
        <w:t xml:space="preserve">improved </w:t>
      </w:r>
      <w:r w:rsidRPr="00701439">
        <w:rPr>
          <w:rFonts w:asciiTheme="minorHAnsi" w:eastAsia="Calibri" w:hAnsiTheme="minorHAnsi"/>
          <w:sz w:val="20"/>
          <w:szCs w:val="20"/>
          <w:lang w:eastAsia="en-US"/>
        </w:rPr>
        <w:t>at the end of December stood at 1</w:t>
      </w:r>
      <w:r w:rsidR="00542C17" w:rsidRPr="00701439">
        <w:rPr>
          <w:rFonts w:asciiTheme="minorHAnsi" w:eastAsia="Calibri" w:hAnsiTheme="minorHAnsi"/>
          <w:sz w:val="20"/>
          <w:szCs w:val="20"/>
          <w:lang w:eastAsia="en-US"/>
        </w:rPr>
        <w:t>8</w:t>
      </w:r>
      <w:r w:rsidR="00A57329" w:rsidRPr="00701439">
        <w:rPr>
          <w:rFonts w:asciiTheme="minorHAnsi" w:eastAsia="Calibri" w:hAnsiTheme="minorHAnsi"/>
          <w:sz w:val="20"/>
          <w:szCs w:val="20"/>
          <w:lang w:eastAsia="en-US"/>
        </w:rPr>
        <w:t>.</w:t>
      </w:r>
      <w:r w:rsidR="009E5E0F" w:rsidRPr="00701439">
        <w:rPr>
          <w:rFonts w:asciiTheme="minorHAnsi" w:eastAsia="Calibri" w:hAnsiTheme="minorHAnsi"/>
          <w:sz w:val="20"/>
          <w:szCs w:val="20"/>
          <w:lang w:eastAsia="en-US"/>
        </w:rPr>
        <w:t>0</w:t>
      </w:r>
      <w:r w:rsidRPr="00701439">
        <w:rPr>
          <w:rFonts w:asciiTheme="minorHAnsi" w:eastAsia="Calibri" w:hAnsiTheme="minorHAnsi"/>
          <w:sz w:val="20"/>
          <w:szCs w:val="20"/>
          <w:lang w:eastAsia="en-US"/>
        </w:rPr>
        <w:t xml:space="preserve">% versus </w:t>
      </w:r>
      <w:r w:rsidR="00CB242C" w:rsidRPr="00701439">
        <w:rPr>
          <w:rFonts w:asciiTheme="minorHAnsi" w:eastAsia="Calibri" w:hAnsiTheme="minorHAnsi"/>
          <w:sz w:val="20"/>
          <w:szCs w:val="20"/>
          <w:lang w:eastAsia="en-US"/>
        </w:rPr>
        <w:t>1</w:t>
      </w:r>
      <w:r w:rsidR="005C55CD" w:rsidRPr="00701439">
        <w:rPr>
          <w:rFonts w:asciiTheme="minorHAnsi" w:eastAsia="Calibri" w:hAnsiTheme="minorHAnsi"/>
          <w:sz w:val="20"/>
          <w:szCs w:val="20"/>
          <w:lang w:eastAsia="en-US"/>
        </w:rPr>
        <w:t>6</w:t>
      </w:r>
      <w:r w:rsidR="00542C17" w:rsidRPr="00701439">
        <w:rPr>
          <w:rFonts w:asciiTheme="minorHAnsi" w:eastAsia="Calibri" w:hAnsiTheme="minorHAnsi"/>
          <w:sz w:val="20"/>
          <w:szCs w:val="20"/>
          <w:lang w:eastAsia="en-US"/>
        </w:rPr>
        <w:t>.5</w:t>
      </w:r>
      <w:r w:rsidRPr="00701439">
        <w:rPr>
          <w:rFonts w:asciiTheme="minorHAnsi" w:eastAsia="Calibri" w:hAnsiTheme="minorHAnsi"/>
          <w:sz w:val="20"/>
          <w:szCs w:val="20"/>
          <w:lang w:eastAsia="en-US"/>
        </w:rPr>
        <w:t xml:space="preserve">% a year earlier. </w:t>
      </w:r>
    </w:p>
    <w:p w14:paraId="60867219" w14:textId="0E76CD52" w:rsidR="00740F8E" w:rsidRPr="00701439" w:rsidRDefault="00740F8E" w:rsidP="00E534C5">
      <w:pPr>
        <w:spacing w:after="160"/>
        <w:jc w:val="both"/>
        <w:rPr>
          <w:rFonts w:asciiTheme="minorHAnsi" w:eastAsia="Calibri" w:hAnsiTheme="minorHAnsi"/>
          <w:sz w:val="20"/>
          <w:szCs w:val="20"/>
          <w:lang w:eastAsia="en-US"/>
        </w:rPr>
      </w:pPr>
      <w:r w:rsidRPr="00701439">
        <w:rPr>
          <w:rFonts w:asciiTheme="minorHAnsi" w:eastAsia="Calibri" w:hAnsiTheme="minorHAnsi"/>
          <w:sz w:val="20"/>
          <w:szCs w:val="20"/>
          <w:lang w:eastAsia="en-US"/>
        </w:rPr>
        <w:t xml:space="preserve">Impairment </w:t>
      </w:r>
      <w:r w:rsidR="00BF1B5D" w:rsidRPr="00701439">
        <w:rPr>
          <w:rFonts w:asciiTheme="minorHAnsi" w:eastAsia="Calibri" w:hAnsiTheme="minorHAnsi"/>
          <w:sz w:val="20"/>
          <w:szCs w:val="20"/>
          <w:lang w:eastAsia="en-US"/>
        </w:rPr>
        <w:t>fell</w:t>
      </w:r>
      <w:r w:rsidRPr="00701439">
        <w:rPr>
          <w:rFonts w:asciiTheme="minorHAnsi" w:eastAsia="Calibri" w:hAnsiTheme="minorHAnsi"/>
          <w:sz w:val="20"/>
          <w:szCs w:val="20"/>
          <w:lang w:eastAsia="en-US"/>
        </w:rPr>
        <w:t xml:space="preserve"> </w:t>
      </w:r>
      <w:r w:rsidR="00BF1B5D" w:rsidRPr="00701439">
        <w:rPr>
          <w:rFonts w:asciiTheme="minorHAnsi" w:eastAsia="Calibri" w:hAnsiTheme="minorHAnsi"/>
          <w:sz w:val="20"/>
          <w:szCs w:val="20"/>
          <w:lang w:eastAsia="en-US"/>
        </w:rPr>
        <w:t>year-on-</w:t>
      </w:r>
      <w:r w:rsidRPr="00701439">
        <w:rPr>
          <w:rFonts w:asciiTheme="minorHAnsi" w:eastAsia="Calibri" w:hAnsiTheme="minorHAnsi"/>
          <w:sz w:val="20"/>
          <w:szCs w:val="20"/>
          <w:lang w:eastAsia="en-US"/>
        </w:rPr>
        <w:t>year to £</w:t>
      </w:r>
      <w:r w:rsidR="00A57329" w:rsidRPr="00701439">
        <w:rPr>
          <w:rFonts w:asciiTheme="minorHAnsi" w:eastAsia="Calibri" w:hAnsiTheme="minorHAnsi"/>
          <w:sz w:val="20"/>
          <w:szCs w:val="20"/>
          <w:lang w:eastAsia="en-US"/>
        </w:rPr>
        <w:t>4</w:t>
      </w:r>
      <w:r w:rsidR="006866CB" w:rsidRPr="00701439">
        <w:rPr>
          <w:rFonts w:asciiTheme="minorHAnsi" w:eastAsia="Calibri" w:hAnsiTheme="minorHAnsi"/>
          <w:sz w:val="20"/>
          <w:szCs w:val="20"/>
          <w:lang w:eastAsia="en-US"/>
        </w:rPr>
        <w:t>0.8</w:t>
      </w:r>
      <w:r w:rsidRPr="00701439">
        <w:rPr>
          <w:rFonts w:asciiTheme="minorHAnsi" w:eastAsia="Calibri" w:hAnsiTheme="minorHAnsi"/>
          <w:sz w:val="20"/>
          <w:szCs w:val="20"/>
          <w:lang w:eastAsia="en-US"/>
        </w:rPr>
        <w:t>m (FY’2</w:t>
      </w:r>
      <w:r w:rsidR="00CB242C" w:rsidRPr="00701439">
        <w:rPr>
          <w:rFonts w:asciiTheme="minorHAnsi" w:eastAsia="Calibri" w:hAnsiTheme="minorHAnsi"/>
          <w:sz w:val="20"/>
          <w:szCs w:val="20"/>
          <w:lang w:eastAsia="en-US"/>
        </w:rPr>
        <w:t>1</w:t>
      </w:r>
      <w:r w:rsidRPr="00701439">
        <w:rPr>
          <w:rFonts w:asciiTheme="minorHAnsi" w:eastAsia="Calibri" w:hAnsiTheme="minorHAnsi"/>
          <w:sz w:val="20"/>
          <w:szCs w:val="20"/>
          <w:lang w:eastAsia="en-US"/>
        </w:rPr>
        <w:t>: £</w:t>
      </w:r>
      <w:r w:rsidR="00CB242C" w:rsidRPr="00701439">
        <w:rPr>
          <w:rFonts w:asciiTheme="minorHAnsi" w:eastAsia="Calibri" w:hAnsiTheme="minorHAnsi"/>
          <w:sz w:val="20"/>
          <w:szCs w:val="20"/>
          <w:lang w:eastAsia="en-US"/>
        </w:rPr>
        <w:t>44.6</w:t>
      </w:r>
      <w:r w:rsidRPr="00701439">
        <w:rPr>
          <w:rFonts w:asciiTheme="minorHAnsi" w:eastAsia="Calibri" w:hAnsiTheme="minorHAnsi"/>
          <w:sz w:val="20"/>
          <w:szCs w:val="20"/>
          <w:lang w:eastAsia="en-US"/>
        </w:rPr>
        <w:t xml:space="preserve">m) </w:t>
      </w:r>
      <w:proofErr w:type="gramStart"/>
      <w:r w:rsidRPr="00701439">
        <w:rPr>
          <w:rFonts w:asciiTheme="minorHAnsi" w:eastAsia="Calibri" w:hAnsiTheme="minorHAnsi"/>
          <w:sz w:val="20"/>
          <w:szCs w:val="20"/>
          <w:lang w:eastAsia="en-US"/>
        </w:rPr>
        <w:t>as a result of</w:t>
      </w:r>
      <w:proofErr w:type="gramEnd"/>
      <w:r w:rsidRPr="00701439">
        <w:rPr>
          <w:rFonts w:asciiTheme="minorHAnsi" w:eastAsia="Calibri" w:hAnsiTheme="minorHAnsi"/>
          <w:sz w:val="20"/>
          <w:szCs w:val="20"/>
          <w:lang w:eastAsia="en-US"/>
        </w:rPr>
        <w:t xml:space="preserve"> </w:t>
      </w:r>
      <w:r w:rsidR="00BA6BBE" w:rsidRPr="00701439">
        <w:rPr>
          <w:rFonts w:asciiTheme="minorHAnsi" w:eastAsia="Calibri" w:hAnsiTheme="minorHAnsi"/>
          <w:sz w:val="20"/>
          <w:szCs w:val="20"/>
          <w:lang w:eastAsia="en-US"/>
        </w:rPr>
        <w:t xml:space="preserve">the business’ focus on lower risk customers in recent years coupled with a small amount of </w:t>
      </w:r>
      <w:r w:rsidRPr="00701439">
        <w:rPr>
          <w:rFonts w:asciiTheme="minorHAnsi" w:eastAsia="Calibri" w:hAnsiTheme="minorHAnsi"/>
          <w:sz w:val="20"/>
          <w:szCs w:val="20"/>
          <w:lang w:eastAsia="en-US"/>
        </w:rPr>
        <w:t xml:space="preserve">provision </w:t>
      </w:r>
      <w:r w:rsidR="00BA6BBE" w:rsidRPr="00701439">
        <w:rPr>
          <w:rFonts w:asciiTheme="minorHAnsi" w:eastAsia="Calibri" w:hAnsiTheme="minorHAnsi"/>
          <w:sz w:val="20"/>
          <w:szCs w:val="20"/>
          <w:lang w:eastAsia="en-US"/>
        </w:rPr>
        <w:t>release</w:t>
      </w:r>
      <w:r w:rsidRPr="00701439">
        <w:rPr>
          <w:rFonts w:asciiTheme="minorHAnsi" w:eastAsia="Calibri" w:hAnsiTheme="minorHAnsi"/>
          <w:sz w:val="20"/>
          <w:szCs w:val="20"/>
          <w:lang w:eastAsia="en-US"/>
        </w:rPr>
        <w:t xml:space="preserve">. </w:t>
      </w:r>
      <w:proofErr w:type="gramStart"/>
      <w:r w:rsidRPr="00701439">
        <w:rPr>
          <w:rFonts w:asciiTheme="minorHAnsi" w:eastAsia="Calibri" w:hAnsiTheme="minorHAnsi"/>
          <w:sz w:val="20"/>
          <w:szCs w:val="20"/>
          <w:lang w:eastAsia="en-US"/>
        </w:rPr>
        <w:t>As a consequence</w:t>
      </w:r>
      <w:proofErr w:type="gramEnd"/>
      <w:r w:rsidRPr="00701439">
        <w:rPr>
          <w:rFonts w:asciiTheme="minorHAnsi" w:eastAsia="Calibri" w:hAnsiTheme="minorHAnsi"/>
          <w:sz w:val="20"/>
          <w:szCs w:val="20"/>
          <w:lang w:eastAsia="en-US"/>
        </w:rPr>
        <w:t xml:space="preserve">, </w:t>
      </w:r>
      <w:r w:rsidR="002849B4" w:rsidRPr="00701439">
        <w:rPr>
          <w:rFonts w:asciiTheme="minorHAnsi" w:eastAsia="Calibri" w:hAnsiTheme="minorHAnsi"/>
          <w:sz w:val="20"/>
          <w:szCs w:val="20"/>
          <w:lang w:eastAsia="en-US"/>
        </w:rPr>
        <w:t xml:space="preserve">the annualised </w:t>
      </w:r>
      <w:r w:rsidR="006866CB" w:rsidRPr="00701439">
        <w:rPr>
          <w:rFonts w:asciiTheme="minorHAnsi" w:eastAsia="Calibri" w:hAnsiTheme="minorHAnsi"/>
          <w:sz w:val="20"/>
          <w:szCs w:val="20"/>
          <w:lang w:eastAsia="en-US"/>
        </w:rPr>
        <w:t>cost of risk</w:t>
      </w:r>
      <w:r w:rsidR="002849B4" w:rsidRPr="00701439">
        <w:rPr>
          <w:rFonts w:asciiTheme="minorHAnsi" w:eastAsia="Calibri" w:hAnsiTheme="minorHAnsi"/>
          <w:sz w:val="20"/>
          <w:szCs w:val="20"/>
          <w:lang w:eastAsia="en-US"/>
        </w:rPr>
        <w:t xml:space="preserve"> decreased to </w:t>
      </w:r>
      <w:r w:rsidR="006866CB" w:rsidRPr="00701439">
        <w:rPr>
          <w:rFonts w:asciiTheme="minorHAnsi" w:eastAsia="Calibri" w:hAnsiTheme="minorHAnsi"/>
          <w:sz w:val="20"/>
          <w:szCs w:val="20"/>
          <w:lang w:eastAsia="en-US"/>
        </w:rPr>
        <w:t>6.2</w:t>
      </w:r>
      <w:r w:rsidR="002849B4" w:rsidRPr="00701439">
        <w:rPr>
          <w:rFonts w:asciiTheme="minorHAnsi" w:eastAsia="Calibri" w:hAnsiTheme="minorHAnsi"/>
          <w:sz w:val="20"/>
          <w:szCs w:val="20"/>
          <w:lang w:eastAsia="en-US"/>
        </w:rPr>
        <w:t xml:space="preserve">% from </w:t>
      </w:r>
      <w:r w:rsidR="00E4542B" w:rsidRPr="00701439">
        <w:rPr>
          <w:rFonts w:asciiTheme="minorHAnsi" w:eastAsia="Calibri" w:hAnsiTheme="minorHAnsi"/>
          <w:sz w:val="20"/>
          <w:szCs w:val="20"/>
          <w:lang w:eastAsia="en-US"/>
        </w:rPr>
        <w:t>6</w:t>
      </w:r>
      <w:r w:rsidR="002849B4" w:rsidRPr="00701439">
        <w:rPr>
          <w:rFonts w:asciiTheme="minorHAnsi" w:eastAsia="Calibri" w:hAnsiTheme="minorHAnsi"/>
          <w:sz w:val="20"/>
          <w:szCs w:val="20"/>
          <w:lang w:eastAsia="en-US"/>
        </w:rPr>
        <w:t>.</w:t>
      </w:r>
      <w:r w:rsidR="00E4542B" w:rsidRPr="00701439">
        <w:rPr>
          <w:rFonts w:asciiTheme="minorHAnsi" w:eastAsia="Calibri" w:hAnsiTheme="minorHAnsi"/>
          <w:sz w:val="20"/>
          <w:szCs w:val="20"/>
          <w:lang w:eastAsia="en-US"/>
        </w:rPr>
        <w:t>6</w:t>
      </w:r>
      <w:r w:rsidR="002849B4" w:rsidRPr="00701439">
        <w:rPr>
          <w:rFonts w:asciiTheme="minorHAnsi" w:eastAsia="Calibri" w:hAnsiTheme="minorHAnsi"/>
          <w:sz w:val="20"/>
          <w:szCs w:val="20"/>
          <w:lang w:eastAsia="en-US"/>
        </w:rPr>
        <w:t xml:space="preserve">% in </w:t>
      </w:r>
      <w:r w:rsidR="00BA6BBE" w:rsidRPr="00701439">
        <w:rPr>
          <w:rFonts w:asciiTheme="minorHAnsi" w:eastAsia="Calibri" w:hAnsiTheme="minorHAnsi"/>
          <w:sz w:val="20"/>
          <w:szCs w:val="20"/>
          <w:lang w:eastAsia="en-US"/>
        </w:rPr>
        <w:t>FY’2</w:t>
      </w:r>
      <w:r w:rsidR="00805681" w:rsidRPr="00701439">
        <w:rPr>
          <w:rFonts w:asciiTheme="minorHAnsi" w:eastAsia="Calibri" w:hAnsiTheme="minorHAnsi"/>
          <w:sz w:val="20"/>
          <w:szCs w:val="20"/>
          <w:lang w:eastAsia="en-US"/>
        </w:rPr>
        <w:t>1</w:t>
      </w:r>
      <w:r w:rsidR="002849B4" w:rsidRPr="00701439">
        <w:rPr>
          <w:rFonts w:asciiTheme="minorHAnsi" w:eastAsia="Calibri" w:hAnsiTheme="minorHAnsi"/>
          <w:sz w:val="20"/>
          <w:szCs w:val="20"/>
          <w:lang w:eastAsia="en-US"/>
        </w:rPr>
        <w:t>. This resulted in the risk</w:t>
      </w:r>
      <w:r w:rsidR="00374C5D" w:rsidRPr="00701439">
        <w:rPr>
          <w:rFonts w:asciiTheme="minorHAnsi" w:eastAsia="Calibri" w:hAnsiTheme="minorHAnsi"/>
          <w:sz w:val="20"/>
          <w:szCs w:val="20"/>
          <w:lang w:eastAsia="en-US"/>
        </w:rPr>
        <w:t>-</w:t>
      </w:r>
      <w:r w:rsidR="002849B4" w:rsidRPr="00701439">
        <w:rPr>
          <w:rFonts w:asciiTheme="minorHAnsi" w:eastAsia="Calibri" w:hAnsiTheme="minorHAnsi"/>
          <w:sz w:val="20"/>
          <w:szCs w:val="20"/>
          <w:lang w:eastAsia="en-US"/>
        </w:rPr>
        <w:t>adjusted margin improving to 1</w:t>
      </w:r>
      <w:r w:rsidR="004E0F06" w:rsidRPr="00701439">
        <w:rPr>
          <w:rFonts w:asciiTheme="minorHAnsi" w:eastAsia="Calibri" w:hAnsiTheme="minorHAnsi"/>
          <w:sz w:val="20"/>
          <w:szCs w:val="20"/>
          <w:lang w:eastAsia="en-US"/>
        </w:rPr>
        <w:t>1</w:t>
      </w:r>
      <w:r w:rsidR="002849B4" w:rsidRPr="00701439">
        <w:rPr>
          <w:rFonts w:asciiTheme="minorHAnsi" w:eastAsia="Calibri" w:hAnsiTheme="minorHAnsi"/>
          <w:sz w:val="20"/>
          <w:szCs w:val="20"/>
          <w:lang w:eastAsia="en-US"/>
        </w:rPr>
        <w:t>.</w:t>
      </w:r>
      <w:r w:rsidR="00A8397E" w:rsidRPr="00701439">
        <w:rPr>
          <w:rFonts w:asciiTheme="minorHAnsi" w:eastAsia="Calibri" w:hAnsiTheme="minorHAnsi"/>
          <w:sz w:val="20"/>
          <w:szCs w:val="20"/>
          <w:lang w:eastAsia="en-US"/>
        </w:rPr>
        <w:t>8</w:t>
      </w:r>
      <w:r w:rsidR="002849B4" w:rsidRPr="00701439">
        <w:rPr>
          <w:rFonts w:asciiTheme="minorHAnsi" w:eastAsia="Calibri" w:hAnsiTheme="minorHAnsi"/>
          <w:sz w:val="20"/>
          <w:szCs w:val="20"/>
          <w:lang w:eastAsia="en-US"/>
        </w:rPr>
        <w:t>% (FY’2</w:t>
      </w:r>
      <w:r w:rsidR="002168D9" w:rsidRPr="00701439">
        <w:rPr>
          <w:rFonts w:asciiTheme="minorHAnsi" w:eastAsia="Calibri" w:hAnsiTheme="minorHAnsi"/>
          <w:sz w:val="20"/>
          <w:szCs w:val="20"/>
          <w:lang w:eastAsia="en-US"/>
        </w:rPr>
        <w:t>1</w:t>
      </w:r>
      <w:r w:rsidR="002849B4" w:rsidRPr="00701439">
        <w:rPr>
          <w:rFonts w:asciiTheme="minorHAnsi" w:eastAsia="Calibri" w:hAnsiTheme="minorHAnsi"/>
          <w:sz w:val="20"/>
          <w:szCs w:val="20"/>
          <w:lang w:eastAsia="en-US"/>
        </w:rPr>
        <w:t xml:space="preserve">: </w:t>
      </w:r>
      <w:r w:rsidR="004251C8" w:rsidRPr="00701439">
        <w:rPr>
          <w:rFonts w:asciiTheme="minorHAnsi" w:eastAsia="Calibri" w:hAnsiTheme="minorHAnsi"/>
          <w:sz w:val="20"/>
          <w:szCs w:val="20"/>
          <w:lang w:eastAsia="en-US"/>
        </w:rPr>
        <w:t>9</w:t>
      </w:r>
      <w:r w:rsidR="004E0F06" w:rsidRPr="00701439">
        <w:rPr>
          <w:rFonts w:asciiTheme="minorHAnsi" w:eastAsia="Calibri" w:hAnsiTheme="minorHAnsi"/>
          <w:sz w:val="20"/>
          <w:szCs w:val="20"/>
          <w:lang w:eastAsia="en-US"/>
        </w:rPr>
        <w:t>.</w:t>
      </w:r>
      <w:r w:rsidR="007F1BC5" w:rsidRPr="00701439">
        <w:rPr>
          <w:rFonts w:asciiTheme="minorHAnsi" w:eastAsia="Calibri" w:hAnsiTheme="minorHAnsi"/>
          <w:sz w:val="20"/>
          <w:szCs w:val="20"/>
          <w:lang w:eastAsia="en-US"/>
        </w:rPr>
        <w:t>9</w:t>
      </w:r>
      <w:r w:rsidR="002849B4" w:rsidRPr="00701439">
        <w:rPr>
          <w:rFonts w:asciiTheme="minorHAnsi" w:eastAsia="Calibri" w:hAnsiTheme="minorHAnsi"/>
          <w:sz w:val="20"/>
          <w:szCs w:val="20"/>
          <w:lang w:eastAsia="en-US"/>
        </w:rPr>
        <w:t>%).</w:t>
      </w:r>
      <w:r w:rsidRPr="00701439">
        <w:rPr>
          <w:rFonts w:asciiTheme="minorHAnsi" w:eastAsia="Calibri" w:hAnsiTheme="minorHAnsi"/>
          <w:sz w:val="20"/>
          <w:szCs w:val="20"/>
          <w:lang w:eastAsia="en-US"/>
        </w:rPr>
        <w:t xml:space="preserve"> </w:t>
      </w:r>
    </w:p>
    <w:p w14:paraId="27E88DD5" w14:textId="2B814A13" w:rsidR="00275D41" w:rsidRPr="00701439" w:rsidRDefault="00275D41" w:rsidP="00275D41">
      <w:pPr>
        <w:spacing w:after="160"/>
        <w:jc w:val="both"/>
        <w:rPr>
          <w:rFonts w:asciiTheme="minorHAnsi" w:eastAsia="Calibri" w:hAnsiTheme="minorHAnsi"/>
          <w:sz w:val="20"/>
          <w:szCs w:val="20"/>
          <w:lang w:eastAsia="en-US"/>
        </w:rPr>
      </w:pPr>
      <w:r w:rsidRPr="00701439">
        <w:rPr>
          <w:rFonts w:asciiTheme="minorHAnsi" w:eastAsia="Calibri" w:hAnsiTheme="minorHAnsi"/>
          <w:sz w:val="20"/>
          <w:szCs w:val="20"/>
          <w:lang w:eastAsia="en-US"/>
        </w:rPr>
        <w:t xml:space="preserve">Costs increased </w:t>
      </w:r>
      <w:proofErr w:type="gramStart"/>
      <w:r w:rsidRPr="00701439">
        <w:rPr>
          <w:rFonts w:asciiTheme="minorHAnsi" w:eastAsia="Calibri" w:hAnsiTheme="minorHAnsi"/>
          <w:sz w:val="20"/>
          <w:szCs w:val="20"/>
          <w:lang w:eastAsia="en-US"/>
        </w:rPr>
        <w:t>during the course of</w:t>
      </w:r>
      <w:proofErr w:type="gramEnd"/>
      <w:r w:rsidRPr="00701439">
        <w:rPr>
          <w:rFonts w:asciiTheme="minorHAnsi" w:eastAsia="Calibri" w:hAnsiTheme="minorHAnsi"/>
          <w:sz w:val="20"/>
          <w:szCs w:val="20"/>
          <w:lang w:eastAsia="en-US"/>
        </w:rPr>
        <w:t xml:space="preserve"> the year to £39.7m (FY’21: £37.3m), albeit by a much-reduced rate versus the previous year, reflecting the</w:t>
      </w:r>
      <w:r w:rsidR="004713C0" w:rsidRPr="00701439">
        <w:rPr>
          <w:rFonts w:asciiTheme="minorHAnsi" w:eastAsia="Calibri" w:hAnsiTheme="minorHAnsi"/>
          <w:sz w:val="20"/>
          <w:szCs w:val="20"/>
          <w:lang w:eastAsia="en-US"/>
        </w:rPr>
        <w:t xml:space="preserve"> </w:t>
      </w:r>
      <w:r w:rsidRPr="00701439">
        <w:rPr>
          <w:rFonts w:asciiTheme="minorHAnsi" w:eastAsia="Calibri" w:hAnsiTheme="minorHAnsi"/>
          <w:sz w:val="20"/>
          <w:szCs w:val="20"/>
          <w:lang w:eastAsia="en-US"/>
        </w:rPr>
        <w:t>increase in lending volumes year-on-year and the additional service costs associated with the higher volumes.</w:t>
      </w:r>
    </w:p>
    <w:p w14:paraId="15DE6D31" w14:textId="220D244D" w:rsidR="003D2E65" w:rsidRPr="00701439" w:rsidRDefault="003D2E65" w:rsidP="003D2E65">
      <w:pPr>
        <w:spacing w:after="160"/>
        <w:contextualSpacing/>
        <w:jc w:val="both"/>
        <w:rPr>
          <w:rFonts w:asciiTheme="minorHAnsi" w:hAnsiTheme="minorHAnsi" w:cs="Arial"/>
          <w:sz w:val="20"/>
          <w:szCs w:val="20"/>
        </w:rPr>
      </w:pPr>
      <w:r w:rsidRPr="00701439">
        <w:rPr>
          <w:rFonts w:asciiTheme="minorHAnsi" w:hAnsiTheme="minorHAnsi" w:cs="Arial"/>
          <w:sz w:val="20"/>
          <w:szCs w:val="20"/>
        </w:rPr>
        <w:t>During 2023, the vehicle finance business will focus on growing its addressable market by introducing new products and services for customers including new asset classes and contract types</w:t>
      </w:r>
      <w:r w:rsidR="0057389B" w:rsidRPr="00701439">
        <w:rPr>
          <w:rFonts w:asciiTheme="minorHAnsi" w:hAnsiTheme="minorHAnsi" w:cs="Arial"/>
          <w:sz w:val="20"/>
          <w:szCs w:val="20"/>
        </w:rPr>
        <w:t>.</w:t>
      </w:r>
      <w:r w:rsidRPr="00701439">
        <w:rPr>
          <w:rFonts w:asciiTheme="minorHAnsi" w:hAnsiTheme="minorHAnsi" w:cs="Arial"/>
          <w:sz w:val="20"/>
          <w:szCs w:val="20"/>
        </w:rPr>
        <w:t xml:space="preserve"> </w:t>
      </w:r>
    </w:p>
    <w:p w14:paraId="068DE04C" w14:textId="77777777" w:rsidR="003D2E65" w:rsidRPr="00701439" w:rsidRDefault="003D2E65" w:rsidP="0002541E">
      <w:pPr>
        <w:spacing w:after="160"/>
        <w:contextualSpacing/>
        <w:jc w:val="both"/>
        <w:rPr>
          <w:rFonts w:asciiTheme="minorHAnsi" w:hAnsiTheme="minorHAnsi" w:cs="Arial"/>
          <w:sz w:val="20"/>
          <w:szCs w:val="20"/>
        </w:rPr>
      </w:pPr>
    </w:p>
    <w:p w14:paraId="227D92C1" w14:textId="61FC7FED" w:rsidR="004C7077" w:rsidRPr="00701439" w:rsidRDefault="004C7077" w:rsidP="00E534C5">
      <w:pPr>
        <w:jc w:val="both"/>
        <w:rPr>
          <w:rStyle w:val="Strong"/>
          <w:rFonts w:asciiTheme="minorHAnsi" w:hAnsiTheme="minorHAnsi"/>
          <w:color w:val="4747FF"/>
          <w:sz w:val="22"/>
          <w:szCs w:val="22"/>
        </w:rPr>
      </w:pPr>
      <w:r w:rsidRPr="00701439">
        <w:rPr>
          <w:rStyle w:val="Strong"/>
          <w:rFonts w:asciiTheme="minorHAnsi" w:hAnsiTheme="minorHAnsi"/>
          <w:color w:val="4747FF"/>
          <w:sz w:val="22"/>
          <w:szCs w:val="22"/>
        </w:rPr>
        <w:t>Personal Loans</w:t>
      </w:r>
    </w:p>
    <w:p w14:paraId="5ECB45FC" w14:textId="3748B475" w:rsidR="004C7077" w:rsidRPr="00701439" w:rsidRDefault="004C7077" w:rsidP="00E534C5">
      <w:pPr>
        <w:jc w:val="both"/>
        <w:rPr>
          <w:rStyle w:val="Strong"/>
          <w:rFonts w:asciiTheme="minorHAnsi" w:hAnsiTheme="minorHAnsi"/>
          <w:sz w:val="20"/>
          <w:szCs w:val="20"/>
        </w:rPr>
      </w:pPr>
    </w:p>
    <w:tbl>
      <w:tblPr>
        <w:tblW w:w="9752" w:type="dxa"/>
        <w:tblLayout w:type="fixed"/>
        <w:tblLook w:val="04A0" w:firstRow="1" w:lastRow="0" w:firstColumn="1" w:lastColumn="0" w:noHBand="0" w:noVBand="1"/>
      </w:tblPr>
      <w:tblGrid>
        <w:gridCol w:w="6350"/>
        <w:gridCol w:w="1134"/>
        <w:gridCol w:w="1134"/>
        <w:gridCol w:w="1134"/>
      </w:tblGrid>
      <w:tr w:rsidR="00201CB1" w:rsidRPr="00701439" w14:paraId="5158358E" w14:textId="77777777" w:rsidTr="00201CB1">
        <w:tc>
          <w:tcPr>
            <w:tcW w:w="6350" w:type="dxa"/>
          </w:tcPr>
          <w:p w14:paraId="3F49C031" w14:textId="77777777" w:rsidR="00201CB1" w:rsidRPr="00701439" w:rsidRDefault="00201CB1" w:rsidP="00E534C5">
            <w:pPr>
              <w:pStyle w:val="NoSpacing"/>
              <w:jc w:val="both"/>
              <w:rPr>
                <w:sz w:val="20"/>
                <w:szCs w:val="20"/>
              </w:rPr>
            </w:pPr>
          </w:p>
        </w:tc>
        <w:tc>
          <w:tcPr>
            <w:tcW w:w="3402" w:type="dxa"/>
            <w:gridSpan w:val="3"/>
            <w:hideMark/>
          </w:tcPr>
          <w:p w14:paraId="0B5EDD30" w14:textId="77777777" w:rsidR="00201CB1" w:rsidRPr="00701439" w:rsidRDefault="00201CB1" w:rsidP="00E534C5">
            <w:pPr>
              <w:pStyle w:val="NoSpacing"/>
              <w:jc w:val="center"/>
              <w:rPr>
                <w:i/>
                <w:sz w:val="20"/>
                <w:szCs w:val="20"/>
              </w:rPr>
            </w:pPr>
            <w:r w:rsidRPr="00701439">
              <w:rPr>
                <w:sz w:val="20"/>
                <w:szCs w:val="20"/>
              </w:rPr>
              <w:t>Twelve months ended 31 December</w:t>
            </w:r>
          </w:p>
        </w:tc>
      </w:tr>
      <w:tr w:rsidR="00201CB1" w:rsidRPr="00701439" w14:paraId="6580F72B" w14:textId="77777777" w:rsidTr="00201CB1">
        <w:tc>
          <w:tcPr>
            <w:tcW w:w="6350" w:type="dxa"/>
          </w:tcPr>
          <w:p w14:paraId="400B6E7D" w14:textId="77777777" w:rsidR="00201CB1" w:rsidRPr="00701439" w:rsidRDefault="00201CB1" w:rsidP="00E534C5">
            <w:pPr>
              <w:pStyle w:val="NoSpacing"/>
              <w:jc w:val="both"/>
              <w:rPr>
                <w:sz w:val="20"/>
                <w:szCs w:val="20"/>
              </w:rPr>
            </w:pPr>
          </w:p>
        </w:tc>
        <w:tc>
          <w:tcPr>
            <w:tcW w:w="1134" w:type="dxa"/>
            <w:hideMark/>
          </w:tcPr>
          <w:p w14:paraId="119A8C74" w14:textId="0B0ADF16" w:rsidR="00201CB1" w:rsidRPr="00701439" w:rsidRDefault="00201CB1" w:rsidP="00E534C5">
            <w:pPr>
              <w:pStyle w:val="NoSpacing"/>
              <w:jc w:val="center"/>
              <w:rPr>
                <w:sz w:val="20"/>
                <w:szCs w:val="20"/>
              </w:rPr>
            </w:pPr>
            <w:r w:rsidRPr="00701439">
              <w:rPr>
                <w:sz w:val="20"/>
                <w:szCs w:val="20"/>
              </w:rPr>
              <w:t>202</w:t>
            </w:r>
            <w:r w:rsidR="00983AB7" w:rsidRPr="00701439">
              <w:rPr>
                <w:sz w:val="20"/>
                <w:szCs w:val="20"/>
              </w:rPr>
              <w:t>2</w:t>
            </w:r>
          </w:p>
        </w:tc>
        <w:tc>
          <w:tcPr>
            <w:tcW w:w="1134" w:type="dxa"/>
            <w:hideMark/>
          </w:tcPr>
          <w:p w14:paraId="710AE5DA" w14:textId="3B1D120E" w:rsidR="00201CB1" w:rsidRPr="00701439" w:rsidRDefault="00201CB1" w:rsidP="00E534C5">
            <w:pPr>
              <w:pStyle w:val="NoSpacing"/>
              <w:jc w:val="center"/>
              <w:rPr>
                <w:sz w:val="20"/>
                <w:szCs w:val="20"/>
              </w:rPr>
            </w:pPr>
            <w:r w:rsidRPr="00701439">
              <w:rPr>
                <w:sz w:val="20"/>
                <w:szCs w:val="20"/>
              </w:rPr>
              <w:t>202</w:t>
            </w:r>
            <w:r w:rsidR="00983AB7" w:rsidRPr="00701439">
              <w:rPr>
                <w:sz w:val="20"/>
                <w:szCs w:val="20"/>
              </w:rPr>
              <w:t>1</w:t>
            </w:r>
          </w:p>
        </w:tc>
        <w:tc>
          <w:tcPr>
            <w:tcW w:w="1134" w:type="dxa"/>
            <w:vMerge w:val="restart"/>
            <w:tcBorders>
              <w:top w:val="nil"/>
              <w:left w:val="nil"/>
              <w:bottom w:val="single" w:sz="4" w:space="0" w:color="auto"/>
              <w:right w:val="nil"/>
            </w:tcBorders>
            <w:vAlign w:val="center"/>
            <w:hideMark/>
          </w:tcPr>
          <w:p w14:paraId="4A20C060" w14:textId="77777777" w:rsidR="00201CB1" w:rsidRPr="00701439" w:rsidRDefault="00201CB1" w:rsidP="00E534C5">
            <w:pPr>
              <w:pStyle w:val="NoSpacing"/>
              <w:jc w:val="center"/>
              <w:rPr>
                <w:i/>
                <w:sz w:val="20"/>
                <w:szCs w:val="20"/>
              </w:rPr>
            </w:pPr>
            <w:r w:rsidRPr="00701439">
              <w:rPr>
                <w:i/>
                <w:sz w:val="20"/>
                <w:szCs w:val="20"/>
              </w:rPr>
              <w:t>Change</w:t>
            </w:r>
          </w:p>
        </w:tc>
      </w:tr>
      <w:tr w:rsidR="00201CB1" w:rsidRPr="00701439" w14:paraId="5D2F0E58" w14:textId="77777777" w:rsidTr="00201CB1">
        <w:tc>
          <w:tcPr>
            <w:tcW w:w="6350" w:type="dxa"/>
          </w:tcPr>
          <w:p w14:paraId="1F9713BA" w14:textId="77777777" w:rsidR="00201CB1" w:rsidRPr="00701439" w:rsidRDefault="00201CB1" w:rsidP="00E534C5">
            <w:pPr>
              <w:pStyle w:val="NoSpacing"/>
              <w:jc w:val="both"/>
              <w:rPr>
                <w:sz w:val="20"/>
                <w:szCs w:val="20"/>
              </w:rPr>
            </w:pPr>
          </w:p>
        </w:tc>
        <w:tc>
          <w:tcPr>
            <w:tcW w:w="1134" w:type="dxa"/>
            <w:tcBorders>
              <w:top w:val="nil"/>
              <w:left w:val="nil"/>
              <w:bottom w:val="single" w:sz="4" w:space="0" w:color="auto"/>
              <w:right w:val="nil"/>
            </w:tcBorders>
            <w:vAlign w:val="bottom"/>
            <w:hideMark/>
          </w:tcPr>
          <w:p w14:paraId="01DC77A7" w14:textId="77777777" w:rsidR="00201CB1" w:rsidRPr="00701439" w:rsidRDefault="00201CB1" w:rsidP="00E534C5">
            <w:pPr>
              <w:pStyle w:val="NoSpacing"/>
              <w:jc w:val="center"/>
              <w:rPr>
                <w:sz w:val="20"/>
                <w:szCs w:val="20"/>
              </w:rPr>
            </w:pPr>
            <w:r w:rsidRPr="00701439">
              <w:rPr>
                <w:sz w:val="20"/>
                <w:szCs w:val="20"/>
              </w:rPr>
              <w:t>£m</w:t>
            </w:r>
          </w:p>
        </w:tc>
        <w:tc>
          <w:tcPr>
            <w:tcW w:w="1134" w:type="dxa"/>
            <w:tcBorders>
              <w:top w:val="nil"/>
              <w:left w:val="nil"/>
              <w:bottom w:val="single" w:sz="4" w:space="0" w:color="auto"/>
              <w:right w:val="nil"/>
            </w:tcBorders>
            <w:vAlign w:val="bottom"/>
            <w:hideMark/>
          </w:tcPr>
          <w:p w14:paraId="01E6F42C" w14:textId="77777777" w:rsidR="00201CB1" w:rsidRPr="00701439" w:rsidRDefault="00201CB1" w:rsidP="00E534C5">
            <w:pPr>
              <w:pStyle w:val="NoSpacing"/>
              <w:jc w:val="center"/>
              <w:rPr>
                <w:sz w:val="20"/>
                <w:szCs w:val="20"/>
              </w:rPr>
            </w:pPr>
            <w:r w:rsidRPr="00701439">
              <w:rPr>
                <w:sz w:val="20"/>
                <w:szCs w:val="20"/>
              </w:rPr>
              <w:t>£m</w:t>
            </w:r>
          </w:p>
        </w:tc>
        <w:tc>
          <w:tcPr>
            <w:tcW w:w="1134" w:type="dxa"/>
            <w:vMerge/>
            <w:tcBorders>
              <w:top w:val="nil"/>
              <w:left w:val="nil"/>
              <w:bottom w:val="single" w:sz="4" w:space="0" w:color="auto"/>
              <w:right w:val="nil"/>
            </w:tcBorders>
            <w:vAlign w:val="center"/>
            <w:hideMark/>
          </w:tcPr>
          <w:p w14:paraId="1431FFCD" w14:textId="77777777" w:rsidR="00201CB1" w:rsidRPr="00701439" w:rsidRDefault="00201CB1" w:rsidP="00E534C5">
            <w:pPr>
              <w:jc w:val="center"/>
              <w:rPr>
                <w:rFonts w:asciiTheme="minorHAnsi" w:hAnsiTheme="minorHAnsi"/>
                <w:i/>
                <w:sz w:val="20"/>
                <w:szCs w:val="20"/>
                <w:lang w:eastAsia="en-US"/>
              </w:rPr>
            </w:pPr>
          </w:p>
        </w:tc>
      </w:tr>
      <w:tr w:rsidR="00201CB1" w:rsidRPr="00701439" w14:paraId="617C91BA" w14:textId="77777777" w:rsidTr="00201CB1">
        <w:tc>
          <w:tcPr>
            <w:tcW w:w="6350" w:type="dxa"/>
          </w:tcPr>
          <w:p w14:paraId="714624FE" w14:textId="77777777" w:rsidR="00201CB1" w:rsidRPr="00701439" w:rsidRDefault="00201CB1" w:rsidP="00E534C5">
            <w:pPr>
              <w:pStyle w:val="NoSpacing"/>
              <w:jc w:val="both"/>
              <w:rPr>
                <w:sz w:val="20"/>
                <w:szCs w:val="20"/>
              </w:rPr>
            </w:pPr>
          </w:p>
        </w:tc>
        <w:tc>
          <w:tcPr>
            <w:tcW w:w="1134" w:type="dxa"/>
            <w:tcBorders>
              <w:top w:val="single" w:sz="4" w:space="0" w:color="auto"/>
              <w:left w:val="nil"/>
              <w:bottom w:val="nil"/>
              <w:right w:val="nil"/>
            </w:tcBorders>
            <w:vAlign w:val="bottom"/>
          </w:tcPr>
          <w:p w14:paraId="2B0628E6" w14:textId="77777777" w:rsidR="00201CB1" w:rsidRPr="00701439" w:rsidRDefault="00201CB1" w:rsidP="00E534C5">
            <w:pPr>
              <w:pStyle w:val="NoSpacing"/>
              <w:jc w:val="center"/>
              <w:rPr>
                <w:sz w:val="20"/>
                <w:szCs w:val="20"/>
              </w:rPr>
            </w:pPr>
          </w:p>
        </w:tc>
        <w:tc>
          <w:tcPr>
            <w:tcW w:w="1134" w:type="dxa"/>
            <w:tcBorders>
              <w:top w:val="single" w:sz="4" w:space="0" w:color="auto"/>
              <w:left w:val="nil"/>
              <w:bottom w:val="nil"/>
              <w:right w:val="nil"/>
            </w:tcBorders>
            <w:vAlign w:val="bottom"/>
          </w:tcPr>
          <w:p w14:paraId="265BC684" w14:textId="77777777" w:rsidR="00201CB1" w:rsidRPr="00701439" w:rsidRDefault="00201CB1" w:rsidP="00E534C5">
            <w:pPr>
              <w:pStyle w:val="NoSpacing"/>
              <w:jc w:val="center"/>
              <w:rPr>
                <w:sz w:val="20"/>
                <w:szCs w:val="20"/>
              </w:rPr>
            </w:pPr>
          </w:p>
        </w:tc>
        <w:tc>
          <w:tcPr>
            <w:tcW w:w="1134" w:type="dxa"/>
            <w:tcBorders>
              <w:top w:val="single" w:sz="4" w:space="0" w:color="auto"/>
              <w:left w:val="nil"/>
              <w:bottom w:val="nil"/>
              <w:right w:val="nil"/>
            </w:tcBorders>
            <w:vAlign w:val="bottom"/>
          </w:tcPr>
          <w:p w14:paraId="29DB69F4" w14:textId="77777777" w:rsidR="00201CB1" w:rsidRPr="00701439" w:rsidRDefault="00201CB1" w:rsidP="00E534C5">
            <w:pPr>
              <w:pStyle w:val="NoSpacing"/>
              <w:jc w:val="center"/>
              <w:rPr>
                <w:i/>
                <w:sz w:val="20"/>
                <w:szCs w:val="20"/>
              </w:rPr>
            </w:pPr>
          </w:p>
        </w:tc>
      </w:tr>
      <w:tr w:rsidR="00983AB7" w:rsidRPr="00701439" w14:paraId="57136D5D" w14:textId="77777777" w:rsidTr="00201CB1">
        <w:tc>
          <w:tcPr>
            <w:tcW w:w="6350" w:type="dxa"/>
            <w:vAlign w:val="bottom"/>
            <w:hideMark/>
          </w:tcPr>
          <w:p w14:paraId="02EF6F7B" w14:textId="57B1D260" w:rsidR="00983AB7" w:rsidRPr="00701439" w:rsidRDefault="00066D8B" w:rsidP="00983AB7">
            <w:pPr>
              <w:pStyle w:val="NoSpacing"/>
              <w:jc w:val="both"/>
              <w:rPr>
                <w:sz w:val="20"/>
                <w:szCs w:val="20"/>
              </w:rPr>
            </w:pPr>
            <w:r w:rsidRPr="00701439">
              <w:rPr>
                <w:sz w:val="20"/>
                <w:szCs w:val="20"/>
              </w:rPr>
              <w:t xml:space="preserve">Total </w:t>
            </w:r>
            <w:r w:rsidR="00236805" w:rsidRPr="00701439">
              <w:rPr>
                <w:sz w:val="20"/>
                <w:szCs w:val="20"/>
              </w:rPr>
              <w:t>c</w:t>
            </w:r>
            <w:r w:rsidR="00983AB7" w:rsidRPr="00701439">
              <w:rPr>
                <w:sz w:val="20"/>
                <w:szCs w:val="20"/>
              </w:rPr>
              <w:t>ustomer numbers ('000)</w:t>
            </w:r>
          </w:p>
        </w:tc>
        <w:tc>
          <w:tcPr>
            <w:tcW w:w="1134" w:type="dxa"/>
            <w:vAlign w:val="bottom"/>
          </w:tcPr>
          <w:p w14:paraId="36946C2B" w14:textId="0D7FB6E0" w:rsidR="00983AB7" w:rsidRPr="00701439" w:rsidRDefault="00D151C8" w:rsidP="00983AB7">
            <w:pPr>
              <w:pStyle w:val="NoSpacing"/>
              <w:jc w:val="center"/>
              <w:rPr>
                <w:sz w:val="20"/>
                <w:szCs w:val="20"/>
              </w:rPr>
            </w:pPr>
            <w:r w:rsidRPr="00701439">
              <w:rPr>
                <w:sz w:val="20"/>
                <w:szCs w:val="20"/>
              </w:rPr>
              <w:t>34</w:t>
            </w:r>
            <w:r w:rsidR="00983AB7" w:rsidRPr="00701439">
              <w:rPr>
                <w:sz w:val="20"/>
                <w:szCs w:val="20"/>
              </w:rPr>
              <w:t>.</w:t>
            </w:r>
            <w:r w:rsidRPr="00701439">
              <w:rPr>
                <w:sz w:val="20"/>
                <w:szCs w:val="20"/>
              </w:rPr>
              <w:t>4</w:t>
            </w:r>
          </w:p>
        </w:tc>
        <w:tc>
          <w:tcPr>
            <w:tcW w:w="1134" w:type="dxa"/>
            <w:vAlign w:val="bottom"/>
          </w:tcPr>
          <w:p w14:paraId="77068716" w14:textId="654A6C5D" w:rsidR="00983AB7" w:rsidRPr="00701439" w:rsidRDefault="00983AB7" w:rsidP="00983AB7">
            <w:pPr>
              <w:pStyle w:val="NoSpacing"/>
              <w:jc w:val="center"/>
              <w:rPr>
                <w:sz w:val="20"/>
                <w:szCs w:val="20"/>
              </w:rPr>
            </w:pPr>
            <w:r w:rsidRPr="00701439">
              <w:rPr>
                <w:sz w:val="20"/>
                <w:szCs w:val="20"/>
              </w:rPr>
              <w:t>19.9</w:t>
            </w:r>
          </w:p>
        </w:tc>
        <w:tc>
          <w:tcPr>
            <w:tcW w:w="1134" w:type="dxa"/>
            <w:vAlign w:val="bottom"/>
          </w:tcPr>
          <w:p w14:paraId="50794330" w14:textId="5BE0A309" w:rsidR="00983AB7" w:rsidRPr="00701439" w:rsidRDefault="00983AB7" w:rsidP="00983AB7">
            <w:pPr>
              <w:pStyle w:val="NoSpacing"/>
              <w:jc w:val="center"/>
              <w:rPr>
                <w:i/>
                <w:sz w:val="20"/>
                <w:szCs w:val="20"/>
              </w:rPr>
            </w:pPr>
            <w:r w:rsidRPr="00701439">
              <w:rPr>
                <w:i/>
                <w:sz w:val="20"/>
                <w:szCs w:val="20"/>
              </w:rPr>
              <w:t>7</w:t>
            </w:r>
            <w:r w:rsidR="0014774A" w:rsidRPr="00701439">
              <w:rPr>
                <w:i/>
                <w:sz w:val="20"/>
                <w:szCs w:val="20"/>
              </w:rPr>
              <w:t>2</w:t>
            </w:r>
            <w:r w:rsidRPr="00701439">
              <w:rPr>
                <w:i/>
                <w:sz w:val="20"/>
                <w:szCs w:val="20"/>
              </w:rPr>
              <w:t>.</w:t>
            </w:r>
            <w:r w:rsidR="005536B2" w:rsidRPr="00701439">
              <w:rPr>
                <w:i/>
                <w:sz w:val="20"/>
                <w:szCs w:val="20"/>
              </w:rPr>
              <w:t>9</w:t>
            </w:r>
            <w:r w:rsidRPr="00701439">
              <w:rPr>
                <w:i/>
                <w:sz w:val="20"/>
                <w:szCs w:val="20"/>
              </w:rPr>
              <w:t>%</w:t>
            </w:r>
          </w:p>
        </w:tc>
      </w:tr>
      <w:tr w:rsidR="00983AB7" w:rsidRPr="00701439" w14:paraId="64DAC2F6" w14:textId="77777777" w:rsidTr="00201CB1">
        <w:tc>
          <w:tcPr>
            <w:tcW w:w="6350" w:type="dxa"/>
            <w:vAlign w:val="bottom"/>
            <w:hideMark/>
          </w:tcPr>
          <w:p w14:paraId="1F577C54" w14:textId="77777777" w:rsidR="00983AB7" w:rsidRPr="00701439" w:rsidRDefault="00983AB7" w:rsidP="00983AB7">
            <w:pPr>
              <w:pStyle w:val="NoSpacing"/>
              <w:jc w:val="both"/>
              <w:rPr>
                <w:sz w:val="20"/>
                <w:szCs w:val="20"/>
              </w:rPr>
            </w:pPr>
            <w:r w:rsidRPr="00701439">
              <w:rPr>
                <w:sz w:val="20"/>
                <w:szCs w:val="20"/>
              </w:rPr>
              <w:t>Period-end receivables</w:t>
            </w:r>
          </w:p>
        </w:tc>
        <w:tc>
          <w:tcPr>
            <w:tcW w:w="1134" w:type="dxa"/>
            <w:vAlign w:val="bottom"/>
          </w:tcPr>
          <w:p w14:paraId="7A49596F" w14:textId="621D5335" w:rsidR="00983AB7" w:rsidRPr="00701439" w:rsidRDefault="008150B2" w:rsidP="00983AB7">
            <w:pPr>
              <w:pStyle w:val="NoSpacing"/>
              <w:jc w:val="center"/>
              <w:rPr>
                <w:sz w:val="20"/>
                <w:szCs w:val="20"/>
              </w:rPr>
            </w:pPr>
            <w:r w:rsidRPr="00701439">
              <w:rPr>
                <w:sz w:val="20"/>
                <w:szCs w:val="20"/>
              </w:rPr>
              <w:t>76</w:t>
            </w:r>
            <w:r w:rsidR="00983AB7" w:rsidRPr="00701439">
              <w:rPr>
                <w:sz w:val="20"/>
                <w:szCs w:val="20"/>
              </w:rPr>
              <w:t>.</w:t>
            </w:r>
            <w:r w:rsidRPr="00701439">
              <w:rPr>
                <w:sz w:val="20"/>
                <w:szCs w:val="20"/>
              </w:rPr>
              <w:t>3</w:t>
            </w:r>
          </w:p>
        </w:tc>
        <w:tc>
          <w:tcPr>
            <w:tcW w:w="1134" w:type="dxa"/>
            <w:vAlign w:val="bottom"/>
          </w:tcPr>
          <w:p w14:paraId="6AF8FCFE" w14:textId="732C1E59" w:rsidR="00983AB7" w:rsidRPr="00701439" w:rsidRDefault="00983AB7" w:rsidP="00983AB7">
            <w:pPr>
              <w:pStyle w:val="NoSpacing"/>
              <w:jc w:val="center"/>
              <w:rPr>
                <w:sz w:val="20"/>
                <w:szCs w:val="20"/>
              </w:rPr>
            </w:pPr>
            <w:r w:rsidRPr="00701439">
              <w:rPr>
                <w:sz w:val="20"/>
                <w:szCs w:val="20"/>
              </w:rPr>
              <w:t>28.1</w:t>
            </w:r>
          </w:p>
        </w:tc>
        <w:tc>
          <w:tcPr>
            <w:tcW w:w="1134" w:type="dxa"/>
            <w:vAlign w:val="bottom"/>
          </w:tcPr>
          <w:p w14:paraId="6D0E9E46" w14:textId="31AA6680" w:rsidR="00983AB7" w:rsidRPr="00701439" w:rsidRDefault="005531C8" w:rsidP="00983AB7">
            <w:pPr>
              <w:pStyle w:val="NoSpacing"/>
              <w:jc w:val="center"/>
              <w:rPr>
                <w:i/>
                <w:sz w:val="20"/>
                <w:szCs w:val="20"/>
              </w:rPr>
            </w:pPr>
            <w:r w:rsidRPr="00701439">
              <w:rPr>
                <w:i/>
                <w:sz w:val="20"/>
                <w:szCs w:val="20"/>
              </w:rPr>
              <w:t>171</w:t>
            </w:r>
            <w:r w:rsidR="00983AB7" w:rsidRPr="00701439">
              <w:rPr>
                <w:i/>
                <w:sz w:val="20"/>
                <w:szCs w:val="20"/>
              </w:rPr>
              <w:t>.</w:t>
            </w:r>
            <w:r w:rsidRPr="00701439">
              <w:rPr>
                <w:i/>
                <w:sz w:val="20"/>
                <w:szCs w:val="20"/>
              </w:rPr>
              <w:t>5</w:t>
            </w:r>
            <w:r w:rsidR="00983AB7" w:rsidRPr="00701439">
              <w:rPr>
                <w:i/>
                <w:sz w:val="20"/>
                <w:szCs w:val="20"/>
              </w:rPr>
              <w:t>%</w:t>
            </w:r>
          </w:p>
        </w:tc>
      </w:tr>
      <w:tr w:rsidR="00983AB7" w:rsidRPr="00701439" w14:paraId="0DBE8E25" w14:textId="77777777" w:rsidTr="00201CB1">
        <w:tc>
          <w:tcPr>
            <w:tcW w:w="6350" w:type="dxa"/>
            <w:tcBorders>
              <w:top w:val="nil"/>
              <w:left w:val="nil"/>
              <w:bottom w:val="single" w:sz="4" w:space="0" w:color="auto"/>
              <w:right w:val="nil"/>
            </w:tcBorders>
            <w:vAlign w:val="bottom"/>
            <w:hideMark/>
          </w:tcPr>
          <w:p w14:paraId="377647FC" w14:textId="79DCBEB0" w:rsidR="00983AB7" w:rsidRPr="00701439" w:rsidRDefault="00983AB7" w:rsidP="00983AB7">
            <w:pPr>
              <w:pStyle w:val="NoSpacing"/>
              <w:jc w:val="both"/>
              <w:rPr>
                <w:sz w:val="20"/>
                <w:szCs w:val="20"/>
              </w:rPr>
            </w:pPr>
            <w:r w:rsidRPr="00701439">
              <w:rPr>
                <w:sz w:val="20"/>
                <w:szCs w:val="20"/>
              </w:rPr>
              <w:t>Average</w:t>
            </w:r>
            <w:r w:rsidR="00F06C59" w:rsidRPr="00701439">
              <w:rPr>
                <w:sz w:val="20"/>
                <w:szCs w:val="20"/>
              </w:rPr>
              <w:t xml:space="preserve"> gross</w:t>
            </w:r>
            <w:r w:rsidRPr="00701439">
              <w:rPr>
                <w:sz w:val="20"/>
                <w:szCs w:val="20"/>
              </w:rPr>
              <w:t xml:space="preserve"> receivables</w:t>
            </w:r>
            <w:r w:rsidRPr="00701439">
              <w:rPr>
                <w:sz w:val="20"/>
                <w:szCs w:val="20"/>
                <w:vertAlign w:val="superscript"/>
              </w:rPr>
              <w:t>1</w:t>
            </w:r>
          </w:p>
        </w:tc>
        <w:tc>
          <w:tcPr>
            <w:tcW w:w="1134" w:type="dxa"/>
            <w:tcBorders>
              <w:top w:val="nil"/>
              <w:left w:val="nil"/>
              <w:bottom w:val="single" w:sz="4" w:space="0" w:color="auto"/>
              <w:right w:val="nil"/>
            </w:tcBorders>
            <w:shd w:val="clear" w:color="auto" w:fill="auto"/>
            <w:vAlign w:val="bottom"/>
          </w:tcPr>
          <w:p w14:paraId="4FB4689C" w14:textId="70B45304" w:rsidR="00983AB7" w:rsidRPr="00701439" w:rsidRDefault="00A950C7" w:rsidP="00983AB7">
            <w:pPr>
              <w:pStyle w:val="NoSpacing"/>
              <w:jc w:val="center"/>
              <w:rPr>
                <w:sz w:val="20"/>
                <w:szCs w:val="20"/>
              </w:rPr>
            </w:pPr>
            <w:r w:rsidRPr="00701439">
              <w:rPr>
                <w:sz w:val="20"/>
                <w:szCs w:val="20"/>
              </w:rPr>
              <w:t>50.9</w:t>
            </w:r>
          </w:p>
        </w:tc>
        <w:tc>
          <w:tcPr>
            <w:tcW w:w="1134" w:type="dxa"/>
            <w:tcBorders>
              <w:top w:val="nil"/>
              <w:left w:val="nil"/>
              <w:bottom w:val="single" w:sz="4" w:space="0" w:color="auto"/>
              <w:right w:val="nil"/>
            </w:tcBorders>
            <w:shd w:val="clear" w:color="auto" w:fill="auto"/>
            <w:vAlign w:val="bottom"/>
          </w:tcPr>
          <w:p w14:paraId="571E0F3F" w14:textId="6DA6F8B7" w:rsidR="00983AB7" w:rsidRPr="00701439" w:rsidRDefault="00A950C7" w:rsidP="00983AB7">
            <w:pPr>
              <w:pStyle w:val="NoSpacing"/>
              <w:jc w:val="center"/>
              <w:rPr>
                <w:sz w:val="20"/>
                <w:szCs w:val="20"/>
              </w:rPr>
            </w:pPr>
            <w:r w:rsidRPr="00701439">
              <w:rPr>
                <w:sz w:val="20"/>
                <w:szCs w:val="20"/>
              </w:rPr>
              <w:t>25.6</w:t>
            </w:r>
          </w:p>
        </w:tc>
        <w:tc>
          <w:tcPr>
            <w:tcW w:w="1134" w:type="dxa"/>
            <w:tcBorders>
              <w:top w:val="nil"/>
              <w:left w:val="nil"/>
              <w:bottom w:val="single" w:sz="4" w:space="0" w:color="auto"/>
              <w:right w:val="nil"/>
            </w:tcBorders>
            <w:shd w:val="clear" w:color="auto" w:fill="auto"/>
            <w:vAlign w:val="bottom"/>
          </w:tcPr>
          <w:p w14:paraId="373BD747" w14:textId="69C62CF5" w:rsidR="00983AB7" w:rsidRPr="00701439" w:rsidRDefault="004C335F" w:rsidP="00983AB7">
            <w:pPr>
              <w:pStyle w:val="NoSpacing"/>
              <w:jc w:val="center"/>
              <w:rPr>
                <w:i/>
                <w:sz w:val="20"/>
                <w:szCs w:val="20"/>
              </w:rPr>
            </w:pPr>
            <w:r w:rsidRPr="00701439">
              <w:rPr>
                <w:i/>
                <w:sz w:val="20"/>
                <w:szCs w:val="20"/>
              </w:rPr>
              <w:t>98.8</w:t>
            </w:r>
            <w:r w:rsidR="00983AB7" w:rsidRPr="00701439">
              <w:rPr>
                <w:i/>
                <w:sz w:val="20"/>
                <w:szCs w:val="20"/>
              </w:rPr>
              <w:t>%</w:t>
            </w:r>
          </w:p>
        </w:tc>
      </w:tr>
      <w:tr w:rsidR="00201CB1" w:rsidRPr="00701439" w14:paraId="5715A414" w14:textId="77777777" w:rsidTr="00201CB1">
        <w:tc>
          <w:tcPr>
            <w:tcW w:w="6350" w:type="dxa"/>
            <w:tcBorders>
              <w:top w:val="single" w:sz="4" w:space="0" w:color="auto"/>
              <w:left w:val="nil"/>
              <w:bottom w:val="nil"/>
              <w:right w:val="nil"/>
            </w:tcBorders>
            <w:vAlign w:val="bottom"/>
          </w:tcPr>
          <w:p w14:paraId="625FE2A1" w14:textId="77777777" w:rsidR="00201CB1" w:rsidRPr="00701439" w:rsidRDefault="00201CB1" w:rsidP="00E534C5">
            <w:pPr>
              <w:pStyle w:val="NoSpacing"/>
              <w:jc w:val="both"/>
              <w:rPr>
                <w:sz w:val="20"/>
                <w:szCs w:val="20"/>
              </w:rPr>
            </w:pPr>
          </w:p>
        </w:tc>
        <w:tc>
          <w:tcPr>
            <w:tcW w:w="1134" w:type="dxa"/>
            <w:tcBorders>
              <w:top w:val="single" w:sz="4" w:space="0" w:color="auto"/>
              <w:left w:val="nil"/>
              <w:bottom w:val="nil"/>
              <w:right w:val="nil"/>
            </w:tcBorders>
            <w:vAlign w:val="bottom"/>
          </w:tcPr>
          <w:p w14:paraId="13861561" w14:textId="77777777" w:rsidR="00201CB1" w:rsidRPr="00701439" w:rsidRDefault="00201CB1" w:rsidP="00E534C5">
            <w:pPr>
              <w:pStyle w:val="NoSpacing"/>
              <w:jc w:val="center"/>
              <w:rPr>
                <w:sz w:val="20"/>
                <w:szCs w:val="20"/>
              </w:rPr>
            </w:pPr>
          </w:p>
        </w:tc>
        <w:tc>
          <w:tcPr>
            <w:tcW w:w="1134" w:type="dxa"/>
            <w:tcBorders>
              <w:top w:val="single" w:sz="4" w:space="0" w:color="auto"/>
              <w:left w:val="nil"/>
              <w:bottom w:val="nil"/>
              <w:right w:val="nil"/>
            </w:tcBorders>
            <w:vAlign w:val="bottom"/>
          </w:tcPr>
          <w:p w14:paraId="19EEEA61" w14:textId="77777777" w:rsidR="00201CB1" w:rsidRPr="00701439" w:rsidRDefault="00201CB1" w:rsidP="00E534C5">
            <w:pPr>
              <w:pStyle w:val="NoSpacing"/>
              <w:jc w:val="center"/>
              <w:rPr>
                <w:sz w:val="20"/>
                <w:szCs w:val="20"/>
              </w:rPr>
            </w:pPr>
          </w:p>
        </w:tc>
        <w:tc>
          <w:tcPr>
            <w:tcW w:w="1134" w:type="dxa"/>
            <w:tcBorders>
              <w:top w:val="single" w:sz="4" w:space="0" w:color="auto"/>
              <w:left w:val="nil"/>
              <w:bottom w:val="nil"/>
              <w:right w:val="nil"/>
            </w:tcBorders>
            <w:vAlign w:val="bottom"/>
          </w:tcPr>
          <w:p w14:paraId="7DA2514B" w14:textId="77777777" w:rsidR="00201CB1" w:rsidRPr="00701439" w:rsidRDefault="00201CB1" w:rsidP="00E534C5">
            <w:pPr>
              <w:pStyle w:val="NoSpacing"/>
              <w:jc w:val="center"/>
              <w:rPr>
                <w:i/>
                <w:sz w:val="20"/>
                <w:szCs w:val="20"/>
              </w:rPr>
            </w:pPr>
          </w:p>
        </w:tc>
      </w:tr>
      <w:tr w:rsidR="00201CB1" w:rsidRPr="00701439" w14:paraId="529B97F2" w14:textId="77777777" w:rsidTr="00201CB1">
        <w:tc>
          <w:tcPr>
            <w:tcW w:w="6350" w:type="dxa"/>
            <w:vAlign w:val="bottom"/>
            <w:hideMark/>
          </w:tcPr>
          <w:p w14:paraId="74447A97" w14:textId="3CB0976B" w:rsidR="00201CB1" w:rsidRPr="00701439" w:rsidRDefault="00983AB7" w:rsidP="00E534C5">
            <w:pPr>
              <w:pStyle w:val="NoSpacing"/>
              <w:jc w:val="both"/>
              <w:rPr>
                <w:b/>
                <w:sz w:val="20"/>
                <w:szCs w:val="20"/>
              </w:rPr>
            </w:pPr>
            <w:r w:rsidRPr="00701439">
              <w:rPr>
                <w:b/>
                <w:sz w:val="20"/>
                <w:szCs w:val="20"/>
              </w:rPr>
              <w:t>Interest income</w:t>
            </w:r>
          </w:p>
        </w:tc>
        <w:tc>
          <w:tcPr>
            <w:tcW w:w="1134" w:type="dxa"/>
            <w:vAlign w:val="bottom"/>
          </w:tcPr>
          <w:p w14:paraId="021FDF35" w14:textId="1C1A83FE" w:rsidR="00201CB1" w:rsidRPr="00701439" w:rsidRDefault="00CB629C" w:rsidP="00E534C5">
            <w:pPr>
              <w:pStyle w:val="NoSpacing"/>
              <w:jc w:val="center"/>
              <w:rPr>
                <w:b/>
                <w:sz w:val="20"/>
                <w:szCs w:val="20"/>
              </w:rPr>
            </w:pPr>
            <w:r w:rsidRPr="00701439">
              <w:rPr>
                <w:b/>
                <w:sz w:val="20"/>
                <w:szCs w:val="20"/>
              </w:rPr>
              <w:t>13</w:t>
            </w:r>
            <w:r w:rsidR="006B6D23" w:rsidRPr="00701439">
              <w:rPr>
                <w:b/>
                <w:sz w:val="20"/>
                <w:szCs w:val="20"/>
              </w:rPr>
              <w:t>.</w:t>
            </w:r>
            <w:r w:rsidRPr="00701439">
              <w:rPr>
                <w:b/>
                <w:sz w:val="20"/>
                <w:szCs w:val="20"/>
              </w:rPr>
              <w:t>1</w:t>
            </w:r>
          </w:p>
        </w:tc>
        <w:tc>
          <w:tcPr>
            <w:tcW w:w="1134" w:type="dxa"/>
            <w:vAlign w:val="bottom"/>
          </w:tcPr>
          <w:p w14:paraId="1BC29A8B" w14:textId="5DADBAB6" w:rsidR="00201CB1" w:rsidRPr="00701439" w:rsidRDefault="002478D2" w:rsidP="00E534C5">
            <w:pPr>
              <w:pStyle w:val="NoSpacing"/>
              <w:jc w:val="center"/>
              <w:rPr>
                <w:b/>
                <w:sz w:val="20"/>
                <w:szCs w:val="20"/>
              </w:rPr>
            </w:pPr>
            <w:r w:rsidRPr="00701439">
              <w:rPr>
                <w:b/>
                <w:sz w:val="20"/>
                <w:szCs w:val="20"/>
              </w:rPr>
              <w:t>7.2</w:t>
            </w:r>
          </w:p>
        </w:tc>
        <w:tc>
          <w:tcPr>
            <w:tcW w:w="1134" w:type="dxa"/>
            <w:vAlign w:val="bottom"/>
          </w:tcPr>
          <w:p w14:paraId="13AF995F" w14:textId="22AD592F" w:rsidR="00201CB1" w:rsidRPr="00701439" w:rsidRDefault="000862CD" w:rsidP="00E534C5">
            <w:pPr>
              <w:pStyle w:val="NoSpacing"/>
              <w:jc w:val="center"/>
              <w:rPr>
                <w:b/>
                <w:i/>
                <w:sz w:val="20"/>
                <w:szCs w:val="20"/>
              </w:rPr>
            </w:pPr>
            <w:r w:rsidRPr="00701439">
              <w:rPr>
                <w:b/>
                <w:i/>
                <w:sz w:val="20"/>
                <w:szCs w:val="20"/>
              </w:rPr>
              <w:t>81</w:t>
            </w:r>
            <w:r w:rsidR="000E5489" w:rsidRPr="00701439">
              <w:rPr>
                <w:b/>
                <w:i/>
                <w:sz w:val="20"/>
                <w:szCs w:val="20"/>
              </w:rPr>
              <w:t>.</w:t>
            </w:r>
            <w:r w:rsidRPr="00701439">
              <w:rPr>
                <w:b/>
                <w:i/>
                <w:sz w:val="20"/>
                <w:szCs w:val="20"/>
              </w:rPr>
              <w:t>9</w:t>
            </w:r>
            <w:r w:rsidR="000E5489" w:rsidRPr="00701439">
              <w:rPr>
                <w:b/>
                <w:i/>
                <w:sz w:val="20"/>
                <w:szCs w:val="20"/>
              </w:rPr>
              <w:t>%</w:t>
            </w:r>
          </w:p>
        </w:tc>
      </w:tr>
      <w:tr w:rsidR="00201CB1" w:rsidRPr="00701439" w14:paraId="3B05FE8F" w14:textId="77777777" w:rsidTr="00201CB1">
        <w:tc>
          <w:tcPr>
            <w:tcW w:w="6350" w:type="dxa"/>
            <w:tcBorders>
              <w:top w:val="nil"/>
              <w:left w:val="nil"/>
              <w:bottom w:val="single" w:sz="4" w:space="0" w:color="auto"/>
              <w:right w:val="nil"/>
            </w:tcBorders>
            <w:vAlign w:val="bottom"/>
            <w:hideMark/>
          </w:tcPr>
          <w:p w14:paraId="3620EEDD" w14:textId="55B6ED2F" w:rsidR="00201CB1" w:rsidRPr="00701439" w:rsidRDefault="00201CB1" w:rsidP="00E534C5">
            <w:pPr>
              <w:pStyle w:val="NoSpacing"/>
              <w:jc w:val="both"/>
              <w:rPr>
                <w:sz w:val="20"/>
                <w:szCs w:val="20"/>
              </w:rPr>
            </w:pPr>
            <w:r w:rsidRPr="00701439">
              <w:rPr>
                <w:sz w:val="20"/>
                <w:szCs w:val="20"/>
              </w:rPr>
              <w:t>Interest</w:t>
            </w:r>
            <w:r w:rsidR="0069039B" w:rsidRPr="00701439">
              <w:rPr>
                <w:sz w:val="20"/>
                <w:szCs w:val="20"/>
              </w:rPr>
              <w:t xml:space="preserve"> expense</w:t>
            </w:r>
          </w:p>
        </w:tc>
        <w:tc>
          <w:tcPr>
            <w:tcW w:w="1134" w:type="dxa"/>
            <w:tcBorders>
              <w:top w:val="nil"/>
              <w:left w:val="nil"/>
              <w:bottom w:val="single" w:sz="4" w:space="0" w:color="auto"/>
              <w:right w:val="nil"/>
            </w:tcBorders>
            <w:vAlign w:val="bottom"/>
          </w:tcPr>
          <w:p w14:paraId="287866DC" w14:textId="056EFAAC" w:rsidR="00201CB1" w:rsidRPr="00701439" w:rsidRDefault="006B6D23" w:rsidP="00E534C5">
            <w:pPr>
              <w:pStyle w:val="NoSpacing"/>
              <w:jc w:val="center"/>
              <w:rPr>
                <w:sz w:val="20"/>
                <w:szCs w:val="20"/>
              </w:rPr>
            </w:pPr>
            <w:r w:rsidRPr="00701439">
              <w:rPr>
                <w:sz w:val="20"/>
                <w:szCs w:val="20"/>
              </w:rPr>
              <w:t>(</w:t>
            </w:r>
            <w:r w:rsidR="00CB629C" w:rsidRPr="00701439">
              <w:rPr>
                <w:sz w:val="20"/>
                <w:szCs w:val="20"/>
              </w:rPr>
              <w:t>1.2</w:t>
            </w:r>
            <w:r w:rsidRPr="00701439">
              <w:rPr>
                <w:sz w:val="20"/>
                <w:szCs w:val="20"/>
              </w:rPr>
              <w:t>)</w:t>
            </w:r>
          </w:p>
        </w:tc>
        <w:tc>
          <w:tcPr>
            <w:tcW w:w="1134" w:type="dxa"/>
            <w:tcBorders>
              <w:top w:val="nil"/>
              <w:left w:val="nil"/>
              <w:bottom w:val="single" w:sz="4" w:space="0" w:color="auto"/>
              <w:right w:val="nil"/>
            </w:tcBorders>
            <w:vAlign w:val="bottom"/>
          </w:tcPr>
          <w:p w14:paraId="2E0EBFD8" w14:textId="6CE0C5F6" w:rsidR="00201CB1" w:rsidRPr="00701439" w:rsidRDefault="006B6D23" w:rsidP="00E534C5">
            <w:pPr>
              <w:pStyle w:val="NoSpacing"/>
              <w:jc w:val="center"/>
              <w:rPr>
                <w:sz w:val="20"/>
                <w:szCs w:val="20"/>
              </w:rPr>
            </w:pPr>
            <w:r w:rsidRPr="00701439">
              <w:rPr>
                <w:sz w:val="20"/>
                <w:szCs w:val="20"/>
              </w:rPr>
              <w:t>(0.</w:t>
            </w:r>
            <w:r w:rsidR="002478D2" w:rsidRPr="00701439">
              <w:rPr>
                <w:sz w:val="20"/>
                <w:szCs w:val="20"/>
              </w:rPr>
              <w:t>8</w:t>
            </w:r>
            <w:r w:rsidRPr="00701439">
              <w:rPr>
                <w:sz w:val="20"/>
                <w:szCs w:val="20"/>
              </w:rPr>
              <w:t>)</w:t>
            </w:r>
          </w:p>
        </w:tc>
        <w:tc>
          <w:tcPr>
            <w:tcW w:w="1134" w:type="dxa"/>
            <w:tcBorders>
              <w:top w:val="nil"/>
              <w:left w:val="nil"/>
              <w:bottom w:val="single" w:sz="4" w:space="0" w:color="auto"/>
              <w:right w:val="nil"/>
            </w:tcBorders>
            <w:vAlign w:val="bottom"/>
          </w:tcPr>
          <w:p w14:paraId="06E2849C" w14:textId="57CDF98F" w:rsidR="00201CB1" w:rsidRPr="00701439" w:rsidRDefault="00414BCA" w:rsidP="00E534C5">
            <w:pPr>
              <w:pStyle w:val="NoSpacing"/>
              <w:jc w:val="center"/>
              <w:rPr>
                <w:i/>
                <w:sz w:val="20"/>
                <w:szCs w:val="20"/>
              </w:rPr>
            </w:pPr>
            <w:r w:rsidRPr="00701439">
              <w:rPr>
                <w:i/>
                <w:sz w:val="20"/>
                <w:szCs w:val="20"/>
              </w:rPr>
              <w:t>50</w:t>
            </w:r>
            <w:r w:rsidR="00B26768" w:rsidRPr="00701439">
              <w:rPr>
                <w:i/>
                <w:sz w:val="20"/>
                <w:szCs w:val="20"/>
              </w:rPr>
              <w:t>.0</w:t>
            </w:r>
            <w:r w:rsidRPr="00701439">
              <w:rPr>
                <w:i/>
                <w:sz w:val="20"/>
                <w:szCs w:val="20"/>
              </w:rPr>
              <w:t>%</w:t>
            </w:r>
          </w:p>
        </w:tc>
      </w:tr>
      <w:tr w:rsidR="00201CB1" w:rsidRPr="00701439" w14:paraId="5AE65E0D" w14:textId="77777777" w:rsidTr="000328C7">
        <w:tc>
          <w:tcPr>
            <w:tcW w:w="6350" w:type="dxa"/>
            <w:tcBorders>
              <w:top w:val="single" w:sz="4" w:space="0" w:color="auto"/>
              <w:left w:val="nil"/>
              <w:right w:val="nil"/>
            </w:tcBorders>
            <w:vAlign w:val="bottom"/>
            <w:hideMark/>
          </w:tcPr>
          <w:p w14:paraId="70037C07" w14:textId="06175326" w:rsidR="00201CB1" w:rsidRPr="00701439" w:rsidRDefault="00201CB1" w:rsidP="00E534C5">
            <w:pPr>
              <w:pStyle w:val="NoSpacing"/>
              <w:jc w:val="both"/>
              <w:rPr>
                <w:b/>
                <w:sz w:val="20"/>
                <w:szCs w:val="20"/>
              </w:rPr>
            </w:pPr>
            <w:r w:rsidRPr="00701439">
              <w:rPr>
                <w:b/>
                <w:sz w:val="20"/>
                <w:szCs w:val="20"/>
              </w:rPr>
              <w:t>Net interest</w:t>
            </w:r>
            <w:r w:rsidR="0069039B" w:rsidRPr="00701439">
              <w:rPr>
                <w:b/>
                <w:sz w:val="20"/>
                <w:szCs w:val="20"/>
              </w:rPr>
              <w:t xml:space="preserve"> income</w:t>
            </w:r>
          </w:p>
        </w:tc>
        <w:tc>
          <w:tcPr>
            <w:tcW w:w="1134" w:type="dxa"/>
            <w:tcBorders>
              <w:top w:val="single" w:sz="4" w:space="0" w:color="auto"/>
              <w:left w:val="nil"/>
              <w:right w:val="nil"/>
            </w:tcBorders>
            <w:vAlign w:val="bottom"/>
          </w:tcPr>
          <w:p w14:paraId="50BA0EB4" w14:textId="1E107797" w:rsidR="00201CB1" w:rsidRPr="00701439" w:rsidRDefault="00FE3FEE" w:rsidP="00E534C5">
            <w:pPr>
              <w:pStyle w:val="NoSpacing"/>
              <w:jc w:val="center"/>
              <w:rPr>
                <w:b/>
                <w:sz w:val="20"/>
                <w:szCs w:val="20"/>
              </w:rPr>
            </w:pPr>
            <w:r w:rsidRPr="00701439">
              <w:rPr>
                <w:b/>
                <w:sz w:val="20"/>
                <w:szCs w:val="20"/>
              </w:rPr>
              <w:t>11</w:t>
            </w:r>
            <w:r w:rsidR="006B6D23" w:rsidRPr="00701439">
              <w:rPr>
                <w:b/>
                <w:sz w:val="20"/>
                <w:szCs w:val="20"/>
              </w:rPr>
              <w:t>.</w:t>
            </w:r>
            <w:r w:rsidRPr="00701439">
              <w:rPr>
                <w:b/>
                <w:sz w:val="20"/>
                <w:szCs w:val="20"/>
              </w:rPr>
              <w:t>9</w:t>
            </w:r>
          </w:p>
        </w:tc>
        <w:tc>
          <w:tcPr>
            <w:tcW w:w="1134" w:type="dxa"/>
            <w:tcBorders>
              <w:top w:val="single" w:sz="4" w:space="0" w:color="auto"/>
              <w:left w:val="nil"/>
              <w:right w:val="nil"/>
            </w:tcBorders>
            <w:vAlign w:val="bottom"/>
          </w:tcPr>
          <w:p w14:paraId="0CD2FA77" w14:textId="47DD981E" w:rsidR="00201CB1" w:rsidRPr="00701439" w:rsidRDefault="002478D2" w:rsidP="00E534C5">
            <w:pPr>
              <w:pStyle w:val="NoSpacing"/>
              <w:jc w:val="center"/>
              <w:rPr>
                <w:b/>
                <w:sz w:val="20"/>
                <w:szCs w:val="20"/>
              </w:rPr>
            </w:pPr>
            <w:r w:rsidRPr="00701439">
              <w:rPr>
                <w:b/>
                <w:sz w:val="20"/>
                <w:szCs w:val="20"/>
              </w:rPr>
              <w:t>6.4</w:t>
            </w:r>
          </w:p>
        </w:tc>
        <w:tc>
          <w:tcPr>
            <w:tcW w:w="1134" w:type="dxa"/>
            <w:tcBorders>
              <w:top w:val="single" w:sz="4" w:space="0" w:color="auto"/>
              <w:left w:val="nil"/>
              <w:right w:val="nil"/>
            </w:tcBorders>
            <w:vAlign w:val="bottom"/>
          </w:tcPr>
          <w:p w14:paraId="14DF705D" w14:textId="79F3A5A1" w:rsidR="00C419F7" w:rsidRPr="00701439" w:rsidRDefault="00C419F7" w:rsidP="00C419F7">
            <w:pPr>
              <w:pStyle w:val="NoSpacing"/>
              <w:jc w:val="center"/>
              <w:rPr>
                <w:b/>
                <w:i/>
                <w:sz w:val="20"/>
                <w:szCs w:val="20"/>
              </w:rPr>
            </w:pPr>
            <w:r w:rsidRPr="00701439">
              <w:rPr>
                <w:b/>
                <w:i/>
                <w:sz w:val="20"/>
                <w:szCs w:val="20"/>
              </w:rPr>
              <w:t>85</w:t>
            </w:r>
            <w:r w:rsidR="000E5489" w:rsidRPr="00701439">
              <w:rPr>
                <w:b/>
                <w:i/>
                <w:sz w:val="20"/>
                <w:szCs w:val="20"/>
              </w:rPr>
              <w:t>.9</w:t>
            </w:r>
            <w:r w:rsidRPr="00701439">
              <w:rPr>
                <w:b/>
                <w:i/>
                <w:sz w:val="20"/>
                <w:szCs w:val="20"/>
              </w:rPr>
              <w:t>%</w:t>
            </w:r>
          </w:p>
        </w:tc>
      </w:tr>
      <w:tr w:rsidR="00961D89" w:rsidRPr="00701439" w14:paraId="5AD4B65F" w14:textId="77777777" w:rsidTr="00201CB1">
        <w:tc>
          <w:tcPr>
            <w:tcW w:w="6350" w:type="dxa"/>
            <w:tcBorders>
              <w:top w:val="single" w:sz="4" w:space="0" w:color="auto"/>
              <w:left w:val="nil"/>
              <w:bottom w:val="nil"/>
              <w:right w:val="nil"/>
            </w:tcBorders>
            <w:vAlign w:val="bottom"/>
          </w:tcPr>
          <w:p w14:paraId="1FB6F405" w14:textId="40DF97B2" w:rsidR="00961D89" w:rsidRPr="00701439" w:rsidRDefault="00961D89" w:rsidP="00E534C5">
            <w:pPr>
              <w:pStyle w:val="NoSpacing"/>
              <w:jc w:val="both"/>
              <w:rPr>
                <w:b/>
                <w:sz w:val="20"/>
                <w:szCs w:val="20"/>
              </w:rPr>
            </w:pPr>
            <w:r w:rsidRPr="00701439">
              <w:rPr>
                <w:b/>
                <w:sz w:val="20"/>
                <w:szCs w:val="20"/>
              </w:rPr>
              <w:t>Total income</w:t>
            </w:r>
          </w:p>
        </w:tc>
        <w:tc>
          <w:tcPr>
            <w:tcW w:w="1134" w:type="dxa"/>
            <w:tcBorders>
              <w:top w:val="single" w:sz="4" w:space="0" w:color="auto"/>
              <w:left w:val="nil"/>
              <w:bottom w:val="nil"/>
              <w:right w:val="nil"/>
            </w:tcBorders>
            <w:vAlign w:val="bottom"/>
          </w:tcPr>
          <w:p w14:paraId="48BC2860" w14:textId="2C540C7E" w:rsidR="00961D89" w:rsidRPr="00701439" w:rsidRDefault="00D73C64" w:rsidP="00E534C5">
            <w:pPr>
              <w:pStyle w:val="NoSpacing"/>
              <w:jc w:val="center"/>
              <w:rPr>
                <w:b/>
                <w:sz w:val="20"/>
                <w:szCs w:val="20"/>
              </w:rPr>
            </w:pPr>
            <w:r w:rsidRPr="00701439">
              <w:rPr>
                <w:b/>
                <w:sz w:val="20"/>
                <w:szCs w:val="20"/>
              </w:rPr>
              <w:t>11.9</w:t>
            </w:r>
          </w:p>
        </w:tc>
        <w:tc>
          <w:tcPr>
            <w:tcW w:w="1134" w:type="dxa"/>
            <w:tcBorders>
              <w:top w:val="single" w:sz="4" w:space="0" w:color="auto"/>
              <w:left w:val="nil"/>
              <w:bottom w:val="nil"/>
              <w:right w:val="nil"/>
            </w:tcBorders>
            <w:vAlign w:val="bottom"/>
          </w:tcPr>
          <w:p w14:paraId="7565CC6E" w14:textId="1B21A366" w:rsidR="00961D89" w:rsidRPr="00701439" w:rsidRDefault="00491314" w:rsidP="00E534C5">
            <w:pPr>
              <w:pStyle w:val="NoSpacing"/>
              <w:jc w:val="center"/>
              <w:rPr>
                <w:b/>
                <w:sz w:val="20"/>
                <w:szCs w:val="20"/>
              </w:rPr>
            </w:pPr>
            <w:r w:rsidRPr="00701439">
              <w:rPr>
                <w:b/>
                <w:sz w:val="20"/>
                <w:szCs w:val="20"/>
              </w:rPr>
              <w:t>6.4</w:t>
            </w:r>
          </w:p>
        </w:tc>
        <w:tc>
          <w:tcPr>
            <w:tcW w:w="1134" w:type="dxa"/>
            <w:tcBorders>
              <w:top w:val="single" w:sz="4" w:space="0" w:color="auto"/>
              <w:left w:val="nil"/>
              <w:bottom w:val="nil"/>
              <w:right w:val="nil"/>
            </w:tcBorders>
            <w:vAlign w:val="bottom"/>
          </w:tcPr>
          <w:p w14:paraId="5D6084D5" w14:textId="2DFFEC15" w:rsidR="00961D89" w:rsidRPr="00701439" w:rsidRDefault="00C419F7" w:rsidP="00E534C5">
            <w:pPr>
              <w:pStyle w:val="NoSpacing"/>
              <w:jc w:val="center"/>
              <w:rPr>
                <w:b/>
                <w:i/>
                <w:sz w:val="20"/>
                <w:szCs w:val="20"/>
              </w:rPr>
            </w:pPr>
            <w:r w:rsidRPr="00701439">
              <w:rPr>
                <w:b/>
                <w:i/>
                <w:sz w:val="20"/>
                <w:szCs w:val="20"/>
              </w:rPr>
              <w:t>85.9%</w:t>
            </w:r>
          </w:p>
        </w:tc>
      </w:tr>
      <w:tr w:rsidR="00201CB1" w:rsidRPr="00701439" w14:paraId="7DCBE08E" w14:textId="77777777" w:rsidTr="00201CB1">
        <w:tc>
          <w:tcPr>
            <w:tcW w:w="6350" w:type="dxa"/>
            <w:tcBorders>
              <w:top w:val="nil"/>
              <w:left w:val="nil"/>
              <w:bottom w:val="single" w:sz="4" w:space="0" w:color="auto"/>
              <w:right w:val="nil"/>
            </w:tcBorders>
            <w:vAlign w:val="bottom"/>
            <w:hideMark/>
          </w:tcPr>
          <w:p w14:paraId="52B2F063" w14:textId="7E5F0CB0" w:rsidR="00201CB1" w:rsidRPr="00701439" w:rsidRDefault="00201CB1" w:rsidP="00E534C5">
            <w:pPr>
              <w:pStyle w:val="NoSpacing"/>
              <w:jc w:val="both"/>
              <w:rPr>
                <w:sz w:val="20"/>
                <w:szCs w:val="20"/>
              </w:rPr>
            </w:pPr>
            <w:r w:rsidRPr="00701439">
              <w:rPr>
                <w:sz w:val="20"/>
                <w:szCs w:val="20"/>
              </w:rPr>
              <w:t>Impairment</w:t>
            </w:r>
            <w:r w:rsidR="00961D89" w:rsidRPr="00701439">
              <w:rPr>
                <w:sz w:val="20"/>
                <w:szCs w:val="20"/>
              </w:rPr>
              <w:t xml:space="preserve"> charges</w:t>
            </w:r>
          </w:p>
        </w:tc>
        <w:tc>
          <w:tcPr>
            <w:tcW w:w="1134" w:type="dxa"/>
            <w:tcBorders>
              <w:top w:val="nil"/>
              <w:left w:val="nil"/>
              <w:bottom w:val="single" w:sz="4" w:space="0" w:color="auto"/>
              <w:right w:val="nil"/>
            </w:tcBorders>
            <w:vAlign w:val="bottom"/>
          </w:tcPr>
          <w:p w14:paraId="35BCF3BC" w14:textId="40FEBE06" w:rsidR="00201CB1" w:rsidRPr="00701439" w:rsidRDefault="006B6D23" w:rsidP="00E534C5">
            <w:pPr>
              <w:pStyle w:val="NoSpacing"/>
              <w:jc w:val="center"/>
              <w:rPr>
                <w:sz w:val="20"/>
                <w:szCs w:val="20"/>
              </w:rPr>
            </w:pPr>
            <w:r w:rsidRPr="00701439">
              <w:rPr>
                <w:sz w:val="20"/>
                <w:szCs w:val="20"/>
              </w:rPr>
              <w:t>(</w:t>
            </w:r>
            <w:r w:rsidR="00DF1735" w:rsidRPr="00701439">
              <w:rPr>
                <w:sz w:val="20"/>
                <w:szCs w:val="20"/>
              </w:rPr>
              <w:t>8.5</w:t>
            </w:r>
            <w:r w:rsidRPr="00701439">
              <w:rPr>
                <w:sz w:val="20"/>
                <w:szCs w:val="20"/>
              </w:rPr>
              <w:t>)</w:t>
            </w:r>
          </w:p>
        </w:tc>
        <w:tc>
          <w:tcPr>
            <w:tcW w:w="1134" w:type="dxa"/>
            <w:tcBorders>
              <w:top w:val="nil"/>
              <w:left w:val="nil"/>
              <w:bottom w:val="single" w:sz="4" w:space="0" w:color="auto"/>
              <w:right w:val="nil"/>
            </w:tcBorders>
            <w:vAlign w:val="bottom"/>
          </w:tcPr>
          <w:p w14:paraId="2CDF511C" w14:textId="780BFA67" w:rsidR="00201CB1" w:rsidRPr="00701439" w:rsidRDefault="006B6D23" w:rsidP="00E534C5">
            <w:pPr>
              <w:pStyle w:val="NoSpacing"/>
              <w:jc w:val="center"/>
              <w:rPr>
                <w:sz w:val="20"/>
                <w:szCs w:val="20"/>
              </w:rPr>
            </w:pPr>
            <w:r w:rsidRPr="00701439">
              <w:rPr>
                <w:sz w:val="20"/>
                <w:szCs w:val="20"/>
              </w:rPr>
              <w:t>(</w:t>
            </w:r>
            <w:r w:rsidR="00491314" w:rsidRPr="00701439">
              <w:rPr>
                <w:sz w:val="20"/>
                <w:szCs w:val="20"/>
              </w:rPr>
              <w:t>2.1</w:t>
            </w:r>
            <w:r w:rsidRPr="00701439">
              <w:rPr>
                <w:sz w:val="20"/>
                <w:szCs w:val="20"/>
              </w:rPr>
              <w:t>)</w:t>
            </w:r>
          </w:p>
        </w:tc>
        <w:tc>
          <w:tcPr>
            <w:tcW w:w="1134" w:type="dxa"/>
            <w:tcBorders>
              <w:top w:val="nil"/>
              <w:left w:val="nil"/>
              <w:bottom w:val="single" w:sz="4" w:space="0" w:color="auto"/>
              <w:right w:val="nil"/>
            </w:tcBorders>
            <w:vAlign w:val="bottom"/>
          </w:tcPr>
          <w:p w14:paraId="0E376289" w14:textId="6A0A7343" w:rsidR="00201CB1" w:rsidRPr="00701439" w:rsidRDefault="00BE6B24" w:rsidP="00E534C5">
            <w:pPr>
              <w:pStyle w:val="NoSpacing"/>
              <w:jc w:val="center"/>
              <w:rPr>
                <w:i/>
                <w:sz w:val="20"/>
                <w:szCs w:val="20"/>
              </w:rPr>
            </w:pPr>
            <w:r w:rsidRPr="00701439">
              <w:rPr>
                <w:i/>
                <w:sz w:val="20"/>
                <w:szCs w:val="20"/>
              </w:rPr>
              <w:t>304</w:t>
            </w:r>
            <w:r w:rsidR="000E5489" w:rsidRPr="00701439">
              <w:rPr>
                <w:i/>
                <w:sz w:val="20"/>
                <w:szCs w:val="20"/>
              </w:rPr>
              <w:t>.</w:t>
            </w:r>
            <w:r w:rsidRPr="00701439">
              <w:rPr>
                <w:i/>
                <w:sz w:val="20"/>
                <w:szCs w:val="20"/>
              </w:rPr>
              <w:t>8</w:t>
            </w:r>
            <w:r w:rsidR="000E5489" w:rsidRPr="00701439">
              <w:rPr>
                <w:i/>
                <w:sz w:val="20"/>
                <w:szCs w:val="20"/>
              </w:rPr>
              <w:t>%</w:t>
            </w:r>
          </w:p>
        </w:tc>
      </w:tr>
      <w:tr w:rsidR="00201CB1" w:rsidRPr="00701439" w14:paraId="2B1A6B68" w14:textId="77777777" w:rsidTr="00201CB1">
        <w:tc>
          <w:tcPr>
            <w:tcW w:w="6350" w:type="dxa"/>
            <w:tcBorders>
              <w:top w:val="single" w:sz="4" w:space="0" w:color="auto"/>
              <w:left w:val="nil"/>
              <w:bottom w:val="nil"/>
              <w:right w:val="nil"/>
            </w:tcBorders>
            <w:vAlign w:val="bottom"/>
            <w:hideMark/>
          </w:tcPr>
          <w:p w14:paraId="1172B009" w14:textId="5B8AB90B" w:rsidR="00201CB1" w:rsidRPr="00701439" w:rsidRDefault="00201CB1" w:rsidP="00E534C5">
            <w:pPr>
              <w:pStyle w:val="NoSpacing"/>
              <w:jc w:val="both"/>
              <w:rPr>
                <w:b/>
                <w:sz w:val="20"/>
                <w:szCs w:val="20"/>
              </w:rPr>
            </w:pPr>
            <w:r w:rsidRPr="00701439">
              <w:rPr>
                <w:b/>
                <w:sz w:val="20"/>
                <w:szCs w:val="20"/>
              </w:rPr>
              <w:t xml:space="preserve">Risk-adjusted </w:t>
            </w:r>
            <w:r w:rsidR="00961D89" w:rsidRPr="00701439">
              <w:rPr>
                <w:b/>
                <w:sz w:val="20"/>
                <w:szCs w:val="20"/>
              </w:rPr>
              <w:t>income</w:t>
            </w:r>
          </w:p>
        </w:tc>
        <w:tc>
          <w:tcPr>
            <w:tcW w:w="1134" w:type="dxa"/>
            <w:tcBorders>
              <w:top w:val="single" w:sz="4" w:space="0" w:color="auto"/>
              <w:left w:val="nil"/>
              <w:bottom w:val="nil"/>
              <w:right w:val="nil"/>
            </w:tcBorders>
            <w:vAlign w:val="bottom"/>
          </w:tcPr>
          <w:p w14:paraId="77D7F3E7" w14:textId="604990AE" w:rsidR="00201CB1" w:rsidRPr="00701439" w:rsidRDefault="00441FE0" w:rsidP="00E534C5">
            <w:pPr>
              <w:pStyle w:val="NoSpacing"/>
              <w:jc w:val="center"/>
              <w:rPr>
                <w:b/>
                <w:sz w:val="20"/>
                <w:szCs w:val="20"/>
              </w:rPr>
            </w:pPr>
            <w:r w:rsidRPr="00701439">
              <w:rPr>
                <w:b/>
                <w:sz w:val="20"/>
                <w:szCs w:val="20"/>
              </w:rPr>
              <w:t>3.4</w:t>
            </w:r>
          </w:p>
        </w:tc>
        <w:tc>
          <w:tcPr>
            <w:tcW w:w="1134" w:type="dxa"/>
            <w:tcBorders>
              <w:top w:val="single" w:sz="4" w:space="0" w:color="auto"/>
              <w:left w:val="nil"/>
              <w:bottom w:val="nil"/>
              <w:right w:val="nil"/>
            </w:tcBorders>
            <w:vAlign w:val="bottom"/>
          </w:tcPr>
          <w:p w14:paraId="32B4CC52" w14:textId="73E9B9ED" w:rsidR="00201CB1" w:rsidRPr="00701439" w:rsidRDefault="00491314" w:rsidP="00E534C5">
            <w:pPr>
              <w:pStyle w:val="NoSpacing"/>
              <w:jc w:val="center"/>
              <w:rPr>
                <w:b/>
                <w:sz w:val="20"/>
                <w:szCs w:val="20"/>
              </w:rPr>
            </w:pPr>
            <w:r w:rsidRPr="00701439">
              <w:rPr>
                <w:b/>
                <w:sz w:val="20"/>
                <w:szCs w:val="20"/>
              </w:rPr>
              <w:t>4.3</w:t>
            </w:r>
          </w:p>
        </w:tc>
        <w:tc>
          <w:tcPr>
            <w:tcW w:w="1134" w:type="dxa"/>
            <w:tcBorders>
              <w:top w:val="single" w:sz="4" w:space="0" w:color="auto"/>
              <w:left w:val="nil"/>
              <w:bottom w:val="nil"/>
              <w:right w:val="nil"/>
            </w:tcBorders>
            <w:vAlign w:val="bottom"/>
          </w:tcPr>
          <w:p w14:paraId="5D0F32BD" w14:textId="354ACC43" w:rsidR="00201CB1" w:rsidRPr="00701439" w:rsidRDefault="00E00D9C" w:rsidP="00E534C5">
            <w:pPr>
              <w:pStyle w:val="NoSpacing"/>
              <w:jc w:val="center"/>
              <w:rPr>
                <w:b/>
                <w:i/>
                <w:sz w:val="20"/>
                <w:szCs w:val="20"/>
              </w:rPr>
            </w:pPr>
            <w:r w:rsidRPr="00701439">
              <w:rPr>
                <w:b/>
                <w:i/>
                <w:sz w:val="20"/>
                <w:szCs w:val="20"/>
              </w:rPr>
              <w:t>(20.9</w:t>
            </w:r>
            <w:r w:rsidR="000E5489" w:rsidRPr="00701439">
              <w:rPr>
                <w:b/>
                <w:i/>
                <w:sz w:val="20"/>
                <w:szCs w:val="20"/>
              </w:rPr>
              <w:t>%</w:t>
            </w:r>
            <w:r w:rsidRPr="00701439">
              <w:rPr>
                <w:b/>
                <w:i/>
                <w:sz w:val="20"/>
                <w:szCs w:val="20"/>
              </w:rPr>
              <w:t>)</w:t>
            </w:r>
          </w:p>
        </w:tc>
      </w:tr>
      <w:tr w:rsidR="00201CB1" w:rsidRPr="00701439" w14:paraId="4EB6F467" w14:textId="77777777" w:rsidTr="00201CB1">
        <w:tc>
          <w:tcPr>
            <w:tcW w:w="6350" w:type="dxa"/>
            <w:tcBorders>
              <w:top w:val="nil"/>
              <w:left w:val="nil"/>
              <w:bottom w:val="single" w:sz="4" w:space="0" w:color="auto"/>
              <w:right w:val="nil"/>
            </w:tcBorders>
            <w:vAlign w:val="bottom"/>
            <w:hideMark/>
          </w:tcPr>
          <w:p w14:paraId="2F973A17" w14:textId="688EBE9E" w:rsidR="00201CB1" w:rsidRPr="00701439" w:rsidRDefault="00961D89" w:rsidP="00E534C5">
            <w:pPr>
              <w:pStyle w:val="NoSpacing"/>
              <w:jc w:val="both"/>
              <w:rPr>
                <w:sz w:val="20"/>
                <w:szCs w:val="20"/>
              </w:rPr>
            </w:pPr>
            <w:r w:rsidRPr="00701439">
              <w:rPr>
                <w:sz w:val="20"/>
                <w:szCs w:val="20"/>
              </w:rPr>
              <w:t>Operating c</w:t>
            </w:r>
            <w:r w:rsidR="00201CB1" w:rsidRPr="00701439">
              <w:rPr>
                <w:sz w:val="20"/>
                <w:szCs w:val="20"/>
              </w:rPr>
              <w:t>osts</w:t>
            </w:r>
          </w:p>
        </w:tc>
        <w:tc>
          <w:tcPr>
            <w:tcW w:w="1134" w:type="dxa"/>
            <w:tcBorders>
              <w:top w:val="nil"/>
              <w:left w:val="nil"/>
              <w:bottom w:val="single" w:sz="4" w:space="0" w:color="auto"/>
              <w:right w:val="nil"/>
            </w:tcBorders>
            <w:vAlign w:val="bottom"/>
          </w:tcPr>
          <w:p w14:paraId="579C5EDE" w14:textId="23C109C2" w:rsidR="00201CB1" w:rsidRPr="00701439" w:rsidRDefault="006B6D23" w:rsidP="00E534C5">
            <w:pPr>
              <w:pStyle w:val="NoSpacing"/>
              <w:jc w:val="center"/>
              <w:rPr>
                <w:sz w:val="20"/>
                <w:szCs w:val="20"/>
              </w:rPr>
            </w:pPr>
            <w:r w:rsidRPr="00701439">
              <w:rPr>
                <w:sz w:val="20"/>
                <w:szCs w:val="20"/>
              </w:rPr>
              <w:t>(1</w:t>
            </w:r>
            <w:r w:rsidR="00441FE0" w:rsidRPr="00701439">
              <w:rPr>
                <w:sz w:val="20"/>
                <w:szCs w:val="20"/>
              </w:rPr>
              <w:t>9</w:t>
            </w:r>
            <w:r w:rsidRPr="00701439">
              <w:rPr>
                <w:sz w:val="20"/>
                <w:szCs w:val="20"/>
              </w:rPr>
              <w:t>.</w:t>
            </w:r>
            <w:r w:rsidR="00441FE0" w:rsidRPr="00701439">
              <w:rPr>
                <w:sz w:val="20"/>
                <w:szCs w:val="20"/>
              </w:rPr>
              <w:t>1</w:t>
            </w:r>
            <w:r w:rsidRPr="00701439">
              <w:rPr>
                <w:sz w:val="20"/>
                <w:szCs w:val="20"/>
              </w:rPr>
              <w:t>)</w:t>
            </w:r>
          </w:p>
        </w:tc>
        <w:tc>
          <w:tcPr>
            <w:tcW w:w="1134" w:type="dxa"/>
            <w:tcBorders>
              <w:top w:val="nil"/>
              <w:left w:val="nil"/>
              <w:bottom w:val="single" w:sz="4" w:space="0" w:color="auto"/>
              <w:right w:val="nil"/>
            </w:tcBorders>
            <w:vAlign w:val="bottom"/>
          </w:tcPr>
          <w:p w14:paraId="24F054AD" w14:textId="4733A79D" w:rsidR="00201CB1" w:rsidRPr="00701439" w:rsidRDefault="006B6D23" w:rsidP="00E534C5">
            <w:pPr>
              <w:pStyle w:val="NoSpacing"/>
              <w:jc w:val="center"/>
              <w:rPr>
                <w:sz w:val="20"/>
                <w:szCs w:val="20"/>
              </w:rPr>
            </w:pPr>
            <w:r w:rsidRPr="00701439">
              <w:rPr>
                <w:sz w:val="20"/>
                <w:szCs w:val="20"/>
              </w:rPr>
              <w:t>(</w:t>
            </w:r>
            <w:r w:rsidR="00491314" w:rsidRPr="00701439">
              <w:rPr>
                <w:sz w:val="20"/>
                <w:szCs w:val="20"/>
              </w:rPr>
              <w:t>13.0</w:t>
            </w:r>
            <w:r w:rsidRPr="00701439">
              <w:rPr>
                <w:sz w:val="20"/>
                <w:szCs w:val="20"/>
              </w:rPr>
              <w:t>)</w:t>
            </w:r>
          </w:p>
        </w:tc>
        <w:tc>
          <w:tcPr>
            <w:tcW w:w="1134" w:type="dxa"/>
            <w:tcBorders>
              <w:top w:val="nil"/>
              <w:left w:val="nil"/>
              <w:bottom w:val="single" w:sz="4" w:space="0" w:color="auto"/>
              <w:right w:val="nil"/>
            </w:tcBorders>
            <w:vAlign w:val="bottom"/>
          </w:tcPr>
          <w:p w14:paraId="32ED2526" w14:textId="2614C83B" w:rsidR="00201CB1" w:rsidRPr="00701439" w:rsidRDefault="009D4823" w:rsidP="00E534C5">
            <w:pPr>
              <w:pStyle w:val="NoSpacing"/>
              <w:jc w:val="center"/>
              <w:rPr>
                <w:i/>
                <w:sz w:val="20"/>
                <w:szCs w:val="20"/>
              </w:rPr>
            </w:pPr>
            <w:r w:rsidRPr="00701439">
              <w:rPr>
                <w:i/>
                <w:sz w:val="20"/>
                <w:szCs w:val="20"/>
              </w:rPr>
              <w:t>4</w:t>
            </w:r>
            <w:r w:rsidR="000E5489" w:rsidRPr="00701439">
              <w:rPr>
                <w:i/>
                <w:sz w:val="20"/>
                <w:szCs w:val="20"/>
              </w:rPr>
              <w:t>6.</w:t>
            </w:r>
            <w:r w:rsidRPr="00701439">
              <w:rPr>
                <w:i/>
                <w:sz w:val="20"/>
                <w:szCs w:val="20"/>
              </w:rPr>
              <w:t>9</w:t>
            </w:r>
            <w:r w:rsidR="000E5489" w:rsidRPr="00701439">
              <w:rPr>
                <w:i/>
                <w:sz w:val="20"/>
                <w:szCs w:val="20"/>
              </w:rPr>
              <w:t>%</w:t>
            </w:r>
          </w:p>
        </w:tc>
      </w:tr>
      <w:tr w:rsidR="00201CB1" w:rsidRPr="00701439" w14:paraId="1F82460D" w14:textId="77777777" w:rsidTr="00201CB1">
        <w:tc>
          <w:tcPr>
            <w:tcW w:w="6350" w:type="dxa"/>
            <w:tcBorders>
              <w:top w:val="single" w:sz="4" w:space="0" w:color="auto"/>
              <w:left w:val="nil"/>
              <w:bottom w:val="nil"/>
              <w:right w:val="nil"/>
            </w:tcBorders>
            <w:vAlign w:val="bottom"/>
            <w:hideMark/>
          </w:tcPr>
          <w:p w14:paraId="5BCAE5D6" w14:textId="47F32ACD" w:rsidR="00201CB1" w:rsidRPr="00701439" w:rsidRDefault="00E37B26" w:rsidP="00E534C5">
            <w:pPr>
              <w:pStyle w:val="NoSpacing"/>
              <w:jc w:val="both"/>
              <w:rPr>
                <w:b/>
                <w:sz w:val="20"/>
                <w:szCs w:val="20"/>
              </w:rPr>
            </w:pPr>
            <w:r w:rsidRPr="00701439">
              <w:rPr>
                <w:b/>
                <w:sz w:val="20"/>
                <w:szCs w:val="20"/>
              </w:rPr>
              <w:t>L</w:t>
            </w:r>
            <w:r w:rsidR="00917923" w:rsidRPr="00701439">
              <w:rPr>
                <w:b/>
                <w:sz w:val="20"/>
                <w:szCs w:val="20"/>
              </w:rPr>
              <w:t>oss</w:t>
            </w:r>
            <w:r w:rsidR="00201CB1" w:rsidRPr="00701439">
              <w:rPr>
                <w:b/>
                <w:sz w:val="20"/>
                <w:szCs w:val="20"/>
              </w:rPr>
              <w:t xml:space="preserve"> before tax</w:t>
            </w:r>
          </w:p>
        </w:tc>
        <w:tc>
          <w:tcPr>
            <w:tcW w:w="1134" w:type="dxa"/>
            <w:tcBorders>
              <w:top w:val="single" w:sz="4" w:space="0" w:color="auto"/>
              <w:left w:val="nil"/>
              <w:bottom w:val="nil"/>
              <w:right w:val="nil"/>
            </w:tcBorders>
            <w:vAlign w:val="bottom"/>
          </w:tcPr>
          <w:p w14:paraId="11E03B74" w14:textId="177A7E1C" w:rsidR="00201CB1" w:rsidRPr="00701439" w:rsidRDefault="006B6D23" w:rsidP="00E534C5">
            <w:pPr>
              <w:pStyle w:val="NoSpacing"/>
              <w:jc w:val="center"/>
              <w:rPr>
                <w:b/>
                <w:sz w:val="20"/>
                <w:szCs w:val="20"/>
              </w:rPr>
            </w:pPr>
            <w:r w:rsidRPr="00701439">
              <w:rPr>
                <w:b/>
                <w:sz w:val="20"/>
                <w:szCs w:val="20"/>
              </w:rPr>
              <w:t>(</w:t>
            </w:r>
            <w:r w:rsidR="00441FE0" w:rsidRPr="00701439">
              <w:rPr>
                <w:b/>
                <w:sz w:val="20"/>
                <w:szCs w:val="20"/>
              </w:rPr>
              <w:t>15</w:t>
            </w:r>
            <w:r w:rsidRPr="00701439">
              <w:rPr>
                <w:b/>
                <w:sz w:val="20"/>
                <w:szCs w:val="20"/>
              </w:rPr>
              <w:t>.</w:t>
            </w:r>
            <w:r w:rsidR="00441FE0" w:rsidRPr="00701439">
              <w:rPr>
                <w:b/>
                <w:sz w:val="20"/>
                <w:szCs w:val="20"/>
              </w:rPr>
              <w:t>7</w:t>
            </w:r>
            <w:r w:rsidRPr="00701439">
              <w:rPr>
                <w:b/>
                <w:sz w:val="20"/>
                <w:szCs w:val="20"/>
              </w:rPr>
              <w:t>)</w:t>
            </w:r>
          </w:p>
        </w:tc>
        <w:tc>
          <w:tcPr>
            <w:tcW w:w="1134" w:type="dxa"/>
            <w:tcBorders>
              <w:top w:val="single" w:sz="4" w:space="0" w:color="auto"/>
              <w:left w:val="nil"/>
              <w:bottom w:val="nil"/>
              <w:right w:val="nil"/>
            </w:tcBorders>
            <w:vAlign w:val="bottom"/>
          </w:tcPr>
          <w:p w14:paraId="62559C84" w14:textId="23B20150" w:rsidR="00201CB1" w:rsidRPr="00701439" w:rsidRDefault="006B6D23" w:rsidP="00E534C5">
            <w:pPr>
              <w:pStyle w:val="NoSpacing"/>
              <w:jc w:val="center"/>
              <w:rPr>
                <w:b/>
                <w:sz w:val="20"/>
                <w:szCs w:val="20"/>
              </w:rPr>
            </w:pPr>
            <w:r w:rsidRPr="00701439">
              <w:rPr>
                <w:b/>
                <w:sz w:val="20"/>
                <w:szCs w:val="20"/>
              </w:rPr>
              <w:t>(</w:t>
            </w:r>
            <w:r w:rsidR="00592DC0" w:rsidRPr="00701439">
              <w:rPr>
                <w:b/>
                <w:sz w:val="20"/>
                <w:szCs w:val="20"/>
              </w:rPr>
              <w:t>8.7</w:t>
            </w:r>
            <w:r w:rsidRPr="00701439">
              <w:rPr>
                <w:b/>
                <w:sz w:val="20"/>
                <w:szCs w:val="20"/>
              </w:rPr>
              <w:t>)</w:t>
            </w:r>
          </w:p>
        </w:tc>
        <w:tc>
          <w:tcPr>
            <w:tcW w:w="1134" w:type="dxa"/>
            <w:tcBorders>
              <w:top w:val="single" w:sz="4" w:space="0" w:color="auto"/>
              <w:left w:val="nil"/>
              <w:bottom w:val="nil"/>
              <w:right w:val="nil"/>
            </w:tcBorders>
            <w:vAlign w:val="bottom"/>
          </w:tcPr>
          <w:p w14:paraId="096269D2" w14:textId="1CB3EC95" w:rsidR="00201CB1" w:rsidRPr="00701439" w:rsidRDefault="000E5489" w:rsidP="00E534C5">
            <w:pPr>
              <w:jc w:val="center"/>
              <w:rPr>
                <w:rFonts w:asciiTheme="minorHAnsi" w:hAnsiTheme="minorHAnsi" w:cs="Arial"/>
                <w:i/>
                <w:iCs/>
                <w:sz w:val="20"/>
                <w:szCs w:val="20"/>
              </w:rPr>
            </w:pPr>
            <w:r w:rsidRPr="00701439">
              <w:rPr>
                <w:rFonts w:asciiTheme="minorHAnsi" w:hAnsiTheme="minorHAnsi" w:cs="Arial"/>
                <w:i/>
                <w:iCs/>
                <w:sz w:val="20"/>
                <w:szCs w:val="20"/>
              </w:rPr>
              <w:t>80.</w:t>
            </w:r>
            <w:r w:rsidR="004F10FF" w:rsidRPr="00701439">
              <w:rPr>
                <w:rFonts w:asciiTheme="minorHAnsi" w:hAnsiTheme="minorHAnsi" w:cs="Arial"/>
                <w:i/>
                <w:iCs/>
                <w:sz w:val="20"/>
                <w:szCs w:val="20"/>
              </w:rPr>
              <w:t>5</w:t>
            </w:r>
            <w:r w:rsidRPr="00701439">
              <w:rPr>
                <w:rFonts w:asciiTheme="minorHAnsi" w:hAnsiTheme="minorHAnsi" w:cs="Arial"/>
                <w:i/>
                <w:iCs/>
                <w:sz w:val="20"/>
                <w:szCs w:val="20"/>
              </w:rPr>
              <w:t>%</w:t>
            </w:r>
          </w:p>
        </w:tc>
      </w:tr>
      <w:tr w:rsidR="00201CB1" w:rsidRPr="00701439" w14:paraId="74694AD5" w14:textId="77777777" w:rsidTr="00201CB1">
        <w:tc>
          <w:tcPr>
            <w:tcW w:w="6350" w:type="dxa"/>
            <w:vAlign w:val="bottom"/>
          </w:tcPr>
          <w:p w14:paraId="63C6335E" w14:textId="77777777" w:rsidR="00201CB1" w:rsidRPr="00701439" w:rsidRDefault="00201CB1" w:rsidP="00E534C5">
            <w:pPr>
              <w:pStyle w:val="NoSpacing"/>
              <w:jc w:val="both"/>
              <w:rPr>
                <w:sz w:val="20"/>
                <w:szCs w:val="20"/>
              </w:rPr>
            </w:pPr>
          </w:p>
        </w:tc>
        <w:tc>
          <w:tcPr>
            <w:tcW w:w="1134" w:type="dxa"/>
            <w:vAlign w:val="bottom"/>
          </w:tcPr>
          <w:p w14:paraId="45AD8466" w14:textId="77777777" w:rsidR="00201CB1" w:rsidRPr="00701439" w:rsidRDefault="00201CB1" w:rsidP="00E534C5">
            <w:pPr>
              <w:pStyle w:val="NoSpacing"/>
              <w:jc w:val="center"/>
              <w:rPr>
                <w:sz w:val="20"/>
                <w:szCs w:val="20"/>
              </w:rPr>
            </w:pPr>
          </w:p>
        </w:tc>
        <w:tc>
          <w:tcPr>
            <w:tcW w:w="1134" w:type="dxa"/>
            <w:vAlign w:val="bottom"/>
          </w:tcPr>
          <w:p w14:paraId="2CBD226F" w14:textId="77777777" w:rsidR="00201CB1" w:rsidRPr="00701439" w:rsidRDefault="00201CB1" w:rsidP="00E534C5">
            <w:pPr>
              <w:pStyle w:val="NoSpacing"/>
              <w:jc w:val="center"/>
              <w:rPr>
                <w:sz w:val="20"/>
                <w:szCs w:val="20"/>
              </w:rPr>
            </w:pPr>
          </w:p>
        </w:tc>
        <w:tc>
          <w:tcPr>
            <w:tcW w:w="1134" w:type="dxa"/>
            <w:vAlign w:val="bottom"/>
          </w:tcPr>
          <w:p w14:paraId="6EDECCF2" w14:textId="77777777" w:rsidR="00201CB1" w:rsidRPr="00701439" w:rsidRDefault="00201CB1" w:rsidP="00E534C5">
            <w:pPr>
              <w:pStyle w:val="NoSpacing"/>
              <w:jc w:val="center"/>
              <w:rPr>
                <w:i/>
                <w:sz w:val="20"/>
                <w:szCs w:val="20"/>
              </w:rPr>
            </w:pPr>
          </w:p>
        </w:tc>
      </w:tr>
      <w:tr w:rsidR="00983AB7" w:rsidRPr="00701439" w14:paraId="3064A6AA" w14:textId="77777777" w:rsidTr="00201CB1">
        <w:tc>
          <w:tcPr>
            <w:tcW w:w="6350" w:type="dxa"/>
            <w:vAlign w:val="bottom"/>
            <w:hideMark/>
          </w:tcPr>
          <w:p w14:paraId="0668D561" w14:textId="2A00BD8A" w:rsidR="00983AB7" w:rsidRPr="00701439" w:rsidRDefault="00983AB7" w:rsidP="00983AB7">
            <w:pPr>
              <w:pStyle w:val="NoSpacing"/>
              <w:jc w:val="both"/>
              <w:rPr>
                <w:sz w:val="20"/>
                <w:szCs w:val="20"/>
              </w:rPr>
            </w:pPr>
            <w:r w:rsidRPr="00701439">
              <w:rPr>
                <w:sz w:val="20"/>
                <w:szCs w:val="20"/>
              </w:rPr>
              <w:t xml:space="preserve">Annualised </w:t>
            </w:r>
            <w:r w:rsidR="00A85F19" w:rsidRPr="00701439">
              <w:rPr>
                <w:sz w:val="20"/>
                <w:szCs w:val="20"/>
              </w:rPr>
              <w:t>asset</w:t>
            </w:r>
            <w:r w:rsidRPr="00701439">
              <w:rPr>
                <w:sz w:val="20"/>
                <w:szCs w:val="20"/>
              </w:rPr>
              <w:t xml:space="preserve"> yield</w:t>
            </w:r>
            <w:r w:rsidRPr="00701439">
              <w:rPr>
                <w:sz w:val="20"/>
                <w:szCs w:val="20"/>
                <w:vertAlign w:val="superscript"/>
              </w:rPr>
              <w:t>2</w:t>
            </w:r>
          </w:p>
        </w:tc>
        <w:tc>
          <w:tcPr>
            <w:tcW w:w="1134" w:type="dxa"/>
            <w:vAlign w:val="bottom"/>
          </w:tcPr>
          <w:p w14:paraId="7ECE916C" w14:textId="2B270FD2" w:rsidR="00983AB7" w:rsidRPr="00701439" w:rsidRDefault="00D4070D" w:rsidP="00983AB7">
            <w:pPr>
              <w:pStyle w:val="NoSpacing"/>
              <w:jc w:val="center"/>
              <w:rPr>
                <w:sz w:val="20"/>
                <w:szCs w:val="20"/>
              </w:rPr>
            </w:pPr>
            <w:r w:rsidRPr="00701439">
              <w:rPr>
                <w:sz w:val="20"/>
                <w:szCs w:val="20"/>
              </w:rPr>
              <w:t>2</w:t>
            </w:r>
            <w:r w:rsidR="00C65103" w:rsidRPr="00701439">
              <w:rPr>
                <w:sz w:val="20"/>
                <w:szCs w:val="20"/>
              </w:rPr>
              <w:t>5</w:t>
            </w:r>
            <w:r w:rsidR="00983AB7" w:rsidRPr="00701439">
              <w:rPr>
                <w:sz w:val="20"/>
                <w:szCs w:val="20"/>
              </w:rPr>
              <w:t>.</w:t>
            </w:r>
            <w:r w:rsidR="00C65103" w:rsidRPr="00701439">
              <w:rPr>
                <w:sz w:val="20"/>
                <w:szCs w:val="20"/>
              </w:rPr>
              <w:t>7</w:t>
            </w:r>
            <w:r w:rsidR="00983AB7" w:rsidRPr="00701439">
              <w:rPr>
                <w:sz w:val="20"/>
                <w:szCs w:val="20"/>
              </w:rPr>
              <w:t>%</w:t>
            </w:r>
          </w:p>
        </w:tc>
        <w:tc>
          <w:tcPr>
            <w:tcW w:w="1134" w:type="dxa"/>
            <w:vAlign w:val="bottom"/>
          </w:tcPr>
          <w:p w14:paraId="55ADDC5C" w14:textId="6E9393FA" w:rsidR="00983AB7" w:rsidRPr="00701439" w:rsidRDefault="00B23132" w:rsidP="00983AB7">
            <w:pPr>
              <w:pStyle w:val="NoSpacing"/>
              <w:jc w:val="center"/>
              <w:rPr>
                <w:sz w:val="20"/>
                <w:szCs w:val="20"/>
              </w:rPr>
            </w:pPr>
            <w:r w:rsidRPr="00701439">
              <w:rPr>
                <w:sz w:val="20"/>
                <w:szCs w:val="20"/>
              </w:rPr>
              <w:t>2</w:t>
            </w:r>
            <w:r w:rsidR="00983AB7" w:rsidRPr="00701439">
              <w:rPr>
                <w:sz w:val="20"/>
                <w:szCs w:val="20"/>
              </w:rPr>
              <w:t>8.1%</w:t>
            </w:r>
          </w:p>
        </w:tc>
        <w:tc>
          <w:tcPr>
            <w:tcW w:w="1134" w:type="dxa"/>
            <w:vAlign w:val="bottom"/>
          </w:tcPr>
          <w:p w14:paraId="09EBA6A4" w14:textId="55EACBD0" w:rsidR="00983AB7" w:rsidRPr="00701439" w:rsidRDefault="00AD07DD" w:rsidP="00983AB7">
            <w:pPr>
              <w:pStyle w:val="NoSpacing"/>
              <w:jc w:val="center"/>
              <w:rPr>
                <w:i/>
                <w:sz w:val="20"/>
                <w:szCs w:val="20"/>
              </w:rPr>
            </w:pPr>
            <w:r w:rsidRPr="00701439">
              <w:rPr>
                <w:i/>
                <w:sz w:val="20"/>
                <w:szCs w:val="20"/>
              </w:rPr>
              <w:t>(2</w:t>
            </w:r>
            <w:r w:rsidR="00983AB7" w:rsidRPr="00701439">
              <w:rPr>
                <w:i/>
                <w:sz w:val="20"/>
                <w:szCs w:val="20"/>
              </w:rPr>
              <w:t>.</w:t>
            </w:r>
            <w:r w:rsidR="00B23132" w:rsidRPr="00701439">
              <w:rPr>
                <w:i/>
                <w:sz w:val="20"/>
                <w:szCs w:val="20"/>
              </w:rPr>
              <w:t>4</w:t>
            </w:r>
            <w:r w:rsidR="00983AB7" w:rsidRPr="00701439">
              <w:rPr>
                <w:i/>
                <w:sz w:val="20"/>
                <w:szCs w:val="20"/>
              </w:rPr>
              <w:t>%</w:t>
            </w:r>
            <w:r w:rsidRPr="00701439">
              <w:rPr>
                <w:i/>
                <w:sz w:val="20"/>
                <w:szCs w:val="20"/>
              </w:rPr>
              <w:t>)</w:t>
            </w:r>
          </w:p>
        </w:tc>
      </w:tr>
      <w:tr w:rsidR="00983AB7" w:rsidRPr="00701439" w14:paraId="5B53A5FA" w14:textId="77777777" w:rsidTr="00201CB1">
        <w:tc>
          <w:tcPr>
            <w:tcW w:w="6350" w:type="dxa"/>
            <w:vAlign w:val="bottom"/>
            <w:hideMark/>
          </w:tcPr>
          <w:p w14:paraId="205A8D5E" w14:textId="1D8F6EFB" w:rsidR="00983AB7" w:rsidRPr="00701439" w:rsidRDefault="00983AB7" w:rsidP="00983AB7">
            <w:pPr>
              <w:pStyle w:val="NoSpacing"/>
              <w:jc w:val="both"/>
              <w:rPr>
                <w:sz w:val="20"/>
                <w:szCs w:val="20"/>
              </w:rPr>
            </w:pPr>
            <w:r w:rsidRPr="00701439">
              <w:rPr>
                <w:sz w:val="20"/>
                <w:szCs w:val="20"/>
              </w:rPr>
              <w:t xml:space="preserve">Annualised </w:t>
            </w:r>
            <w:r w:rsidR="00B23132" w:rsidRPr="00701439">
              <w:rPr>
                <w:sz w:val="20"/>
                <w:szCs w:val="20"/>
              </w:rPr>
              <w:t>cost of risk</w:t>
            </w:r>
            <w:r w:rsidRPr="00701439">
              <w:rPr>
                <w:sz w:val="20"/>
                <w:szCs w:val="20"/>
                <w:vertAlign w:val="superscript"/>
              </w:rPr>
              <w:t>3</w:t>
            </w:r>
          </w:p>
        </w:tc>
        <w:tc>
          <w:tcPr>
            <w:tcW w:w="1134" w:type="dxa"/>
            <w:vAlign w:val="bottom"/>
          </w:tcPr>
          <w:p w14:paraId="4CEE1F2C" w14:textId="7F03D6EF" w:rsidR="00983AB7" w:rsidRPr="00701439" w:rsidRDefault="00983AB7" w:rsidP="00983AB7">
            <w:pPr>
              <w:pStyle w:val="NoSpacing"/>
              <w:jc w:val="center"/>
              <w:rPr>
                <w:sz w:val="20"/>
                <w:szCs w:val="20"/>
              </w:rPr>
            </w:pPr>
            <w:r w:rsidRPr="00701439">
              <w:rPr>
                <w:sz w:val="20"/>
                <w:szCs w:val="20"/>
              </w:rPr>
              <w:t>(</w:t>
            </w:r>
            <w:r w:rsidR="00B23132" w:rsidRPr="00701439">
              <w:rPr>
                <w:sz w:val="20"/>
                <w:szCs w:val="20"/>
              </w:rPr>
              <w:t>16.7</w:t>
            </w:r>
            <w:r w:rsidRPr="00701439">
              <w:rPr>
                <w:sz w:val="20"/>
                <w:szCs w:val="20"/>
              </w:rPr>
              <w:t>%)</w:t>
            </w:r>
          </w:p>
        </w:tc>
        <w:tc>
          <w:tcPr>
            <w:tcW w:w="1134" w:type="dxa"/>
            <w:vAlign w:val="bottom"/>
          </w:tcPr>
          <w:p w14:paraId="662EB486" w14:textId="60F3CC43" w:rsidR="00983AB7" w:rsidRPr="00701439" w:rsidRDefault="00983AB7" w:rsidP="00983AB7">
            <w:pPr>
              <w:pStyle w:val="NoSpacing"/>
              <w:jc w:val="center"/>
              <w:rPr>
                <w:sz w:val="20"/>
                <w:szCs w:val="20"/>
              </w:rPr>
            </w:pPr>
            <w:r w:rsidRPr="00701439">
              <w:rPr>
                <w:sz w:val="20"/>
                <w:szCs w:val="20"/>
              </w:rPr>
              <w:t>(</w:t>
            </w:r>
            <w:r w:rsidR="00A37515" w:rsidRPr="00701439">
              <w:rPr>
                <w:sz w:val="20"/>
                <w:szCs w:val="20"/>
              </w:rPr>
              <w:t>8.2</w:t>
            </w:r>
            <w:r w:rsidRPr="00701439">
              <w:rPr>
                <w:sz w:val="20"/>
                <w:szCs w:val="20"/>
              </w:rPr>
              <w:t>%)</w:t>
            </w:r>
          </w:p>
        </w:tc>
        <w:tc>
          <w:tcPr>
            <w:tcW w:w="1134" w:type="dxa"/>
            <w:vAlign w:val="bottom"/>
          </w:tcPr>
          <w:p w14:paraId="28D054D8" w14:textId="31A82651" w:rsidR="00983AB7" w:rsidRPr="00701439" w:rsidRDefault="00BC6273" w:rsidP="00983AB7">
            <w:pPr>
              <w:pStyle w:val="NoSpacing"/>
              <w:jc w:val="center"/>
              <w:rPr>
                <w:i/>
                <w:sz w:val="20"/>
                <w:szCs w:val="20"/>
              </w:rPr>
            </w:pPr>
            <w:r w:rsidRPr="00701439">
              <w:rPr>
                <w:i/>
                <w:sz w:val="20"/>
                <w:szCs w:val="20"/>
              </w:rPr>
              <w:t>(8.5</w:t>
            </w:r>
            <w:r w:rsidR="00983AB7" w:rsidRPr="00701439">
              <w:rPr>
                <w:i/>
                <w:sz w:val="20"/>
                <w:szCs w:val="20"/>
              </w:rPr>
              <w:t>%</w:t>
            </w:r>
            <w:r w:rsidRPr="00701439">
              <w:rPr>
                <w:i/>
                <w:sz w:val="20"/>
                <w:szCs w:val="20"/>
              </w:rPr>
              <w:t>)</w:t>
            </w:r>
          </w:p>
        </w:tc>
      </w:tr>
      <w:tr w:rsidR="00201CB1" w:rsidRPr="00701439" w14:paraId="73DCE868" w14:textId="77777777" w:rsidTr="00201CB1">
        <w:tc>
          <w:tcPr>
            <w:tcW w:w="6350" w:type="dxa"/>
            <w:vAlign w:val="bottom"/>
          </w:tcPr>
          <w:p w14:paraId="22E3EDEF" w14:textId="77777777" w:rsidR="00201CB1" w:rsidRPr="00701439" w:rsidRDefault="00201CB1" w:rsidP="00E534C5">
            <w:pPr>
              <w:pStyle w:val="NoSpacing"/>
              <w:jc w:val="both"/>
              <w:rPr>
                <w:sz w:val="20"/>
                <w:szCs w:val="20"/>
              </w:rPr>
            </w:pPr>
          </w:p>
        </w:tc>
        <w:tc>
          <w:tcPr>
            <w:tcW w:w="1134" w:type="dxa"/>
            <w:vAlign w:val="bottom"/>
          </w:tcPr>
          <w:p w14:paraId="1D2BB5CE" w14:textId="77777777" w:rsidR="00201CB1" w:rsidRPr="00701439" w:rsidRDefault="00201CB1" w:rsidP="00E534C5">
            <w:pPr>
              <w:pStyle w:val="NoSpacing"/>
              <w:jc w:val="center"/>
              <w:rPr>
                <w:sz w:val="20"/>
                <w:szCs w:val="20"/>
              </w:rPr>
            </w:pPr>
          </w:p>
        </w:tc>
        <w:tc>
          <w:tcPr>
            <w:tcW w:w="1134" w:type="dxa"/>
            <w:vAlign w:val="bottom"/>
          </w:tcPr>
          <w:p w14:paraId="30EA5A5B" w14:textId="77777777" w:rsidR="00201CB1" w:rsidRPr="00701439" w:rsidRDefault="00201CB1" w:rsidP="00E534C5">
            <w:pPr>
              <w:pStyle w:val="NoSpacing"/>
              <w:jc w:val="center"/>
              <w:rPr>
                <w:sz w:val="20"/>
                <w:szCs w:val="20"/>
              </w:rPr>
            </w:pPr>
          </w:p>
        </w:tc>
        <w:tc>
          <w:tcPr>
            <w:tcW w:w="1134" w:type="dxa"/>
            <w:vAlign w:val="bottom"/>
          </w:tcPr>
          <w:p w14:paraId="29992994" w14:textId="77777777" w:rsidR="00201CB1" w:rsidRPr="00701439" w:rsidRDefault="00201CB1" w:rsidP="00E534C5">
            <w:pPr>
              <w:pStyle w:val="NoSpacing"/>
              <w:jc w:val="center"/>
              <w:rPr>
                <w:sz w:val="20"/>
                <w:szCs w:val="20"/>
              </w:rPr>
            </w:pPr>
          </w:p>
        </w:tc>
      </w:tr>
    </w:tbl>
    <w:p w14:paraId="77F52728" w14:textId="77777777" w:rsidR="00F970F3" w:rsidRPr="00701439" w:rsidRDefault="00F970F3" w:rsidP="00F970F3">
      <w:pPr>
        <w:pStyle w:val="NoSpacing"/>
        <w:ind w:left="284" w:hanging="284"/>
        <w:jc w:val="both"/>
        <w:rPr>
          <w:i/>
          <w:sz w:val="20"/>
          <w:szCs w:val="20"/>
        </w:rPr>
      </w:pPr>
      <w:r w:rsidRPr="00701439">
        <w:rPr>
          <w:i/>
          <w:sz w:val="20"/>
          <w:szCs w:val="20"/>
          <w:vertAlign w:val="superscript"/>
        </w:rPr>
        <w:t>1</w:t>
      </w:r>
      <w:r w:rsidRPr="00701439">
        <w:rPr>
          <w:i/>
          <w:sz w:val="20"/>
          <w:szCs w:val="20"/>
        </w:rPr>
        <w:tab/>
        <w:t>Calculated as the average of month end gross receivables for the 13 months ended 31 December.</w:t>
      </w:r>
    </w:p>
    <w:p w14:paraId="6B9F5B8B" w14:textId="77777777" w:rsidR="00F970F3" w:rsidRPr="00701439" w:rsidRDefault="00D503F3" w:rsidP="00F970F3">
      <w:pPr>
        <w:pStyle w:val="NoSpacing"/>
        <w:ind w:left="284" w:hanging="284"/>
        <w:jc w:val="both"/>
        <w:rPr>
          <w:i/>
          <w:sz w:val="20"/>
          <w:szCs w:val="20"/>
        </w:rPr>
      </w:pPr>
      <w:r w:rsidRPr="00701439">
        <w:rPr>
          <w:i/>
          <w:sz w:val="20"/>
          <w:szCs w:val="20"/>
          <w:vertAlign w:val="superscript"/>
        </w:rPr>
        <w:t>2</w:t>
      </w:r>
      <w:r w:rsidR="00F970F3" w:rsidRPr="00701439">
        <w:rPr>
          <w:i/>
          <w:sz w:val="20"/>
          <w:szCs w:val="20"/>
        </w:rPr>
        <w:tab/>
        <w:t>Interest income as a percentage of average gross receivables for the 13 months ended 31 December.</w:t>
      </w:r>
    </w:p>
    <w:p w14:paraId="1250E185" w14:textId="44EFBF3E" w:rsidR="00D503F3" w:rsidRPr="00701439" w:rsidRDefault="00F970F3" w:rsidP="00D503F3">
      <w:pPr>
        <w:pStyle w:val="NoSpacing"/>
        <w:ind w:left="284" w:hanging="284"/>
        <w:jc w:val="both"/>
        <w:rPr>
          <w:i/>
          <w:sz w:val="20"/>
          <w:szCs w:val="20"/>
        </w:rPr>
      </w:pPr>
      <w:r w:rsidRPr="00701439">
        <w:rPr>
          <w:i/>
          <w:sz w:val="20"/>
          <w:szCs w:val="20"/>
          <w:vertAlign w:val="superscript"/>
        </w:rPr>
        <w:t>3</w:t>
      </w:r>
      <w:r w:rsidRPr="00701439">
        <w:rPr>
          <w:i/>
          <w:sz w:val="20"/>
          <w:szCs w:val="20"/>
          <w:vertAlign w:val="superscript"/>
        </w:rPr>
        <w:tab/>
      </w:r>
      <w:r w:rsidR="00D503F3" w:rsidRPr="00701439">
        <w:rPr>
          <w:i/>
          <w:sz w:val="20"/>
          <w:szCs w:val="20"/>
        </w:rPr>
        <w:t>Impairment charges as a percentage of average gross receivables for the 13 months ended 31 December.</w:t>
      </w:r>
    </w:p>
    <w:p w14:paraId="2728A390" w14:textId="77777777" w:rsidR="00D31CBE" w:rsidRPr="00701439" w:rsidRDefault="00D31CBE" w:rsidP="00E534C5">
      <w:pPr>
        <w:jc w:val="both"/>
        <w:rPr>
          <w:rStyle w:val="Strong"/>
          <w:rFonts w:asciiTheme="minorHAnsi" w:hAnsiTheme="minorHAnsi"/>
          <w:b w:val="0"/>
          <w:sz w:val="20"/>
          <w:szCs w:val="20"/>
        </w:rPr>
      </w:pPr>
    </w:p>
    <w:p w14:paraId="7B3FB328" w14:textId="5F65AFBC" w:rsidR="004C7077" w:rsidRPr="00701439" w:rsidRDefault="00BA3A36" w:rsidP="00E534C5">
      <w:pPr>
        <w:jc w:val="both"/>
        <w:rPr>
          <w:rStyle w:val="Strong"/>
          <w:rFonts w:asciiTheme="minorHAnsi" w:hAnsiTheme="minorHAnsi"/>
          <w:b w:val="0"/>
          <w:sz w:val="20"/>
          <w:szCs w:val="20"/>
        </w:rPr>
      </w:pPr>
      <w:r w:rsidRPr="00701439">
        <w:rPr>
          <w:rStyle w:val="Strong"/>
          <w:rFonts w:asciiTheme="minorHAnsi" w:hAnsiTheme="minorHAnsi"/>
          <w:b w:val="0"/>
          <w:sz w:val="20"/>
          <w:szCs w:val="20"/>
        </w:rPr>
        <w:t>Vanquis Banking Group</w:t>
      </w:r>
      <w:r w:rsidR="0066301A" w:rsidRPr="00701439">
        <w:rPr>
          <w:rStyle w:val="Strong"/>
          <w:rFonts w:asciiTheme="minorHAnsi" w:hAnsiTheme="minorHAnsi"/>
          <w:b w:val="0"/>
          <w:sz w:val="20"/>
          <w:szCs w:val="20"/>
        </w:rPr>
        <w:t xml:space="preserve"> established a personal loans business</w:t>
      </w:r>
      <w:r w:rsidR="0083294E" w:rsidRPr="00701439">
        <w:rPr>
          <w:rStyle w:val="Strong"/>
          <w:rFonts w:asciiTheme="minorHAnsi" w:hAnsiTheme="minorHAnsi"/>
          <w:b w:val="0"/>
          <w:sz w:val="20"/>
          <w:szCs w:val="20"/>
        </w:rPr>
        <w:t xml:space="preserve"> during 2021</w:t>
      </w:r>
      <w:r w:rsidR="0066301A" w:rsidRPr="00701439">
        <w:rPr>
          <w:rStyle w:val="Strong"/>
          <w:rFonts w:asciiTheme="minorHAnsi" w:hAnsiTheme="minorHAnsi"/>
          <w:b w:val="0"/>
          <w:sz w:val="20"/>
          <w:szCs w:val="20"/>
        </w:rPr>
        <w:t xml:space="preserve"> to diversify its product offering to new and existing customers. Its products</w:t>
      </w:r>
      <w:r w:rsidR="007E5833" w:rsidRPr="00701439">
        <w:rPr>
          <w:rStyle w:val="Strong"/>
          <w:rFonts w:asciiTheme="minorHAnsi" w:hAnsiTheme="minorHAnsi"/>
          <w:b w:val="0"/>
          <w:sz w:val="20"/>
          <w:szCs w:val="20"/>
        </w:rPr>
        <w:t xml:space="preserve"> </w:t>
      </w:r>
      <w:r w:rsidR="00DB09EE" w:rsidRPr="00701439">
        <w:rPr>
          <w:rStyle w:val="Strong"/>
          <w:rFonts w:asciiTheme="minorHAnsi" w:hAnsiTheme="minorHAnsi"/>
          <w:b w:val="0"/>
          <w:sz w:val="20"/>
          <w:szCs w:val="20"/>
        </w:rPr>
        <w:t>are</w:t>
      </w:r>
      <w:r w:rsidR="0066301A" w:rsidRPr="00701439">
        <w:rPr>
          <w:rStyle w:val="Strong"/>
          <w:rFonts w:asciiTheme="minorHAnsi" w:hAnsiTheme="minorHAnsi"/>
          <w:b w:val="0"/>
          <w:sz w:val="20"/>
          <w:szCs w:val="20"/>
        </w:rPr>
        <w:t xml:space="preserve"> positioned within the mid-cost credit segment of the market, and loans </w:t>
      </w:r>
      <w:r w:rsidR="0083294E" w:rsidRPr="00701439">
        <w:rPr>
          <w:rStyle w:val="Strong"/>
          <w:rFonts w:asciiTheme="minorHAnsi" w:hAnsiTheme="minorHAnsi"/>
          <w:b w:val="0"/>
          <w:sz w:val="20"/>
          <w:szCs w:val="20"/>
        </w:rPr>
        <w:t>range from</w:t>
      </w:r>
      <w:r w:rsidR="0066301A" w:rsidRPr="00701439">
        <w:rPr>
          <w:rStyle w:val="Strong"/>
          <w:rFonts w:asciiTheme="minorHAnsi" w:hAnsiTheme="minorHAnsi"/>
          <w:b w:val="0"/>
          <w:sz w:val="20"/>
          <w:szCs w:val="20"/>
        </w:rPr>
        <w:t xml:space="preserve"> between £1</w:t>
      </w:r>
      <w:r w:rsidR="009834BC" w:rsidRPr="00701439">
        <w:rPr>
          <w:rStyle w:val="Strong"/>
          <w:rFonts w:asciiTheme="minorHAnsi" w:hAnsiTheme="minorHAnsi"/>
          <w:b w:val="0"/>
          <w:sz w:val="20"/>
          <w:szCs w:val="20"/>
        </w:rPr>
        <w:t>k</w:t>
      </w:r>
      <w:r w:rsidR="0066301A" w:rsidRPr="00701439">
        <w:rPr>
          <w:rStyle w:val="Strong"/>
          <w:rFonts w:asciiTheme="minorHAnsi" w:hAnsiTheme="minorHAnsi"/>
          <w:b w:val="0"/>
          <w:sz w:val="20"/>
          <w:szCs w:val="20"/>
        </w:rPr>
        <w:t xml:space="preserve"> - £5k over one to </w:t>
      </w:r>
      <w:r w:rsidR="00A14AB7" w:rsidRPr="00701439">
        <w:rPr>
          <w:rStyle w:val="Strong"/>
          <w:rFonts w:asciiTheme="minorHAnsi" w:hAnsiTheme="minorHAnsi"/>
          <w:b w:val="0"/>
          <w:sz w:val="20"/>
          <w:szCs w:val="20"/>
        </w:rPr>
        <w:t>four</w:t>
      </w:r>
      <w:r w:rsidR="0066301A" w:rsidRPr="00701439">
        <w:rPr>
          <w:rStyle w:val="Strong"/>
          <w:rFonts w:asciiTheme="minorHAnsi" w:hAnsiTheme="minorHAnsi"/>
          <w:b w:val="0"/>
          <w:sz w:val="20"/>
          <w:szCs w:val="20"/>
        </w:rPr>
        <w:t xml:space="preserve"> years</w:t>
      </w:r>
      <w:r w:rsidR="00A14AB7" w:rsidRPr="00701439">
        <w:rPr>
          <w:rStyle w:val="Strong"/>
          <w:rFonts w:asciiTheme="minorHAnsi" w:hAnsiTheme="minorHAnsi"/>
          <w:b w:val="0"/>
          <w:sz w:val="20"/>
          <w:szCs w:val="20"/>
        </w:rPr>
        <w:t>.</w:t>
      </w:r>
      <w:r w:rsidR="0066301A" w:rsidRPr="00701439">
        <w:rPr>
          <w:rStyle w:val="Strong"/>
          <w:rFonts w:asciiTheme="minorHAnsi" w:hAnsiTheme="minorHAnsi"/>
          <w:b w:val="0"/>
          <w:sz w:val="20"/>
          <w:szCs w:val="20"/>
        </w:rPr>
        <w:t xml:space="preserve"> The typical personal loan customer will be similar in nature</w:t>
      </w:r>
      <w:r w:rsidR="00BD4DC4" w:rsidRPr="00701439">
        <w:rPr>
          <w:rStyle w:val="Strong"/>
          <w:rFonts w:asciiTheme="minorHAnsi" w:hAnsiTheme="minorHAnsi"/>
          <w:b w:val="0"/>
          <w:sz w:val="20"/>
          <w:szCs w:val="20"/>
        </w:rPr>
        <w:t xml:space="preserve"> to existing credit card and vehicle finance customers with similar </w:t>
      </w:r>
      <w:r w:rsidR="0066301A" w:rsidRPr="00701439">
        <w:rPr>
          <w:rStyle w:val="Strong"/>
          <w:rFonts w:asciiTheme="minorHAnsi" w:hAnsiTheme="minorHAnsi"/>
          <w:b w:val="0"/>
          <w:sz w:val="20"/>
          <w:szCs w:val="20"/>
        </w:rPr>
        <w:t>average credit score</w:t>
      </w:r>
      <w:r w:rsidR="00BD4DC4" w:rsidRPr="00701439">
        <w:rPr>
          <w:rStyle w:val="Strong"/>
          <w:rFonts w:asciiTheme="minorHAnsi" w:hAnsiTheme="minorHAnsi"/>
          <w:b w:val="0"/>
          <w:sz w:val="20"/>
          <w:szCs w:val="20"/>
        </w:rPr>
        <w:t>s</w:t>
      </w:r>
      <w:r w:rsidR="0066301A" w:rsidRPr="00701439">
        <w:rPr>
          <w:rStyle w:val="Strong"/>
          <w:rFonts w:asciiTheme="minorHAnsi" w:hAnsiTheme="minorHAnsi"/>
          <w:b w:val="0"/>
          <w:sz w:val="20"/>
          <w:szCs w:val="20"/>
        </w:rPr>
        <w:t xml:space="preserve">. </w:t>
      </w:r>
      <w:r w:rsidR="00062FFD" w:rsidRPr="00701439">
        <w:rPr>
          <w:rStyle w:val="Strong"/>
          <w:rFonts w:asciiTheme="minorHAnsi" w:hAnsiTheme="minorHAnsi"/>
          <w:b w:val="0"/>
          <w:sz w:val="20"/>
          <w:szCs w:val="20"/>
        </w:rPr>
        <w:t>The</w:t>
      </w:r>
      <w:r w:rsidR="00EB712E" w:rsidRPr="00701439">
        <w:rPr>
          <w:rStyle w:val="Strong"/>
          <w:rFonts w:asciiTheme="minorHAnsi" w:hAnsiTheme="minorHAnsi"/>
          <w:b w:val="0"/>
          <w:sz w:val="20"/>
          <w:szCs w:val="20"/>
        </w:rPr>
        <w:t xml:space="preserve"> business grew both customer numbers and receivables strongly during FY’22</w:t>
      </w:r>
      <w:r w:rsidR="00600450" w:rsidRPr="00701439">
        <w:rPr>
          <w:rStyle w:val="Strong"/>
          <w:rFonts w:asciiTheme="minorHAnsi" w:hAnsiTheme="minorHAnsi"/>
          <w:b w:val="0"/>
          <w:sz w:val="20"/>
          <w:szCs w:val="20"/>
        </w:rPr>
        <w:t xml:space="preserve"> reflecting the successful launch of the business and its market position.</w:t>
      </w:r>
    </w:p>
    <w:p w14:paraId="1D945C1C" w14:textId="5F9E6727" w:rsidR="004C7077" w:rsidRPr="00701439" w:rsidRDefault="004C7077" w:rsidP="00E534C5">
      <w:pPr>
        <w:jc w:val="both"/>
        <w:rPr>
          <w:rStyle w:val="Strong"/>
          <w:rFonts w:asciiTheme="minorHAnsi" w:hAnsiTheme="minorHAnsi"/>
          <w:sz w:val="20"/>
          <w:szCs w:val="20"/>
        </w:rPr>
      </w:pPr>
    </w:p>
    <w:p w14:paraId="7EF37C2E" w14:textId="1026BCC4" w:rsidR="00A32294" w:rsidRPr="00701439" w:rsidRDefault="009F0F42" w:rsidP="00E534C5">
      <w:pPr>
        <w:spacing w:after="160"/>
        <w:jc w:val="both"/>
        <w:rPr>
          <w:rFonts w:asciiTheme="minorHAnsi" w:eastAsia="Calibri" w:hAnsiTheme="minorHAnsi"/>
          <w:sz w:val="20"/>
          <w:szCs w:val="20"/>
          <w:lang w:eastAsia="en-US"/>
        </w:rPr>
      </w:pPr>
      <w:r w:rsidRPr="00701439">
        <w:rPr>
          <w:rFonts w:asciiTheme="minorHAnsi" w:eastAsia="Calibri" w:hAnsiTheme="minorHAnsi"/>
          <w:sz w:val="20"/>
          <w:szCs w:val="20"/>
          <w:lang w:eastAsia="en-US"/>
        </w:rPr>
        <w:t xml:space="preserve">New business volumes during </w:t>
      </w:r>
      <w:r w:rsidR="00B37376" w:rsidRPr="00701439">
        <w:rPr>
          <w:rFonts w:asciiTheme="minorHAnsi" w:eastAsia="Calibri" w:hAnsiTheme="minorHAnsi"/>
          <w:sz w:val="20"/>
          <w:szCs w:val="20"/>
          <w:lang w:eastAsia="en-US"/>
        </w:rPr>
        <w:t>FY’22</w:t>
      </w:r>
      <w:r w:rsidRPr="00701439">
        <w:rPr>
          <w:rFonts w:asciiTheme="minorHAnsi" w:eastAsia="Calibri" w:hAnsiTheme="minorHAnsi"/>
          <w:sz w:val="20"/>
          <w:szCs w:val="20"/>
          <w:lang w:eastAsia="en-US"/>
        </w:rPr>
        <w:t xml:space="preserve"> </w:t>
      </w:r>
      <w:proofErr w:type="gramStart"/>
      <w:r w:rsidRPr="00701439">
        <w:rPr>
          <w:rFonts w:asciiTheme="minorHAnsi" w:eastAsia="Calibri" w:hAnsiTheme="minorHAnsi"/>
          <w:sz w:val="20"/>
          <w:szCs w:val="20"/>
          <w:lang w:eastAsia="en-US"/>
        </w:rPr>
        <w:t>were</w:t>
      </w:r>
      <w:proofErr w:type="gramEnd"/>
      <w:r w:rsidRPr="00701439">
        <w:rPr>
          <w:rFonts w:asciiTheme="minorHAnsi" w:eastAsia="Calibri" w:hAnsiTheme="minorHAnsi"/>
          <w:sz w:val="20"/>
          <w:szCs w:val="20"/>
          <w:lang w:eastAsia="en-US"/>
        </w:rPr>
        <w:t xml:space="preserve"> </w:t>
      </w:r>
      <w:r w:rsidR="00A43523" w:rsidRPr="00701439">
        <w:rPr>
          <w:rFonts w:asciiTheme="minorHAnsi" w:eastAsia="Calibri" w:hAnsiTheme="minorHAnsi"/>
          <w:sz w:val="20"/>
          <w:szCs w:val="20"/>
          <w:lang w:eastAsia="en-US"/>
        </w:rPr>
        <w:t>27</w:t>
      </w:r>
      <w:r w:rsidRPr="00701439">
        <w:rPr>
          <w:rFonts w:asciiTheme="minorHAnsi" w:eastAsia="Calibri" w:hAnsiTheme="minorHAnsi"/>
          <w:sz w:val="20"/>
          <w:szCs w:val="20"/>
          <w:lang w:eastAsia="en-US"/>
        </w:rPr>
        <w:t xml:space="preserve">k, versus </w:t>
      </w:r>
      <w:r w:rsidR="00BF2484" w:rsidRPr="00701439">
        <w:rPr>
          <w:rFonts w:asciiTheme="minorHAnsi" w:eastAsia="Calibri" w:hAnsiTheme="minorHAnsi"/>
          <w:sz w:val="20"/>
          <w:szCs w:val="20"/>
          <w:lang w:eastAsia="en-US"/>
        </w:rPr>
        <w:t>12</w:t>
      </w:r>
      <w:r w:rsidRPr="00701439">
        <w:rPr>
          <w:rFonts w:asciiTheme="minorHAnsi" w:eastAsia="Calibri" w:hAnsiTheme="minorHAnsi"/>
          <w:sz w:val="20"/>
          <w:szCs w:val="20"/>
          <w:lang w:eastAsia="en-US"/>
        </w:rPr>
        <w:t xml:space="preserve">.8k in </w:t>
      </w:r>
      <w:r w:rsidR="00B37376" w:rsidRPr="00701439">
        <w:rPr>
          <w:rFonts w:asciiTheme="minorHAnsi" w:eastAsia="Calibri" w:hAnsiTheme="minorHAnsi"/>
          <w:sz w:val="20"/>
          <w:szCs w:val="20"/>
          <w:lang w:eastAsia="en-US"/>
        </w:rPr>
        <w:t>FY’21</w:t>
      </w:r>
      <w:r w:rsidRPr="00701439">
        <w:rPr>
          <w:rFonts w:asciiTheme="minorHAnsi" w:eastAsia="Calibri" w:hAnsiTheme="minorHAnsi"/>
          <w:sz w:val="20"/>
          <w:szCs w:val="20"/>
          <w:lang w:eastAsia="en-US"/>
        </w:rPr>
        <w:t xml:space="preserve">, </w:t>
      </w:r>
      <w:r w:rsidR="00EF0CFF" w:rsidRPr="00701439">
        <w:rPr>
          <w:rFonts w:asciiTheme="minorHAnsi" w:eastAsia="Calibri" w:hAnsiTheme="minorHAnsi"/>
          <w:sz w:val="20"/>
          <w:szCs w:val="20"/>
          <w:lang w:eastAsia="en-US"/>
        </w:rPr>
        <w:t>reflecting the business’ first 12 months</w:t>
      </w:r>
      <w:r w:rsidRPr="00701439">
        <w:rPr>
          <w:rFonts w:asciiTheme="minorHAnsi" w:eastAsia="Calibri" w:hAnsiTheme="minorHAnsi"/>
          <w:sz w:val="20"/>
          <w:szCs w:val="20"/>
          <w:lang w:eastAsia="en-US"/>
        </w:rPr>
        <w:t xml:space="preserve"> as an open market </w:t>
      </w:r>
      <w:r w:rsidR="00EF0CFF" w:rsidRPr="00701439">
        <w:rPr>
          <w:rFonts w:asciiTheme="minorHAnsi" w:eastAsia="Calibri" w:hAnsiTheme="minorHAnsi"/>
          <w:sz w:val="20"/>
          <w:szCs w:val="20"/>
          <w:lang w:eastAsia="en-US"/>
        </w:rPr>
        <w:t>operator</w:t>
      </w:r>
      <w:r w:rsidRPr="00701439">
        <w:rPr>
          <w:rFonts w:asciiTheme="minorHAnsi" w:eastAsia="Calibri" w:hAnsiTheme="minorHAnsi"/>
          <w:sz w:val="20"/>
          <w:szCs w:val="20"/>
          <w:lang w:eastAsia="en-US"/>
        </w:rPr>
        <w:t xml:space="preserve">. As a result of these new customer bookings, the businesses ended the year with </w:t>
      </w:r>
      <w:r w:rsidR="00D87468" w:rsidRPr="00701439">
        <w:rPr>
          <w:rFonts w:asciiTheme="minorHAnsi" w:eastAsia="Calibri" w:hAnsiTheme="minorHAnsi"/>
          <w:sz w:val="20"/>
          <w:szCs w:val="20"/>
          <w:lang w:eastAsia="en-US"/>
        </w:rPr>
        <w:t>34.4</w:t>
      </w:r>
      <w:r w:rsidRPr="00701439">
        <w:rPr>
          <w:rFonts w:asciiTheme="minorHAnsi" w:eastAsia="Calibri" w:hAnsiTheme="minorHAnsi"/>
          <w:sz w:val="20"/>
          <w:szCs w:val="20"/>
          <w:lang w:eastAsia="en-US"/>
        </w:rPr>
        <w:t>k customers versus 1</w:t>
      </w:r>
      <w:r w:rsidR="00D87468" w:rsidRPr="00701439">
        <w:rPr>
          <w:rFonts w:asciiTheme="minorHAnsi" w:eastAsia="Calibri" w:hAnsiTheme="minorHAnsi"/>
          <w:sz w:val="20"/>
          <w:szCs w:val="20"/>
          <w:lang w:eastAsia="en-US"/>
        </w:rPr>
        <w:t>9.9</w:t>
      </w:r>
      <w:r w:rsidRPr="00701439">
        <w:rPr>
          <w:rFonts w:asciiTheme="minorHAnsi" w:eastAsia="Calibri" w:hAnsiTheme="minorHAnsi"/>
          <w:sz w:val="20"/>
          <w:szCs w:val="20"/>
          <w:lang w:eastAsia="en-US"/>
        </w:rPr>
        <w:t xml:space="preserve">k at the end of </w:t>
      </w:r>
      <w:r w:rsidR="00160C30" w:rsidRPr="00701439">
        <w:rPr>
          <w:rFonts w:asciiTheme="minorHAnsi" w:eastAsia="Calibri" w:hAnsiTheme="minorHAnsi"/>
          <w:sz w:val="20"/>
          <w:szCs w:val="20"/>
          <w:lang w:eastAsia="en-US"/>
        </w:rPr>
        <w:t>FY’21</w:t>
      </w:r>
      <w:r w:rsidRPr="00701439">
        <w:rPr>
          <w:rFonts w:asciiTheme="minorHAnsi" w:eastAsia="Calibri" w:hAnsiTheme="minorHAnsi"/>
          <w:sz w:val="20"/>
          <w:szCs w:val="20"/>
          <w:lang w:eastAsia="en-US"/>
        </w:rPr>
        <w:t>. At the end of December, receivables stood at £</w:t>
      </w:r>
      <w:r w:rsidR="00816AB2" w:rsidRPr="00701439">
        <w:rPr>
          <w:rFonts w:asciiTheme="minorHAnsi" w:eastAsia="Calibri" w:hAnsiTheme="minorHAnsi"/>
          <w:sz w:val="20"/>
          <w:szCs w:val="20"/>
          <w:lang w:eastAsia="en-US"/>
        </w:rPr>
        <w:t>76</w:t>
      </w:r>
      <w:r w:rsidRPr="00701439">
        <w:rPr>
          <w:rFonts w:asciiTheme="minorHAnsi" w:eastAsia="Calibri" w:hAnsiTheme="minorHAnsi"/>
          <w:sz w:val="20"/>
          <w:szCs w:val="20"/>
          <w:lang w:eastAsia="en-US"/>
        </w:rPr>
        <w:t>.</w:t>
      </w:r>
      <w:r w:rsidR="00816AB2" w:rsidRPr="00701439">
        <w:rPr>
          <w:rFonts w:asciiTheme="minorHAnsi" w:eastAsia="Calibri" w:hAnsiTheme="minorHAnsi"/>
          <w:sz w:val="20"/>
          <w:szCs w:val="20"/>
          <w:lang w:eastAsia="en-US"/>
        </w:rPr>
        <w:t>3</w:t>
      </w:r>
      <w:r w:rsidRPr="00701439">
        <w:rPr>
          <w:rFonts w:asciiTheme="minorHAnsi" w:eastAsia="Calibri" w:hAnsiTheme="minorHAnsi"/>
          <w:sz w:val="20"/>
          <w:szCs w:val="20"/>
          <w:lang w:eastAsia="en-US"/>
        </w:rPr>
        <w:t>m versus £</w:t>
      </w:r>
      <w:r w:rsidR="00E40140" w:rsidRPr="00701439">
        <w:rPr>
          <w:rFonts w:asciiTheme="minorHAnsi" w:eastAsia="Calibri" w:hAnsiTheme="minorHAnsi"/>
          <w:sz w:val="20"/>
          <w:szCs w:val="20"/>
          <w:lang w:eastAsia="en-US"/>
        </w:rPr>
        <w:t>28</w:t>
      </w:r>
      <w:r w:rsidRPr="00701439">
        <w:rPr>
          <w:rFonts w:asciiTheme="minorHAnsi" w:eastAsia="Calibri" w:hAnsiTheme="minorHAnsi"/>
          <w:sz w:val="20"/>
          <w:szCs w:val="20"/>
          <w:lang w:eastAsia="en-US"/>
        </w:rPr>
        <w:t xml:space="preserve">.1m at the end of </w:t>
      </w:r>
      <w:r w:rsidR="00160C30" w:rsidRPr="00701439">
        <w:rPr>
          <w:rFonts w:asciiTheme="minorHAnsi" w:eastAsia="Calibri" w:hAnsiTheme="minorHAnsi"/>
          <w:sz w:val="20"/>
          <w:szCs w:val="20"/>
          <w:lang w:eastAsia="en-US"/>
        </w:rPr>
        <w:t>FY’21</w:t>
      </w:r>
      <w:r w:rsidRPr="00701439">
        <w:rPr>
          <w:rFonts w:asciiTheme="minorHAnsi" w:eastAsia="Calibri" w:hAnsiTheme="minorHAnsi"/>
          <w:sz w:val="20"/>
          <w:szCs w:val="20"/>
          <w:lang w:eastAsia="en-US"/>
        </w:rPr>
        <w:t xml:space="preserve">, driven by new business volumes </w:t>
      </w:r>
      <w:proofErr w:type="gramStart"/>
      <w:r w:rsidRPr="00701439">
        <w:rPr>
          <w:rFonts w:asciiTheme="minorHAnsi" w:eastAsia="Calibri" w:hAnsiTheme="minorHAnsi"/>
          <w:sz w:val="20"/>
          <w:szCs w:val="20"/>
          <w:lang w:eastAsia="en-US"/>
        </w:rPr>
        <w:t xml:space="preserve">increasing </w:t>
      </w:r>
      <w:r w:rsidR="00160C30" w:rsidRPr="00701439">
        <w:rPr>
          <w:rFonts w:asciiTheme="minorHAnsi" w:eastAsia="Calibri" w:hAnsiTheme="minorHAnsi"/>
          <w:sz w:val="20"/>
          <w:szCs w:val="20"/>
          <w:lang w:eastAsia="en-US"/>
        </w:rPr>
        <w:t>significantly</w:t>
      </w:r>
      <w:proofErr w:type="gramEnd"/>
      <w:r w:rsidR="00160C30" w:rsidRPr="00701439">
        <w:rPr>
          <w:rFonts w:asciiTheme="minorHAnsi" w:eastAsia="Calibri" w:hAnsiTheme="minorHAnsi"/>
          <w:sz w:val="20"/>
          <w:szCs w:val="20"/>
          <w:lang w:eastAsia="en-US"/>
        </w:rPr>
        <w:t xml:space="preserve"> </w:t>
      </w:r>
      <w:r w:rsidRPr="00701439">
        <w:rPr>
          <w:rFonts w:asciiTheme="minorHAnsi" w:eastAsia="Calibri" w:hAnsiTheme="minorHAnsi"/>
          <w:sz w:val="20"/>
          <w:szCs w:val="20"/>
          <w:lang w:eastAsia="en-US"/>
        </w:rPr>
        <w:t>year-on-year.</w:t>
      </w:r>
    </w:p>
    <w:p w14:paraId="6BD8FBED" w14:textId="1CE902BB" w:rsidR="007E5833" w:rsidRPr="00701439" w:rsidRDefault="007E5833" w:rsidP="00E534C5">
      <w:pPr>
        <w:spacing w:after="160"/>
        <w:jc w:val="both"/>
        <w:rPr>
          <w:rFonts w:asciiTheme="minorHAnsi" w:eastAsia="Calibri" w:hAnsiTheme="minorHAnsi"/>
          <w:sz w:val="20"/>
          <w:szCs w:val="20"/>
          <w:lang w:eastAsia="en-US"/>
        </w:rPr>
      </w:pPr>
      <w:r w:rsidRPr="00701439">
        <w:rPr>
          <w:rFonts w:asciiTheme="minorHAnsi" w:eastAsia="Calibri" w:hAnsiTheme="minorHAnsi"/>
          <w:sz w:val="20"/>
          <w:szCs w:val="20"/>
          <w:lang w:eastAsia="en-US"/>
        </w:rPr>
        <w:t xml:space="preserve">The personal loans business generated </w:t>
      </w:r>
      <w:r w:rsidR="00202F7D" w:rsidRPr="00701439">
        <w:rPr>
          <w:rFonts w:asciiTheme="minorHAnsi" w:eastAsia="Calibri" w:hAnsiTheme="minorHAnsi"/>
          <w:sz w:val="20"/>
          <w:szCs w:val="20"/>
          <w:lang w:eastAsia="en-US"/>
        </w:rPr>
        <w:t xml:space="preserve">interest income </w:t>
      </w:r>
      <w:r w:rsidRPr="00701439">
        <w:rPr>
          <w:rFonts w:asciiTheme="minorHAnsi" w:eastAsia="Calibri" w:hAnsiTheme="minorHAnsi"/>
          <w:sz w:val="20"/>
          <w:szCs w:val="20"/>
          <w:lang w:eastAsia="en-US"/>
        </w:rPr>
        <w:t>of £</w:t>
      </w:r>
      <w:r w:rsidR="00BA4DE1" w:rsidRPr="00701439">
        <w:rPr>
          <w:rFonts w:asciiTheme="minorHAnsi" w:eastAsia="Calibri" w:hAnsiTheme="minorHAnsi"/>
          <w:sz w:val="20"/>
          <w:szCs w:val="20"/>
          <w:lang w:eastAsia="en-US"/>
        </w:rPr>
        <w:t>13</w:t>
      </w:r>
      <w:r w:rsidRPr="00701439">
        <w:rPr>
          <w:rFonts w:asciiTheme="minorHAnsi" w:eastAsia="Calibri" w:hAnsiTheme="minorHAnsi"/>
          <w:sz w:val="20"/>
          <w:szCs w:val="20"/>
          <w:lang w:eastAsia="en-US"/>
        </w:rPr>
        <w:t>.</w:t>
      </w:r>
      <w:r w:rsidR="00BA4DE1" w:rsidRPr="00701439">
        <w:rPr>
          <w:rFonts w:asciiTheme="minorHAnsi" w:eastAsia="Calibri" w:hAnsiTheme="minorHAnsi"/>
          <w:sz w:val="20"/>
          <w:szCs w:val="20"/>
          <w:lang w:eastAsia="en-US"/>
        </w:rPr>
        <w:t>1</w:t>
      </w:r>
      <w:r w:rsidRPr="00701439">
        <w:rPr>
          <w:rFonts w:asciiTheme="minorHAnsi" w:eastAsia="Calibri" w:hAnsiTheme="minorHAnsi"/>
          <w:sz w:val="20"/>
          <w:szCs w:val="20"/>
          <w:lang w:eastAsia="en-US"/>
        </w:rPr>
        <w:t>m</w:t>
      </w:r>
      <w:r w:rsidR="009F0F42" w:rsidRPr="00701439">
        <w:rPr>
          <w:rFonts w:asciiTheme="minorHAnsi" w:eastAsia="Calibri" w:hAnsiTheme="minorHAnsi"/>
          <w:sz w:val="20"/>
          <w:szCs w:val="20"/>
          <w:lang w:eastAsia="en-US"/>
        </w:rPr>
        <w:t xml:space="preserve"> during </w:t>
      </w:r>
      <w:r w:rsidR="00A56EEF" w:rsidRPr="00701439">
        <w:rPr>
          <w:rFonts w:asciiTheme="minorHAnsi" w:eastAsia="Calibri" w:hAnsiTheme="minorHAnsi"/>
          <w:sz w:val="20"/>
          <w:szCs w:val="20"/>
          <w:lang w:eastAsia="en-US"/>
        </w:rPr>
        <w:t>the year</w:t>
      </w:r>
      <w:r w:rsidRPr="00701439">
        <w:rPr>
          <w:rFonts w:asciiTheme="minorHAnsi" w:eastAsia="Calibri" w:hAnsiTheme="minorHAnsi"/>
          <w:sz w:val="20"/>
          <w:szCs w:val="20"/>
          <w:lang w:eastAsia="en-US"/>
        </w:rPr>
        <w:t xml:space="preserve"> (FY’2</w:t>
      </w:r>
      <w:r w:rsidR="00E40140" w:rsidRPr="00701439">
        <w:rPr>
          <w:rFonts w:asciiTheme="minorHAnsi" w:eastAsia="Calibri" w:hAnsiTheme="minorHAnsi"/>
          <w:sz w:val="20"/>
          <w:szCs w:val="20"/>
          <w:lang w:eastAsia="en-US"/>
        </w:rPr>
        <w:t>1</w:t>
      </w:r>
      <w:r w:rsidRPr="00701439">
        <w:rPr>
          <w:rFonts w:asciiTheme="minorHAnsi" w:eastAsia="Calibri" w:hAnsiTheme="minorHAnsi"/>
          <w:sz w:val="20"/>
          <w:szCs w:val="20"/>
          <w:lang w:eastAsia="en-US"/>
        </w:rPr>
        <w:t>: £</w:t>
      </w:r>
      <w:r w:rsidR="00E40140" w:rsidRPr="00701439">
        <w:rPr>
          <w:rFonts w:asciiTheme="minorHAnsi" w:eastAsia="Calibri" w:hAnsiTheme="minorHAnsi"/>
          <w:sz w:val="20"/>
          <w:szCs w:val="20"/>
          <w:lang w:eastAsia="en-US"/>
        </w:rPr>
        <w:t>7.2</w:t>
      </w:r>
      <w:r w:rsidR="00293CA5" w:rsidRPr="00701439">
        <w:rPr>
          <w:rFonts w:asciiTheme="minorHAnsi" w:eastAsia="Calibri" w:hAnsiTheme="minorHAnsi"/>
          <w:sz w:val="20"/>
          <w:szCs w:val="20"/>
          <w:lang w:eastAsia="en-US"/>
        </w:rPr>
        <w:t>m</w:t>
      </w:r>
      <w:r w:rsidRPr="00701439">
        <w:rPr>
          <w:rFonts w:asciiTheme="minorHAnsi" w:eastAsia="Calibri" w:hAnsiTheme="minorHAnsi"/>
          <w:sz w:val="20"/>
          <w:szCs w:val="20"/>
          <w:lang w:eastAsia="en-US"/>
        </w:rPr>
        <w:t xml:space="preserve">) </w:t>
      </w:r>
      <w:r w:rsidR="00A56EEF" w:rsidRPr="00701439">
        <w:rPr>
          <w:rFonts w:asciiTheme="minorHAnsi" w:eastAsia="Calibri" w:hAnsiTheme="minorHAnsi"/>
          <w:sz w:val="20"/>
          <w:szCs w:val="20"/>
          <w:lang w:eastAsia="en-US"/>
        </w:rPr>
        <w:t>driven by higher</w:t>
      </w:r>
      <w:r w:rsidRPr="00701439">
        <w:rPr>
          <w:rFonts w:asciiTheme="minorHAnsi" w:eastAsia="Calibri" w:hAnsiTheme="minorHAnsi"/>
          <w:sz w:val="20"/>
          <w:szCs w:val="20"/>
          <w:lang w:eastAsia="en-US"/>
        </w:rPr>
        <w:t xml:space="preserve"> average receivables year-on-year </w:t>
      </w:r>
      <w:r w:rsidR="00A56EEF" w:rsidRPr="00701439">
        <w:rPr>
          <w:rFonts w:asciiTheme="minorHAnsi" w:eastAsia="Calibri" w:hAnsiTheme="minorHAnsi"/>
          <w:sz w:val="20"/>
          <w:szCs w:val="20"/>
          <w:lang w:eastAsia="en-US"/>
        </w:rPr>
        <w:t>as the business grew strongly throughout the period</w:t>
      </w:r>
      <w:r w:rsidR="00886244" w:rsidRPr="00701439">
        <w:rPr>
          <w:rFonts w:asciiTheme="minorHAnsi" w:eastAsia="Calibri" w:hAnsiTheme="minorHAnsi"/>
          <w:sz w:val="20"/>
          <w:szCs w:val="20"/>
          <w:lang w:eastAsia="en-US"/>
        </w:rPr>
        <w:t xml:space="preserve">. The </w:t>
      </w:r>
      <w:r w:rsidR="005D02CE" w:rsidRPr="00701439">
        <w:rPr>
          <w:rFonts w:asciiTheme="minorHAnsi" w:eastAsia="Calibri" w:hAnsiTheme="minorHAnsi"/>
          <w:sz w:val="20"/>
          <w:szCs w:val="20"/>
          <w:lang w:eastAsia="en-US"/>
        </w:rPr>
        <w:t>asset</w:t>
      </w:r>
      <w:r w:rsidR="00886244" w:rsidRPr="00701439">
        <w:rPr>
          <w:rFonts w:asciiTheme="minorHAnsi" w:eastAsia="Calibri" w:hAnsiTheme="minorHAnsi"/>
          <w:sz w:val="20"/>
          <w:szCs w:val="20"/>
          <w:lang w:eastAsia="en-US"/>
        </w:rPr>
        <w:t xml:space="preserve"> yield for the year was </w:t>
      </w:r>
      <w:r w:rsidR="0008043C" w:rsidRPr="00701439">
        <w:rPr>
          <w:rFonts w:asciiTheme="minorHAnsi" w:eastAsia="Calibri" w:hAnsiTheme="minorHAnsi"/>
          <w:sz w:val="20"/>
          <w:szCs w:val="20"/>
          <w:lang w:eastAsia="en-US"/>
        </w:rPr>
        <w:t>2</w:t>
      </w:r>
      <w:r w:rsidR="005D02CE" w:rsidRPr="00701439">
        <w:rPr>
          <w:rFonts w:asciiTheme="minorHAnsi" w:eastAsia="Calibri" w:hAnsiTheme="minorHAnsi"/>
          <w:sz w:val="20"/>
          <w:szCs w:val="20"/>
          <w:lang w:eastAsia="en-US"/>
        </w:rPr>
        <w:t>5.7</w:t>
      </w:r>
      <w:r w:rsidR="00886244" w:rsidRPr="00701439">
        <w:rPr>
          <w:rFonts w:asciiTheme="minorHAnsi" w:eastAsia="Calibri" w:hAnsiTheme="minorHAnsi"/>
          <w:sz w:val="20"/>
          <w:szCs w:val="20"/>
          <w:lang w:eastAsia="en-US"/>
        </w:rPr>
        <w:t xml:space="preserve">% versus </w:t>
      </w:r>
      <w:r w:rsidR="005D02CE" w:rsidRPr="00701439">
        <w:rPr>
          <w:rFonts w:asciiTheme="minorHAnsi" w:eastAsia="Calibri" w:hAnsiTheme="minorHAnsi"/>
          <w:sz w:val="20"/>
          <w:szCs w:val="20"/>
          <w:lang w:eastAsia="en-US"/>
        </w:rPr>
        <w:t>2</w:t>
      </w:r>
      <w:r w:rsidR="00074A7F" w:rsidRPr="00701439">
        <w:rPr>
          <w:rFonts w:asciiTheme="minorHAnsi" w:eastAsia="Calibri" w:hAnsiTheme="minorHAnsi"/>
          <w:sz w:val="20"/>
          <w:szCs w:val="20"/>
          <w:lang w:eastAsia="en-US"/>
        </w:rPr>
        <w:t>8.1</w:t>
      </w:r>
      <w:r w:rsidR="00886244" w:rsidRPr="00701439">
        <w:rPr>
          <w:rFonts w:asciiTheme="minorHAnsi" w:eastAsia="Calibri" w:hAnsiTheme="minorHAnsi"/>
          <w:sz w:val="20"/>
          <w:szCs w:val="20"/>
          <w:lang w:eastAsia="en-US"/>
        </w:rPr>
        <w:t xml:space="preserve">% in </w:t>
      </w:r>
      <w:r w:rsidR="004D653C" w:rsidRPr="00701439">
        <w:rPr>
          <w:rFonts w:asciiTheme="minorHAnsi" w:eastAsia="Calibri" w:hAnsiTheme="minorHAnsi"/>
          <w:sz w:val="20"/>
          <w:szCs w:val="20"/>
          <w:lang w:eastAsia="en-US"/>
        </w:rPr>
        <w:t>FY’21</w:t>
      </w:r>
      <w:r w:rsidR="00831DED" w:rsidRPr="00701439">
        <w:rPr>
          <w:rFonts w:asciiTheme="minorHAnsi" w:eastAsia="Calibri" w:hAnsiTheme="minorHAnsi"/>
          <w:sz w:val="20"/>
          <w:szCs w:val="20"/>
          <w:lang w:eastAsia="en-US"/>
        </w:rPr>
        <w:t xml:space="preserve"> reflecting the growth in the loan book during the period. </w:t>
      </w:r>
    </w:p>
    <w:p w14:paraId="5C03CD1E" w14:textId="34400FE5" w:rsidR="00886244" w:rsidRPr="00701439" w:rsidRDefault="00886244" w:rsidP="00E534C5">
      <w:pPr>
        <w:spacing w:after="160"/>
        <w:jc w:val="both"/>
        <w:rPr>
          <w:rFonts w:asciiTheme="minorHAnsi" w:eastAsia="Calibri" w:hAnsiTheme="minorHAnsi"/>
          <w:sz w:val="20"/>
          <w:szCs w:val="20"/>
          <w:lang w:eastAsia="en-US"/>
        </w:rPr>
      </w:pPr>
      <w:r w:rsidRPr="00701439">
        <w:rPr>
          <w:rFonts w:asciiTheme="minorHAnsi" w:eastAsia="Calibri" w:hAnsiTheme="minorHAnsi"/>
          <w:sz w:val="20"/>
          <w:szCs w:val="20"/>
          <w:lang w:eastAsia="en-US"/>
        </w:rPr>
        <w:lastRenderedPageBreak/>
        <w:t>T</w:t>
      </w:r>
      <w:r w:rsidR="009F0F42" w:rsidRPr="00701439">
        <w:rPr>
          <w:rFonts w:asciiTheme="minorHAnsi" w:eastAsia="Calibri" w:hAnsiTheme="minorHAnsi"/>
          <w:sz w:val="20"/>
          <w:szCs w:val="20"/>
          <w:lang w:eastAsia="en-US"/>
        </w:rPr>
        <w:t xml:space="preserve">he impairment </w:t>
      </w:r>
      <w:r w:rsidRPr="00701439">
        <w:rPr>
          <w:rFonts w:asciiTheme="minorHAnsi" w:eastAsia="Calibri" w:hAnsiTheme="minorHAnsi"/>
          <w:sz w:val="20"/>
          <w:szCs w:val="20"/>
          <w:lang w:eastAsia="en-US"/>
        </w:rPr>
        <w:t xml:space="preserve">charge for </w:t>
      </w:r>
      <w:r w:rsidR="004D653C" w:rsidRPr="00701439">
        <w:rPr>
          <w:rFonts w:asciiTheme="minorHAnsi" w:eastAsia="Calibri" w:hAnsiTheme="minorHAnsi"/>
          <w:sz w:val="20"/>
          <w:szCs w:val="20"/>
          <w:lang w:eastAsia="en-US"/>
        </w:rPr>
        <w:t>FY’22</w:t>
      </w:r>
      <w:r w:rsidR="009F0F42" w:rsidRPr="00701439">
        <w:rPr>
          <w:rFonts w:asciiTheme="minorHAnsi" w:eastAsia="Calibri" w:hAnsiTheme="minorHAnsi"/>
          <w:sz w:val="20"/>
          <w:szCs w:val="20"/>
          <w:lang w:eastAsia="en-US"/>
        </w:rPr>
        <w:t xml:space="preserve"> </w:t>
      </w:r>
      <w:r w:rsidR="00D6548C" w:rsidRPr="00701439">
        <w:rPr>
          <w:rFonts w:asciiTheme="minorHAnsi" w:eastAsia="Calibri" w:hAnsiTheme="minorHAnsi"/>
          <w:sz w:val="20"/>
          <w:szCs w:val="20"/>
          <w:lang w:eastAsia="en-US"/>
        </w:rPr>
        <w:t>increased</w:t>
      </w:r>
      <w:r w:rsidR="009F0F42" w:rsidRPr="00701439">
        <w:rPr>
          <w:rFonts w:asciiTheme="minorHAnsi" w:eastAsia="Calibri" w:hAnsiTheme="minorHAnsi"/>
          <w:sz w:val="20"/>
          <w:szCs w:val="20"/>
          <w:lang w:eastAsia="en-US"/>
        </w:rPr>
        <w:t xml:space="preserve"> to </w:t>
      </w:r>
      <w:r w:rsidRPr="00701439">
        <w:rPr>
          <w:rFonts w:asciiTheme="minorHAnsi" w:eastAsia="Calibri" w:hAnsiTheme="minorHAnsi"/>
          <w:sz w:val="20"/>
          <w:szCs w:val="20"/>
          <w:lang w:eastAsia="en-US"/>
        </w:rPr>
        <w:t>£</w:t>
      </w:r>
      <w:r w:rsidR="00D6548C" w:rsidRPr="00701439">
        <w:rPr>
          <w:rFonts w:asciiTheme="minorHAnsi" w:eastAsia="Calibri" w:hAnsiTheme="minorHAnsi"/>
          <w:sz w:val="20"/>
          <w:szCs w:val="20"/>
          <w:lang w:eastAsia="en-US"/>
        </w:rPr>
        <w:t>8.5</w:t>
      </w:r>
      <w:r w:rsidRPr="00701439">
        <w:rPr>
          <w:rFonts w:asciiTheme="minorHAnsi" w:eastAsia="Calibri" w:hAnsiTheme="minorHAnsi"/>
          <w:sz w:val="20"/>
          <w:szCs w:val="20"/>
          <w:lang w:eastAsia="en-US"/>
        </w:rPr>
        <w:t>m, from £</w:t>
      </w:r>
      <w:r w:rsidR="00074A7F" w:rsidRPr="00701439">
        <w:rPr>
          <w:rFonts w:asciiTheme="minorHAnsi" w:eastAsia="Calibri" w:hAnsiTheme="minorHAnsi"/>
          <w:sz w:val="20"/>
          <w:szCs w:val="20"/>
          <w:lang w:eastAsia="en-US"/>
        </w:rPr>
        <w:t>2.1</w:t>
      </w:r>
      <w:r w:rsidRPr="00701439">
        <w:rPr>
          <w:rFonts w:asciiTheme="minorHAnsi" w:eastAsia="Calibri" w:hAnsiTheme="minorHAnsi"/>
          <w:sz w:val="20"/>
          <w:szCs w:val="20"/>
          <w:lang w:eastAsia="en-US"/>
        </w:rPr>
        <w:t xml:space="preserve">m in </w:t>
      </w:r>
      <w:r w:rsidR="004D653C" w:rsidRPr="00701439">
        <w:rPr>
          <w:rFonts w:asciiTheme="minorHAnsi" w:eastAsia="Calibri" w:hAnsiTheme="minorHAnsi"/>
          <w:sz w:val="20"/>
          <w:szCs w:val="20"/>
          <w:lang w:eastAsia="en-US"/>
        </w:rPr>
        <w:t>FY’21</w:t>
      </w:r>
      <w:r w:rsidRPr="00701439">
        <w:rPr>
          <w:rFonts w:asciiTheme="minorHAnsi" w:eastAsia="Calibri" w:hAnsiTheme="minorHAnsi"/>
          <w:sz w:val="20"/>
          <w:szCs w:val="20"/>
          <w:lang w:eastAsia="en-US"/>
        </w:rPr>
        <w:t xml:space="preserve">, as the business </w:t>
      </w:r>
      <w:r w:rsidR="004D653C" w:rsidRPr="00701439">
        <w:rPr>
          <w:rFonts w:asciiTheme="minorHAnsi" w:eastAsia="Calibri" w:hAnsiTheme="minorHAnsi"/>
          <w:sz w:val="20"/>
          <w:szCs w:val="20"/>
          <w:lang w:eastAsia="en-US"/>
        </w:rPr>
        <w:t>began</w:t>
      </w:r>
      <w:r w:rsidRPr="00701439">
        <w:rPr>
          <w:rFonts w:asciiTheme="minorHAnsi" w:eastAsia="Calibri" w:hAnsiTheme="minorHAnsi"/>
          <w:sz w:val="20"/>
          <w:szCs w:val="20"/>
          <w:lang w:eastAsia="en-US"/>
        </w:rPr>
        <w:t xml:space="preserve"> to </w:t>
      </w:r>
      <w:r w:rsidR="004D653C" w:rsidRPr="00701439">
        <w:rPr>
          <w:rFonts w:asciiTheme="minorHAnsi" w:eastAsia="Calibri" w:hAnsiTheme="minorHAnsi"/>
          <w:sz w:val="20"/>
          <w:szCs w:val="20"/>
          <w:lang w:eastAsia="en-US"/>
        </w:rPr>
        <w:t>gain scale</w:t>
      </w:r>
      <w:r w:rsidR="00A14AB7" w:rsidRPr="00701439">
        <w:rPr>
          <w:rFonts w:asciiTheme="minorHAnsi" w:eastAsia="Calibri" w:hAnsiTheme="minorHAnsi"/>
          <w:sz w:val="20"/>
          <w:szCs w:val="20"/>
          <w:lang w:eastAsia="en-US"/>
        </w:rPr>
        <w:t xml:space="preserve"> and </w:t>
      </w:r>
      <w:r w:rsidR="004D653C" w:rsidRPr="00701439">
        <w:rPr>
          <w:rFonts w:asciiTheme="minorHAnsi" w:eastAsia="Calibri" w:hAnsiTheme="minorHAnsi"/>
          <w:sz w:val="20"/>
          <w:szCs w:val="20"/>
          <w:lang w:eastAsia="en-US"/>
        </w:rPr>
        <w:t>book new customer loans</w:t>
      </w:r>
      <w:r w:rsidRPr="00701439">
        <w:rPr>
          <w:rFonts w:asciiTheme="minorHAnsi" w:eastAsia="Calibri" w:hAnsiTheme="minorHAnsi"/>
          <w:sz w:val="20"/>
          <w:szCs w:val="20"/>
          <w:lang w:eastAsia="en-US"/>
        </w:rPr>
        <w:t>. This equated to an</w:t>
      </w:r>
      <w:r w:rsidR="00C55D62" w:rsidRPr="00701439">
        <w:rPr>
          <w:rFonts w:asciiTheme="minorHAnsi" w:eastAsia="Calibri" w:hAnsiTheme="minorHAnsi"/>
          <w:sz w:val="20"/>
          <w:szCs w:val="20"/>
          <w:lang w:eastAsia="en-US"/>
        </w:rPr>
        <w:t xml:space="preserve"> annualised</w:t>
      </w:r>
      <w:r w:rsidRPr="00701439">
        <w:rPr>
          <w:rFonts w:asciiTheme="minorHAnsi" w:eastAsia="Calibri" w:hAnsiTheme="minorHAnsi"/>
          <w:sz w:val="20"/>
          <w:szCs w:val="20"/>
          <w:lang w:eastAsia="en-US"/>
        </w:rPr>
        <w:t xml:space="preserve"> </w:t>
      </w:r>
      <w:r w:rsidR="00F32A7D" w:rsidRPr="00701439">
        <w:rPr>
          <w:rFonts w:asciiTheme="minorHAnsi" w:eastAsia="Calibri" w:hAnsiTheme="minorHAnsi"/>
          <w:sz w:val="20"/>
          <w:szCs w:val="20"/>
          <w:lang w:eastAsia="en-US"/>
        </w:rPr>
        <w:t>cost of risk</w:t>
      </w:r>
      <w:r w:rsidRPr="00701439">
        <w:rPr>
          <w:rFonts w:asciiTheme="minorHAnsi" w:eastAsia="Calibri" w:hAnsiTheme="minorHAnsi"/>
          <w:sz w:val="20"/>
          <w:szCs w:val="20"/>
          <w:lang w:eastAsia="en-US"/>
        </w:rPr>
        <w:t xml:space="preserve"> for the year of </w:t>
      </w:r>
      <w:r w:rsidR="00F32A7D" w:rsidRPr="00701439">
        <w:rPr>
          <w:rFonts w:asciiTheme="minorHAnsi" w:eastAsia="Calibri" w:hAnsiTheme="minorHAnsi"/>
          <w:sz w:val="20"/>
          <w:szCs w:val="20"/>
          <w:lang w:eastAsia="en-US"/>
        </w:rPr>
        <w:t>16.7</w:t>
      </w:r>
      <w:r w:rsidRPr="00701439">
        <w:rPr>
          <w:rFonts w:asciiTheme="minorHAnsi" w:eastAsia="Calibri" w:hAnsiTheme="minorHAnsi"/>
          <w:sz w:val="20"/>
          <w:szCs w:val="20"/>
          <w:lang w:eastAsia="en-US"/>
        </w:rPr>
        <w:t>% (FY’2</w:t>
      </w:r>
      <w:r w:rsidR="00CC7A2B" w:rsidRPr="00701439">
        <w:rPr>
          <w:rFonts w:asciiTheme="minorHAnsi" w:eastAsia="Calibri" w:hAnsiTheme="minorHAnsi"/>
          <w:sz w:val="20"/>
          <w:szCs w:val="20"/>
          <w:lang w:eastAsia="en-US"/>
        </w:rPr>
        <w:t>1</w:t>
      </w:r>
      <w:r w:rsidRPr="00701439">
        <w:rPr>
          <w:rFonts w:asciiTheme="minorHAnsi" w:eastAsia="Calibri" w:hAnsiTheme="minorHAnsi"/>
          <w:sz w:val="20"/>
          <w:szCs w:val="20"/>
          <w:lang w:eastAsia="en-US"/>
        </w:rPr>
        <w:t xml:space="preserve">: </w:t>
      </w:r>
      <w:r w:rsidR="00F32A7D" w:rsidRPr="00701439">
        <w:rPr>
          <w:rFonts w:asciiTheme="minorHAnsi" w:eastAsia="Calibri" w:hAnsiTheme="minorHAnsi"/>
          <w:sz w:val="20"/>
          <w:szCs w:val="20"/>
          <w:lang w:eastAsia="en-US"/>
        </w:rPr>
        <w:t>8.2</w:t>
      </w:r>
      <w:r w:rsidRPr="00701439">
        <w:rPr>
          <w:rFonts w:asciiTheme="minorHAnsi" w:eastAsia="Calibri" w:hAnsiTheme="minorHAnsi"/>
          <w:sz w:val="20"/>
          <w:szCs w:val="20"/>
          <w:lang w:eastAsia="en-US"/>
        </w:rPr>
        <w:t>%)</w:t>
      </w:r>
      <w:r w:rsidR="006B0C38" w:rsidRPr="00701439">
        <w:rPr>
          <w:rFonts w:asciiTheme="minorHAnsi" w:eastAsia="Calibri" w:hAnsiTheme="minorHAnsi"/>
          <w:sz w:val="20"/>
          <w:szCs w:val="20"/>
          <w:lang w:eastAsia="en-US"/>
        </w:rPr>
        <w:t>, which</w:t>
      </w:r>
      <w:r w:rsidR="009F0F42" w:rsidRPr="00701439">
        <w:rPr>
          <w:rFonts w:asciiTheme="minorHAnsi" w:eastAsia="Calibri" w:hAnsiTheme="minorHAnsi"/>
          <w:sz w:val="20"/>
          <w:szCs w:val="20"/>
          <w:lang w:eastAsia="en-US"/>
        </w:rPr>
        <w:t xml:space="preserve"> resulted in the risk</w:t>
      </w:r>
      <w:r w:rsidR="006B0C38" w:rsidRPr="00701439">
        <w:rPr>
          <w:rFonts w:asciiTheme="minorHAnsi" w:eastAsia="Calibri" w:hAnsiTheme="minorHAnsi"/>
          <w:sz w:val="20"/>
          <w:szCs w:val="20"/>
          <w:lang w:eastAsia="en-US"/>
        </w:rPr>
        <w:t>-</w:t>
      </w:r>
      <w:r w:rsidR="009F0F42" w:rsidRPr="00701439">
        <w:rPr>
          <w:rFonts w:asciiTheme="minorHAnsi" w:eastAsia="Calibri" w:hAnsiTheme="minorHAnsi"/>
          <w:sz w:val="20"/>
          <w:szCs w:val="20"/>
          <w:lang w:eastAsia="en-US"/>
        </w:rPr>
        <w:t xml:space="preserve">adjusted margin </w:t>
      </w:r>
      <w:r w:rsidR="006B0C38" w:rsidRPr="00701439">
        <w:rPr>
          <w:rFonts w:asciiTheme="minorHAnsi" w:eastAsia="Calibri" w:hAnsiTheme="minorHAnsi"/>
          <w:sz w:val="20"/>
          <w:szCs w:val="20"/>
          <w:lang w:eastAsia="en-US"/>
        </w:rPr>
        <w:t>falling</w:t>
      </w:r>
      <w:r w:rsidR="009F0F42" w:rsidRPr="00701439">
        <w:rPr>
          <w:rFonts w:asciiTheme="minorHAnsi" w:eastAsia="Calibri" w:hAnsiTheme="minorHAnsi"/>
          <w:sz w:val="20"/>
          <w:szCs w:val="20"/>
          <w:lang w:eastAsia="en-US"/>
        </w:rPr>
        <w:t xml:space="preserve"> to </w:t>
      </w:r>
      <w:r w:rsidR="00774830" w:rsidRPr="00701439">
        <w:rPr>
          <w:rFonts w:asciiTheme="minorHAnsi" w:eastAsia="Calibri" w:hAnsiTheme="minorHAnsi"/>
          <w:sz w:val="20"/>
          <w:szCs w:val="20"/>
          <w:lang w:eastAsia="en-US"/>
        </w:rPr>
        <w:t>6.7</w:t>
      </w:r>
      <w:r w:rsidRPr="00701439">
        <w:rPr>
          <w:rFonts w:asciiTheme="minorHAnsi" w:eastAsia="Calibri" w:hAnsiTheme="minorHAnsi"/>
          <w:sz w:val="20"/>
          <w:szCs w:val="20"/>
          <w:lang w:eastAsia="en-US"/>
        </w:rPr>
        <w:t xml:space="preserve">% versus </w:t>
      </w:r>
      <w:r w:rsidR="00774830" w:rsidRPr="00701439">
        <w:rPr>
          <w:rFonts w:asciiTheme="minorHAnsi" w:eastAsia="Calibri" w:hAnsiTheme="minorHAnsi"/>
          <w:sz w:val="20"/>
          <w:szCs w:val="20"/>
          <w:lang w:eastAsia="en-US"/>
        </w:rPr>
        <w:t>16.8</w:t>
      </w:r>
      <w:r w:rsidRPr="00701439">
        <w:rPr>
          <w:rFonts w:asciiTheme="minorHAnsi" w:eastAsia="Calibri" w:hAnsiTheme="minorHAnsi"/>
          <w:sz w:val="20"/>
          <w:szCs w:val="20"/>
          <w:lang w:eastAsia="en-US"/>
        </w:rPr>
        <w:t>% for the prior year.</w:t>
      </w:r>
    </w:p>
    <w:p w14:paraId="7E3AD826" w14:textId="321A7B0E" w:rsidR="009F0F42" w:rsidRPr="00701439" w:rsidRDefault="009F0F42" w:rsidP="00E534C5">
      <w:pPr>
        <w:spacing w:after="160"/>
        <w:jc w:val="both"/>
        <w:rPr>
          <w:rFonts w:asciiTheme="minorHAnsi" w:eastAsia="Calibri" w:hAnsiTheme="minorHAnsi"/>
          <w:sz w:val="20"/>
          <w:szCs w:val="20"/>
          <w:lang w:eastAsia="en-US"/>
        </w:rPr>
      </w:pPr>
      <w:r w:rsidRPr="00701439">
        <w:rPr>
          <w:rFonts w:asciiTheme="minorHAnsi" w:eastAsia="Calibri" w:hAnsiTheme="minorHAnsi"/>
          <w:sz w:val="20"/>
          <w:szCs w:val="20"/>
          <w:lang w:eastAsia="en-US"/>
        </w:rPr>
        <w:t xml:space="preserve">Interest costs </w:t>
      </w:r>
      <w:r w:rsidR="00190572" w:rsidRPr="00701439">
        <w:rPr>
          <w:rFonts w:asciiTheme="minorHAnsi" w:eastAsia="Calibri" w:hAnsiTheme="minorHAnsi"/>
          <w:sz w:val="20"/>
          <w:szCs w:val="20"/>
          <w:lang w:eastAsia="en-US"/>
        </w:rPr>
        <w:t>for</w:t>
      </w:r>
      <w:r w:rsidRPr="00701439">
        <w:rPr>
          <w:rFonts w:asciiTheme="minorHAnsi" w:eastAsia="Calibri" w:hAnsiTheme="minorHAnsi"/>
          <w:sz w:val="20"/>
          <w:szCs w:val="20"/>
          <w:lang w:eastAsia="en-US"/>
        </w:rPr>
        <w:t xml:space="preserve"> the year </w:t>
      </w:r>
      <w:r w:rsidR="006B0C38" w:rsidRPr="00701439">
        <w:rPr>
          <w:rFonts w:asciiTheme="minorHAnsi" w:eastAsia="Calibri" w:hAnsiTheme="minorHAnsi"/>
          <w:sz w:val="20"/>
          <w:szCs w:val="20"/>
          <w:lang w:eastAsia="en-US"/>
        </w:rPr>
        <w:t>increased to</w:t>
      </w:r>
      <w:r w:rsidR="00190572" w:rsidRPr="00701439">
        <w:rPr>
          <w:rFonts w:asciiTheme="minorHAnsi" w:eastAsia="Calibri" w:hAnsiTheme="minorHAnsi"/>
          <w:sz w:val="20"/>
          <w:szCs w:val="20"/>
          <w:lang w:eastAsia="en-US"/>
        </w:rPr>
        <w:t xml:space="preserve"> £</w:t>
      </w:r>
      <w:r w:rsidR="0057756D" w:rsidRPr="00701439">
        <w:rPr>
          <w:rFonts w:asciiTheme="minorHAnsi" w:eastAsia="Calibri" w:hAnsiTheme="minorHAnsi"/>
          <w:sz w:val="20"/>
          <w:szCs w:val="20"/>
          <w:lang w:eastAsia="en-US"/>
        </w:rPr>
        <w:t>1</w:t>
      </w:r>
      <w:r w:rsidR="00190572" w:rsidRPr="00701439">
        <w:rPr>
          <w:rFonts w:asciiTheme="minorHAnsi" w:eastAsia="Calibri" w:hAnsiTheme="minorHAnsi"/>
          <w:sz w:val="20"/>
          <w:szCs w:val="20"/>
          <w:lang w:eastAsia="en-US"/>
        </w:rPr>
        <w:t>.</w:t>
      </w:r>
      <w:r w:rsidR="0057756D" w:rsidRPr="00701439">
        <w:rPr>
          <w:rFonts w:asciiTheme="minorHAnsi" w:eastAsia="Calibri" w:hAnsiTheme="minorHAnsi"/>
          <w:sz w:val="20"/>
          <w:szCs w:val="20"/>
          <w:lang w:eastAsia="en-US"/>
        </w:rPr>
        <w:t>2</w:t>
      </w:r>
      <w:r w:rsidR="00190572" w:rsidRPr="00701439">
        <w:rPr>
          <w:rFonts w:asciiTheme="minorHAnsi" w:eastAsia="Calibri" w:hAnsiTheme="minorHAnsi"/>
          <w:sz w:val="20"/>
          <w:szCs w:val="20"/>
          <w:lang w:eastAsia="en-US"/>
        </w:rPr>
        <w:t>m, versus £0.</w:t>
      </w:r>
      <w:r w:rsidR="0057756D" w:rsidRPr="00701439">
        <w:rPr>
          <w:rFonts w:asciiTheme="minorHAnsi" w:eastAsia="Calibri" w:hAnsiTheme="minorHAnsi"/>
          <w:sz w:val="20"/>
          <w:szCs w:val="20"/>
          <w:lang w:eastAsia="en-US"/>
        </w:rPr>
        <w:t>8</w:t>
      </w:r>
      <w:r w:rsidR="00190572" w:rsidRPr="00701439">
        <w:rPr>
          <w:rFonts w:asciiTheme="minorHAnsi" w:eastAsia="Calibri" w:hAnsiTheme="minorHAnsi"/>
          <w:sz w:val="20"/>
          <w:szCs w:val="20"/>
          <w:lang w:eastAsia="en-US"/>
        </w:rPr>
        <w:t>m in 202</w:t>
      </w:r>
      <w:r w:rsidR="00E03D89" w:rsidRPr="00701439">
        <w:rPr>
          <w:rFonts w:asciiTheme="minorHAnsi" w:eastAsia="Calibri" w:hAnsiTheme="minorHAnsi"/>
          <w:sz w:val="20"/>
          <w:szCs w:val="20"/>
          <w:lang w:eastAsia="en-US"/>
        </w:rPr>
        <w:t>1</w:t>
      </w:r>
      <w:r w:rsidR="00190572" w:rsidRPr="00701439">
        <w:rPr>
          <w:rFonts w:asciiTheme="minorHAnsi" w:eastAsia="Calibri" w:hAnsiTheme="minorHAnsi"/>
          <w:sz w:val="20"/>
          <w:szCs w:val="20"/>
          <w:lang w:eastAsia="en-US"/>
        </w:rPr>
        <w:t xml:space="preserve">, </w:t>
      </w:r>
      <w:r w:rsidR="006B0C38" w:rsidRPr="00701439">
        <w:rPr>
          <w:rFonts w:asciiTheme="minorHAnsi" w:eastAsia="Calibri" w:hAnsiTheme="minorHAnsi"/>
          <w:sz w:val="20"/>
          <w:szCs w:val="20"/>
          <w:lang w:eastAsia="en-US"/>
        </w:rPr>
        <w:t>reflecting higher avera</w:t>
      </w:r>
      <w:r w:rsidR="00C95742" w:rsidRPr="00701439">
        <w:rPr>
          <w:rFonts w:asciiTheme="minorHAnsi" w:eastAsia="Calibri" w:hAnsiTheme="minorHAnsi"/>
          <w:sz w:val="20"/>
          <w:szCs w:val="20"/>
          <w:lang w:eastAsia="en-US"/>
        </w:rPr>
        <w:t xml:space="preserve">ge balances being carried, </w:t>
      </w:r>
      <w:r w:rsidR="00190572" w:rsidRPr="00701439">
        <w:rPr>
          <w:rFonts w:asciiTheme="minorHAnsi" w:eastAsia="Calibri" w:hAnsiTheme="minorHAnsi"/>
          <w:sz w:val="20"/>
          <w:szCs w:val="20"/>
          <w:lang w:eastAsia="en-US"/>
        </w:rPr>
        <w:t xml:space="preserve">equating to an interest margin of </w:t>
      </w:r>
      <w:r w:rsidR="00F1574A" w:rsidRPr="00701439">
        <w:rPr>
          <w:rFonts w:asciiTheme="minorHAnsi" w:eastAsia="Calibri" w:hAnsiTheme="minorHAnsi"/>
          <w:sz w:val="20"/>
          <w:szCs w:val="20"/>
          <w:lang w:eastAsia="en-US"/>
        </w:rPr>
        <w:t>2.4</w:t>
      </w:r>
      <w:r w:rsidR="00190572" w:rsidRPr="00701439">
        <w:rPr>
          <w:rFonts w:asciiTheme="minorHAnsi" w:eastAsia="Calibri" w:hAnsiTheme="minorHAnsi"/>
          <w:sz w:val="20"/>
          <w:szCs w:val="20"/>
          <w:lang w:eastAsia="en-US"/>
        </w:rPr>
        <w:t xml:space="preserve">% versus </w:t>
      </w:r>
      <w:r w:rsidR="00F1574A" w:rsidRPr="00701439">
        <w:rPr>
          <w:rFonts w:asciiTheme="minorHAnsi" w:eastAsia="Calibri" w:hAnsiTheme="minorHAnsi"/>
          <w:sz w:val="20"/>
          <w:szCs w:val="20"/>
          <w:lang w:eastAsia="en-US"/>
        </w:rPr>
        <w:t>3</w:t>
      </w:r>
      <w:r w:rsidR="00E03D89" w:rsidRPr="00701439">
        <w:rPr>
          <w:rFonts w:asciiTheme="minorHAnsi" w:eastAsia="Calibri" w:hAnsiTheme="minorHAnsi"/>
          <w:sz w:val="20"/>
          <w:szCs w:val="20"/>
          <w:lang w:eastAsia="en-US"/>
        </w:rPr>
        <w:t>.</w:t>
      </w:r>
      <w:r w:rsidR="00D32088" w:rsidRPr="00701439">
        <w:rPr>
          <w:rFonts w:asciiTheme="minorHAnsi" w:eastAsia="Calibri" w:hAnsiTheme="minorHAnsi"/>
          <w:sz w:val="20"/>
          <w:szCs w:val="20"/>
          <w:lang w:eastAsia="en-US"/>
        </w:rPr>
        <w:t>1</w:t>
      </w:r>
      <w:r w:rsidR="00190572" w:rsidRPr="00701439">
        <w:rPr>
          <w:rFonts w:asciiTheme="minorHAnsi" w:eastAsia="Calibri" w:hAnsiTheme="minorHAnsi"/>
          <w:sz w:val="20"/>
          <w:szCs w:val="20"/>
          <w:lang w:eastAsia="en-US"/>
        </w:rPr>
        <w:t xml:space="preserve">% in </w:t>
      </w:r>
      <w:r w:rsidR="0050499E" w:rsidRPr="00701439">
        <w:rPr>
          <w:rFonts w:asciiTheme="minorHAnsi" w:eastAsia="Calibri" w:hAnsiTheme="minorHAnsi"/>
          <w:sz w:val="20"/>
          <w:szCs w:val="20"/>
          <w:lang w:eastAsia="en-US"/>
        </w:rPr>
        <w:t>FY’21</w:t>
      </w:r>
      <w:r w:rsidR="00190572" w:rsidRPr="00701439">
        <w:rPr>
          <w:rFonts w:asciiTheme="minorHAnsi" w:eastAsia="Calibri" w:hAnsiTheme="minorHAnsi"/>
          <w:sz w:val="20"/>
          <w:szCs w:val="20"/>
          <w:lang w:eastAsia="en-US"/>
        </w:rPr>
        <w:t>.</w:t>
      </w:r>
      <w:r w:rsidR="000F6758" w:rsidRPr="00701439">
        <w:rPr>
          <w:rFonts w:asciiTheme="minorHAnsi" w:eastAsia="Calibri" w:hAnsiTheme="minorHAnsi"/>
          <w:sz w:val="20"/>
          <w:szCs w:val="20"/>
          <w:lang w:eastAsia="en-US"/>
        </w:rPr>
        <w:t xml:space="preserve"> </w:t>
      </w:r>
      <w:r w:rsidRPr="00701439">
        <w:rPr>
          <w:rFonts w:asciiTheme="minorHAnsi" w:eastAsia="Calibri" w:hAnsiTheme="minorHAnsi"/>
          <w:sz w:val="20"/>
          <w:szCs w:val="20"/>
          <w:lang w:eastAsia="en-US"/>
        </w:rPr>
        <w:t xml:space="preserve">Costs increased </w:t>
      </w:r>
      <w:proofErr w:type="gramStart"/>
      <w:r w:rsidRPr="00701439">
        <w:rPr>
          <w:rFonts w:asciiTheme="minorHAnsi" w:eastAsia="Calibri" w:hAnsiTheme="minorHAnsi"/>
          <w:sz w:val="20"/>
          <w:szCs w:val="20"/>
          <w:lang w:eastAsia="en-US"/>
        </w:rPr>
        <w:t>during the course of</w:t>
      </w:r>
      <w:proofErr w:type="gramEnd"/>
      <w:r w:rsidRPr="00701439">
        <w:rPr>
          <w:rFonts w:asciiTheme="minorHAnsi" w:eastAsia="Calibri" w:hAnsiTheme="minorHAnsi"/>
          <w:sz w:val="20"/>
          <w:szCs w:val="20"/>
          <w:lang w:eastAsia="en-US"/>
        </w:rPr>
        <w:t xml:space="preserve"> the year </w:t>
      </w:r>
      <w:r w:rsidR="00190572" w:rsidRPr="00701439">
        <w:rPr>
          <w:rFonts w:asciiTheme="minorHAnsi" w:eastAsia="Calibri" w:hAnsiTheme="minorHAnsi"/>
          <w:sz w:val="20"/>
          <w:szCs w:val="20"/>
          <w:lang w:eastAsia="en-US"/>
        </w:rPr>
        <w:t>to £1</w:t>
      </w:r>
      <w:r w:rsidR="00D759CD" w:rsidRPr="00701439">
        <w:rPr>
          <w:rFonts w:asciiTheme="minorHAnsi" w:eastAsia="Calibri" w:hAnsiTheme="minorHAnsi"/>
          <w:sz w:val="20"/>
          <w:szCs w:val="20"/>
          <w:lang w:eastAsia="en-US"/>
        </w:rPr>
        <w:t>9</w:t>
      </w:r>
      <w:r w:rsidR="00190572" w:rsidRPr="00701439">
        <w:rPr>
          <w:rFonts w:asciiTheme="minorHAnsi" w:eastAsia="Calibri" w:hAnsiTheme="minorHAnsi"/>
          <w:sz w:val="20"/>
          <w:szCs w:val="20"/>
          <w:lang w:eastAsia="en-US"/>
        </w:rPr>
        <w:t>.</w:t>
      </w:r>
      <w:r w:rsidR="00D759CD" w:rsidRPr="00701439">
        <w:rPr>
          <w:rFonts w:asciiTheme="minorHAnsi" w:eastAsia="Calibri" w:hAnsiTheme="minorHAnsi"/>
          <w:sz w:val="20"/>
          <w:szCs w:val="20"/>
          <w:lang w:eastAsia="en-US"/>
        </w:rPr>
        <w:t>1</w:t>
      </w:r>
      <w:r w:rsidR="00190572" w:rsidRPr="00701439">
        <w:rPr>
          <w:rFonts w:asciiTheme="minorHAnsi" w:eastAsia="Calibri" w:hAnsiTheme="minorHAnsi"/>
          <w:sz w:val="20"/>
          <w:szCs w:val="20"/>
          <w:lang w:eastAsia="en-US"/>
        </w:rPr>
        <w:t>m (FY’2</w:t>
      </w:r>
      <w:r w:rsidR="00E03D89" w:rsidRPr="00701439">
        <w:rPr>
          <w:rFonts w:asciiTheme="minorHAnsi" w:eastAsia="Calibri" w:hAnsiTheme="minorHAnsi"/>
          <w:sz w:val="20"/>
          <w:szCs w:val="20"/>
          <w:lang w:eastAsia="en-US"/>
        </w:rPr>
        <w:t>1</w:t>
      </w:r>
      <w:r w:rsidR="00190572" w:rsidRPr="00701439">
        <w:rPr>
          <w:rFonts w:asciiTheme="minorHAnsi" w:eastAsia="Calibri" w:hAnsiTheme="minorHAnsi"/>
          <w:sz w:val="20"/>
          <w:szCs w:val="20"/>
          <w:lang w:eastAsia="en-US"/>
        </w:rPr>
        <w:t>: £</w:t>
      </w:r>
      <w:r w:rsidR="00E03D89" w:rsidRPr="00701439">
        <w:rPr>
          <w:rFonts w:asciiTheme="minorHAnsi" w:eastAsia="Calibri" w:hAnsiTheme="minorHAnsi"/>
          <w:sz w:val="20"/>
          <w:szCs w:val="20"/>
          <w:lang w:eastAsia="en-US"/>
        </w:rPr>
        <w:t>13.0</w:t>
      </w:r>
      <w:r w:rsidR="00190572" w:rsidRPr="00701439">
        <w:rPr>
          <w:rFonts w:asciiTheme="minorHAnsi" w:eastAsia="Calibri" w:hAnsiTheme="minorHAnsi"/>
          <w:sz w:val="20"/>
          <w:szCs w:val="20"/>
          <w:lang w:eastAsia="en-US"/>
        </w:rPr>
        <w:t xml:space="preserve">m) reflecting higher new business volumes and the </w:t>
      </w:r>
      <w:r w:rsidR="008B1EB5" w:rsidRPr="00701439">
        <w:rPr>
          <w:rFonts w:asciiTheme="minorHAnsi" w:eastAsia="Calibri" w:hAnsiTheme="minorHAnsi"/>
          <w:sz w:val="20"/>
          <w:szCs w:val="20"/>
          <w:lang w:eastAsia="en-US"/>
        </w:rPr>
        <w:t>ongoing</w:t>
      </w:r>
      <w:r w:rsidR="00190572" w:rsidRPr="00701439">
        <w:rPr>
          <w:rFonts w:asciiTheme="minorHAnsi" w:eastAsia="Calibri" w:hAnsiTheme="minorHAnsi"/>
          <w:sz w:val="20"/>
          <w:szCs w:val="20"/>
          <w:lang w:eastAsia="en-US"/>
        </w:rPr>
        <w:t xml:space="preserve"> investment in the new IT infrastructure platform known as Gateway</w:t>
      </w:r>
      <w:r w:rsidR="00A14AB7" w:rsidRPr="00701439">
        <w:rPr>
          <w:rFonts w:asciiTheme="minorHAnsi" w:eastAsia="Calibri" w:hAnsiTheme="minorHAnsi"/>
          <w:sz w:val="20"/>
          <w:szCs w:val="20"/>
          <w:lang w:eastAsia="en-US"/>
        </w:rPr>
        <w:t>.</w:t>
      </w:r>
    </w:p>
    <w:p w14:paraId="08931C6E" w14:textId="0F5EA48B" w:rsidR="00932697" w:rsidRDefault="00932697" w:rsidP="0002541E">
      <w:pPr>
        <w:spacing w:after="160"/>
        <w:jc w:val="both"/>
        <w:rPr>
          <w:rStyle w:val="Strong"/>
          <w:rFonts w:asciiTheme="minorHAnsi" w:hAnsiTheme="minorHAnsi" w:cstheme="minorHAnsi"/>
          <w:b w:val="0"/>
          <w:sz w:val="20"/>
          <w:szCs w:val="20"/>
        </w:rPr>
      </w:pPr>
      <w:r w:rsidRPr="00701439">
        <w:rPr>
          <w:rStyle w:val="Strong"/>
          <w:rFonts w:asciiTheme="minorHAnsi" w:hAnsiTheme="minorHAnsi" w:cstheme="minorHAnsi"/>
          <w:b w:val="0"/>
          <w:sz w:val="20"/>
          <w:szCs w:val="20"/>
        </w:rPr>
        <w:t xml:space="preserve">During 2023, the personal loans business will focus on continuing the migration of its loans offering onto the new Gateway platform, exploring new partnership </w:t>
      </w:r>
      <w:proofErr w:type="gramStart"/>
      <w:r w:rsidRPr="00701439">
        <w:rPr>
          <w:rStyle w:val="Strong"/>
          <w:rFonts w:asciiTheme="minorHAnsi" w:hAnsiTheme="minorHAnsi" w:cstheme="minorHAnsi"/>
          <w:b w:val="0"/>
          <w:sz w:val="20"/>
          <w:szCs w:val="20"/>
        </w:rPr>
        <w:t>agreements</w:t>
      </w:r>
      <w:proofErr w:type="gramEnd"/>
      <w:r w:rsidRPr="00701439">
        <w:rPr>
          <w:rStyle w:val="Strong"/>
          <w:rFonts w:asciiTheme="minorHAnsi" w:hAnsiTheme="minorHAnsi" w:cstheme="minorHAnsi"/>
          <w:b w:val="0"/>
          <w:sz w:val="20"/>
          <w:szCs w:val="20"/>
        </w:rPr>
        <w:t xml:space="preserve"> and assessing opportunities to evolve its pricing and product proposition</w:t>
      </w:r>
      <w:r w:rsidR="0057180E" w:rsidRPr="00701439">
        <w:rPr>
          <w:rStyle w:val="Strong"/>
          <w:rFonts w:asciiTheme="minorHAnsi" w:hAnsiTheme="minorHAnsi" w:cstheme="minorHAnsi"/>
          <w:b w:val="0"/>
          <w:sz w:val="20"/>
          <w:szCs w:val="20"/>
        </w:rPr>
        <w:t>.</w:t>
      </w:r>
      <w:r w:rsidRPr="00701439">
        <w:rPr>
          <w:rStyle w:val="Strong"/>
          <w:rFonts w:asciiTheme="minorHAnsi" w:hAnsiTheme="minorHAnsi" w:cstheme="minorHAnsi"/>
          <w:b w:val="0"/>
          <w:sz w:val="20"/>
          <w:szCs w:val="20"/>
        </w:rPr>
        <w:t xml:space="preserve"> </w:t>
      </w:r>
    </w:p>
    <w:p w14:paraId="06B694A6" w14:textId="377AC013" w:rsidR="004C7077" w:rsidRPr="00701439" w:rsidRDefault="004C7077" w:rsidP="00E534C5">
      <w:pPr>
        <w:jc w:val="both"/>
        <w:rPr>
          <w:rStyle w:val="Strong"/>
          <w:rFonts w:asciiTheme="minorHAnsi" w:hAnsiTheme="minorHAnsi"/>
          <w:color w:val="4747FF"/>
          <w:sz w:val="22"/>
          <w:szCs w:val="22"/>
        </w:rPr>
      </w:pPr>
      <w:r w:rsidRPr="00701439">
        <w:rPr>
          <w:rStyle w:val="Strong"/>
          <w:rFonts w:asciiTheme="minorHAnsi" w:hAnsiTheme="minorHAnsi"/>
          <w:color w:val="4747FF"/>
          <w:sz w:val="22"/>
          <w:szCs w:val="22"/>
        </w:rPr>
        <w:t xml:space="preserve">Discontinued </w:t>
      </w:r>
      <w:r w:rsidR="009A0357" w:rsidRPr="00701439">
        <w:rPr>
          <w:rStyle w:val="Strong"/>
          <w:rFonts w:asciiTheme="minorHAnsi" w:hAnsiTheme="minorHAnsi"/>
          <w:color w:val="4747FF"/>
          <w:sz w:val="22"/>
          <w:szCs w:val="22"/>
        </w:rPr>
        <w:t>O</w:t>
      </w:r>
      <w:r w:rsidR="00CA459E" w:rsidRPr="00701439">
        <w:rPr>
          <w:rStyle w:val="Strong"/>
          <w:rFonts w:asciiTheme="minorHAnsi" w:hAnsiTheme="minorHAnsi"/>
          <w:color w:val="4747FF"/>
          <w:sz w:val="22"/>
          <w:szCs w:val="22"/>
        </w:rPr>
        <w:t>perations</w:t>
      </w:r>
    </w:p>
    <w:p w14:paraId="06729A27" w14:textId="77777777" w:rsidR="004C7077" w:rsidRPr="00701439" w:rsidRDefault="004C7077" w:rsidP="00E534C5">
      <w:pPr>
        <w:jc w:val="both"/>
        <w:rPr>
          <w:rStyle w:val="Strong"/>
          <w:rFonts w:asciiTheme="minorHAnsi" w:hAnsiTheme="minorHAnsi"/>
          <w:sz w:val="20"/>
          <w:szCs w:val="20"/>
        </w:rPr>
      </w:pPr>
    </w:p>
    <w:p w14:paraId="56D719ED" w14:textId="25714BB8" w:rsidR="00F01EC8" w:rsidRPr="00701439" w:rsidRDefault="00F01EC8" w:rsidP="00E534C5">
      <w:pPr>
        <w:jc w:val="both"/>
        <w:rPr>
          <w:rStyle w:val="Strong"/>
          <w:rFonts w:asciiTheme="minorHAnsi" w:hAnsiTheme="minorHAnsi"/>
          <w:color w:val="4747FF"/>
          <w:sz w:val="22"/>
          <w:szCs w:val="22"/>
        </w:rPr>
      </w:pPr>
      <w:bookmarkStart w:id="12" w:name="_Hlk97047431"/>
      <w:r w:rsidRPr="00701439">
        <w:rPr>
          <w:rStyle w:val="Strong"/>
          <w:rFonts w:asciiTheme="minorHAnsi" w:hAnsiTheme="minorHAnsi"/>
          <w:color w:val="4747FF"/>
          <w:sz w:val="22"/>
          <w:szCs w:val="22"/>
        </w:rPr>
        <w:t>Consumer Credit Division</w:t>
      </w:r>
    </w:p>
    <w:tbl>
      <w:tblPr>
        <w:tblW w:w="9667" w:type="dxa"/>
        <w:tblLayout w:type="fixed"/>
        <w:tblLook w:val="04A0" w:firstRow="1" w:lastRow="0" w:firstColumn="1" w:lastColumn="0" w:noHBand="0" w:noVBand="1"/>
      </w:tblPr>
      <w:tblGrid>
        <w:gridCol w:w="6123"/>
        <w:gridCol w:w="1181"/>
        <w:gridCol w:w="1181"/>
        <w:gridCol w:w="1182"/>
      </w:tblGrid>
      <w:tr w:rsidR="00F01EC8" w:rsidRPr="00701439" w14:paraId="1E3005BE" w14:textId="77777777" w:rsidTr="00F01EC8">
        <w:tc>
          <w:tcPr>
            <w:tcW w:w="6123" w:type="dxa"/>
          </w:tcPr>
          <w:p w14:paraId="150A805A" w14:textId="77777777" w:rsidR="00F01EC8" w:rsidRPr="00701439" w:rsidRDefault="00F01EC8" w:rsidP="00E534C5">
            <w:pPr>
              <w:pStyle w:val="NoSpacing"/>
              <w:jc w:val="both"/>
              <w:rPr>
                <w:sz w:val="20"/>
                <w:szCs w:val="20"/>
              </w:rPr>
            </w:pPr>
          </w:p>
        </w:tc>
        <w:tc>
          <w:tcPr>
            <w:tcW w:w="3544" w:type="dxa"/>
            <w:gridSpan w:val="3"/>
            <w:hideMark/>
          </w:tcPr>
          <w:p w14:paraId="4EEABBB6" w14:textId="74466B58" w:rsidR="00F01EC8" w:rsidRPr="00701439" w:rsidRDefault="008F1F13" w:rsidP="00E534C5">
            <w:pPr>
              <w:pStyle w:val="NoSpacing"/>
              <w:jc w:val="center"/>
              <w:rPr>
                <w:sz w:val="20"/>
                <w:szCs w:val="20"/>
              </w:rPr>
            </w:pPr>
            <w:r w:rsidRPr="00701439">
              <w:rPr>
                <w:sz w:val="20"/>
                <w:szCs w:val="20"/>
              </w:rPr>
              <w:t>Year</w:t>
            </w:r>
            <w:r w:rsidR="00F01EC8" w:rsidRPr="00701439">
              <w:rPr>
                <w:sz w:val="20"/>
                <w:szCs w:val="20"/>
              </w:rPr>
              <w:t xml:space="preserve"> ended 3</w:t>
            </w:r>
            <w:r w:rsidR="002F16F6" w:rsidRPr="00701439">
              <w:rPr>
                <w:sz w:val="20"/>
                <w:szCs w:val="20"/>
              </w:rPr>
              <w:t>1</w:t>
            </w:r>
            <w:r w:rsidR="00F01EC8" w:rsidRPr="00701439">
              <w:rPr>
                <w:sz w:val="20"/>
                <w:szCs w:val="20"/>
              </w:rPr>
              <w:t xml:space="preserve"> </w:t>
            </w:r>
            <w:r w:rsidR="002F16F6" w:rsidRPr="00701439">
              <w:rPr>
                <w:sz w:val="20"/>
                <w:szCs w:val="20"/>
              </w:rPr>
              <w:t>December</w:t>
            </w:r>
          </w:p>
        </w:tc>
      </w:tr>
      <w:tr w:rsidR="00F01EC8" w:rsidRPr="00701439" w14:paraId="313C7433" w14:textId="77777777" w:rsidTr="00F01EC8">
        <w:tc>
          <w:tcPr>
            <w:tcW w:w="6123" w:type="dxa"/>
          </w:tcPr>
          <w:p w14:paraId="33590E95" w14:textId="77777777" w:rsidR="00F01EC8" w:rsidRPr="00701439" w:rsidRDefault="00F01EC8" w:rsidP="00E534C5">
            <w:pPr>
              <w:pStyle w:val="NoSpacing"/>
              <w:jc w:val="both"/>
              <w:rPr>
                <w:sz w:val="20"/>
                <w:szCs w:val="20"/>
              </w:rPr>
            </w:pPr>
          </w:p>
        </w:tc>
        <w:tc>
          <w:tcPr>
            <w:tcW w:w="1181" w:type="dxa"/>
            <w:hideMark/>
          </w:tcPr>
          <w:p w14:paraId="7A914BAF" w14:textId="2CFF5290" w:rsidR="00F01EC8" w:rsidRPr="00701439" w:rsidRDefault="004C7077" w:rsidP="00E534C5">
            <w:pPr>
              <w:pStyle w:val="NoSpacing"/>
              <w:jc w:val="center"/>
              <w:rPr>
                <w:sz w:val="20"/>
                <w:szCs w:val="20"/>
              </w:rPr>
            </w:pPr>
            <w:r w:rsidRPr="00701439">
              <w:rPr>
                <w:sz w:val="20"/>
                <w:szCs w:val="20"/>
              </w:rPr>
              <w:t>202</w:t>
            </w:r>
            <w:r w:rsidR="00650B44" w:rsidRPr="00701439">
              <w:rPr>
                <w:sz w:val="20"/>
                <w:szCs w:val="20"/>
              </w:rPr>
              <w:t>2</w:t>
            </w:r>
          </w:p>
        </w:tc>
        <w:tc>
          <w:tcPr>
            <w:tcW w:w="1181" w:type="dxa"/>
            <w:hideMark/>
          </w:tcPr>
          <w:p w14:paraId="33116572" w14:textId="5A0F354E" w:rsidR="00F01EC8" w:rsidRPr="00701439" w:rsidRDefault="004C7077" w:rsidP="00E534C5">
            <w:pPr>
              <w:pStyle w:val="NoSpacing"/>
              <w:jc w:val="center"/>
              <w:rPr>
                <w:sz w:val="20"/>
                <w:szCs w:val="20"/>
              </w:rPr>
            </w:pPr>
            <w:r w:rsidRPr="00701439">
              <w:rPr>
                <w:sz w:val="20"/>
                <w:szCs w:val="20"/>
              </w:rPr>
              <w:t>202</w:t>
            </w:r>
            <w:r w:rsidR="00650B44" w:rsidRPr="00701439">
              <w:rPr>
                <w:sz w:val="20"/>
                <w:szCs w:val="20"/>
              </w:rPr>
              <w:t>1</w:t>
            </w:r>
          </w:p>
        </w:tc>
        <w:tc>
          <w:tcPr>
            <w:tcW w:w="1182" w:type="dxa"/>
            <w:vMerge w:val="restart"/>
            <w:tcBorders>
              <w:top w:val="nil"/>
              <w:left w:val="nil"/>
              <w:bottom w:val="single" w:sz="4" w:space="0" w:color="auto"/>
              <w:right w:val="nil"/>
            </w:tcBorders>
            <w:vAlign w:val="center"/>
            <w:hideMark/>
          </w:tcPr>
          <w:p w14:paraId="3D6D9D68" w14:textId="77777777" w:rsidR="00F01EC8" w:rsidRPr="00701439" w:rsidRDefault="00F01EC8" w:rsidP="00E534C5">
            <w:pPr>
              <w:pStyle w:val="NoSpacing"/>
              <w:jc w:val="center"/>
              <w:rPr>
                <w:i/>
                <w:sz w:val="20"/>
                <w:szCs w:val="20"/>
              </w:rPr>
            </w:pPr>
            <w:r w:rsidRPr="00701439">
              <w:rPr>
                <w:i/>
                <w:sz w:val="20"/>
                <w:szCs w:val="20"/>
              </w:rPr>
              <w:t>Change</w:t>
            </w:r>
          </w:p>
        </w:tc>
      </w:tr>
      <w:tr w:rsidR="00F01EC8" w:rsidRPr="00701439" w14:paraId="62F9CC81" w14:textId="77777777" w:rsidTr="00F01EC8">
        <w:tc>
          <w:tcPr>
            <w:tcW w:w="6123" w:type="dxa"/>
          </w:tcPr>
          <w:p w14:paraId="7742A510" w14:textId="77777777" w:rsidR="00F01EC8" w:rsidRPr="00701439" w:rsidRDefault="00F01EC8" w:rsidP="00E534C5">
            <w:pPr>
              <w:pStyle w:val="NoSpacing"/>
              <w:jc w:val="both"/>
              <w:rPr>
                <w:sz w:val="20"/>
                <w:szCs w:val="20"/>
              </w:rPr>
            </w:pPr>
          </w:p>
        </w:tc>
        <w:tc>
          <w:tcPr>
            <w:tcW w:w="1181" w:type="dxa"/>
            <w:tcBorders>
              <w:top w:val="nil"/>
              <w:left w:val="nil"/>
              <w:bottom w:val="single" w:sz="4" w:space="0" w:color="auto"/>
              <w:right w:val="nil"/>
            </w:tcBorders>
            <w:vAlign w:val="bottom"/>
            <w:hideMark/>
          </w:tcPr>
          <w:p w14:paraId="52C33D2A" w14:textId="77777777" w:rsidR="00F01EC8" w:rsidRPr="00701439" w:rsidRDefault="00F01EC8" w:rsidP="00E534C5">
            <w:pPr>
              <w:pStyle w:val="NoSpacing"/>
              <w:jc w:val="center"/>
              <w:rPr>
                <w:sz w:val="20"/>
                <w:szCs w:val="20"/>
              </w:rPr>
            </w:pPr>
            <w:r w:rsidRPr="00701439">
              <w:rPr>
                <w:sz w:val="20"/>
                <w:szCs w:val="20"/>
              </w:rPr>
              <w:t>£m</w:t>
            </w:r>
          </w:p>
        </w:tc>
        <w:tc>
          <w:tcPr>
            <w:tcW w:w="1181" w:type="dxa"/>
            <w:tcBorders>
              <w:top w:val="nil"/>
              <w:left w:val="nil"/>
              <w:bottom w:val="single" w:sz="4" w:space="0" w:color="auto"/>
              <w:right w:val="nil"/>
            </w:tcBorders>
            <w:vAlign w:val="bottom"/>
            <w:hideMark/>
          </w:tcPr>
          <w:p w14:paraId="270E52E5" w14:textId="77777777" w:rsidR="00F01EC8" w:rsidRPr="00701439" w:rsidRDefault="00F01EC8" w:rsidP="00E534C5">
            <w:pPr>
              <w:pStyle w:val="NoSpacing"/>
              <w:jc w:val="center"/>
              <w:rPr>
                <w:sz w:val="20"/>
                <w:szCs w:val="20"/>
              </w:rPr>
            </w:pPr>
            <w:r w:rsidRPr="00701439">
              <w:rPr>
                <w:sz w:val="20"/>
                <w:szCs w:val="20"/>
              </w:rPr>
              <w:t>£m</w:t>
            </w:r>
          </w:p>
        </w:tc>
        <w:tc>
          <w:tcPr>
            <w:tcW w:w="1182" w:type="dxa"/>
            <w:vMerge/>
            <w:tcBorders>
              <w:top w:val="nil"/>
              <w:left w:val="nil"/>
              <w:bottom w:val="single" w:sz="4" w:space="0" w:color="auto"/>
              <w:right w:val="nil"/>
            </w:tcBorders>
            <w:vAlign w:val="center"/>
            <w:hideMark/>
          </w:tcPr>
          <w:p w14:paraId="6B8EDE7A" w14:textId="77777777" w:rsidR="00F01EC8" w:rsidRPr="00701439" w:rsidRDefault="00F01EC8" w:rsidP="00E534C5">
            <w:pPr>
              <w:jc w:val="center"/>
              <w:rPr>
                <w:rFonts w:asciiTheme="minorHAnsi" w:hAnsiTheme="minorHAnsi"/>
                <w:i/>
                <w:sz w:val="20"/>
                <w:szCs w:val="20"/>
                <w:lang w:eastAsia="en-US"/>
              </w:rPr>
            </w:pPr>
          </w:p>
        </w:tc>
      </w:tr>
      <w:tr w:rsidR="00F01EC8" w:rsidRPr="00701439" w14:paraId="50425F0E" w14:textId="77777777" w:rsidTr="00F01EC8">
        <w:tc>
          <w:tcPr>
            <w:tcW w:w="6123" w:type="dxa"/>
          </w:tcPr>
          <w:p w14:paraId="24275724" w14:textId="77777777" w:rsidR="00F01EC8" w:rsidRPr="00701439" w:rsidRDefault="00F01EC8" w:rsidP="00E534C5">
            <w:pPr>
              <w:pStyle w:val="NoSpacing"/>
              <w:jc w:val="both"/>
              <w:rPr>
                <w:sz w:val="20"/>
                <w:szCs w:val="20"/>
              </w:rPr>
            </w:pPr>
          </w:p>
        </w:tc>
        <w:tc>
          <w:tcPr>
            <w:tcW w:w="1181" w:type="dxa"/>
            <w:tcBorders>
              <w:top w:val="single" w:sz="4" w:space="0" w:color="auto"/>
              <w:left w:val="nil"/>
              <w:bottom w:val="nil"/>
              <w:right w:val="nil"/>
            </w:tcBorders>
            <w:vAlign w:val="bottom"/>
          </w:tcPr>
          <w:p w14:paraId="1446D799" w14:textId="77777777" w:rsidR="00F01EC8" w:rsidRPr="00701439" w:rsidRDefault="00F01EC8" w:rsidP="00E534C5">
            <w:pPr>
              <w:pStyle w:val="NoSpacing"/>
              <w:jc w:val="center"/>
              <w:rPr>
                <w:sz w:val="20"/>
                <w:szCs w:val="20"/>
              </w:rPr>
            </w:pPr>
          </w:p>
        </w:tc>
        <w:tc>
          <w:tcPr>
            <w:tcW w:w="1181" w:type="dxa"/>
            <w:tcBorders>
              <w:top w:val="single" w:sz="4" w:space="0" w:color="auto"/>
              <w:left w:val="nil"/>
              <w:bottom w:val="nil"/>
              <w:right w:val="nil"/>
            </w:tcBorders>
            <w:vAlign w:val="bottom"/>
          </w:tcPr>
          <w:p w14:paraId="7CC9C20C" w14:textId="77777777" w:rsidR="00F01EC8" w:rsidRPr="00701439" w:rsidRDefault="00F01EC8" w:rsidP="00E534C5">
            <w:pPr>
              <w:pStyle w:val="NoSpacing"/>
              <w:jc w:val="center"/>
              <w:rPr>
                <w:sz w:val="20"/>
                <w:szCs w:val="20"/>
              </w:rPr>
            </w:pPr>
          </w:p>
        </w:tc>
        <w:tc>
          <w:tcPr>
            <w:tcW w:w="1182" w:type="dxa"/>
            <w:tcBorders>
              <w:top w:val="single" w:sz="4" w:space="0" w:color="auto"/>
              <w:left w:val="nil"/>
              <w:bottom w:val="nil"/>
              <w:right w:val="nil"/>
            </w:tcBorders>
            <w:vAlign w:val="bottom"/>
          </w:tcPr>
          <w:p w14:paraId="632652C6" w14:textId="77777777" w:rsidR="00F01EC8" w:rsidRPr="00701439" w:rsidRDefault="00F01EC8" w:rsidP="00E534C5">
            <w:pPr>
              <w:pStyle w:val="NoSpacing"/>
              <w:jc w:val="center"/>
              <w:rPr>
                <w:i/>
                <w:sz w:val="20"/>
                <w:szCs w:val="20"/>
              </w:rPr>
            </w:pPr>
          </w:p>
        </w:tc>
      </w:tr>
      <w:tr w:rsidR="0090545C" w:rsidRPr="00701439" w14:paraId="06D5303A" w14:textId="77777777" w:rsidTr="002F16F6">
        <w:tc>
          <w:tcPr>
            <w:tcW w:w="6123" w:type="dxa"/>
            <w:vAlign w:val="bottom"/>
            <w:hideMark/>
          </w:tcPr>
          <w:p w14:paraId="6A8247AB" w14:textId="0AD8DF85" w:rsidR="0090545C" w:rsidRPr="00701439" w:rsidRDefault="0090545C" w:rsidP="0090545C">
            <w:pPr>
              <w:pStyle w:val="NoSpacing"/>
              <w:jc w:val="both"/>
              <w:rPr>
                <w:b/>
                <w:sz w:val="20"/>
                <w:szCs w:val="20"/>
              </w:rPr>
            </w:pPr>
            <w:r w:rsidRPr="00701439">
              <w:rPr>
                <w:b/>
                <w:sz w:val="20"/>
                <w:szCs w:val="20"/>
              </w:rPr>
              <w:t>Interest income</w:t>
            </w:r>
          </w:p>
        </w:tc>
        <w:tc>
          <w:tcPr>
            <w:tcW w:w="1181" w:type="dxa"/>
            <w:vAlign w:val="bottom"/>
          </w:tcPr>
          <w:p w14:paraId="23045B11" w14:textId="5202DC70" w:rsidR="0090545C" w:rsidRPr="00701439" w:rsidRDefault="0090545C" w:rsidP="0090545C">
            <w:pPr>
              <w:pStyle w:val="NoSpacing"/>
              <w:jc w:val="center"/>
              <w:rPr>
                <w:b/>
                <w:sz w:val="20"/>
                <w:szCs w:val="20"/>
              </w:rPr>
            </w:pPr>
            <w:r w:rsidRPr="00701439">
              <w:rPr>
                <w:sz w:val="20"/>
                <w:szCs w:val="20"/>
              </w:rPr>
              <w:t>-</w:t>
            </w:r>
          </w:p>
        </w:tc>
        <w:tc>
          <w:tcPr>
            <w:tcW w:w="1181" w:type="dxa"/>
            <w:vAlign w:val="bottom"/>
          </w:tcPr>
          <w:p w14:paraId="79265CE2" w14:textId="3D03A6AA" w:rsidR="0090545C" w:rsidRPr="00701439" w:rsidRDefault="0090545C" w:rsidP="0090545C">
            <w:pPr>
              <w:pStyle w:val="NoSpacing"/>
              <w:jc w:val="center"/>
              <w:rPr>
                <w:b/>
                <w:sz w:val="20"/>
                <w:szCs w:val="20"/>
              </w:rPr>
            </w:pPr>
            <w:r w:rsidRPr="00701439">
              <w:rPr>
                <w:b/>
                <w:sz w:val="20"/>
                <w:szCs w:val="20"/>
              </w:rPr>
              <w:t>68.0</w:t>
            </w:r>
          </w:p>
        </w:tc>
        <w:tc>
          <w:tcPr>
            <w:tcW w:w="1182" w:type="dxa"/>
            <w:vAlign w:val="bottom"/>
          </w:tcPr>
          <w:p w14:paraId="4FC655C4" w14:textId="35DB285E" w:rsidR="0090545C" w:rsidRPr="00701439" w:rsidRDefault="00531261" w:rsidP="0090545C">
            <w:pPr>
              <w:pStyle w:val="NoSpacing"/>
              <w:jc w:val="center"/>
              <w:rPr>
                <w:b/>
                <w:i/>
                <w:sz w:val="20"/>
                <w:szCs w:val="20"/>
              </w:rPr>
            </w:pPr>
            <w:r w:rsidRPr="00701439">
              <w:rPr>
                <w:i/>
                <w:sz w:val="20"/>
                <w:szCs w:val="20"/>
              </w:rPr>
              <w:t>(100</w:t>
            </w:r>
            <w:r w:rsidR="00EB46D4" w:rsidRPr="00701439">
              <w:rPr>
                <w:i/>
                <w:sz w:val="20"/>
                <w:szCs w:val="20"/>
              </w:rPr>
              <w:t>.0</w:t>
            </w:r>
            <w:r w:rsidRPr="00701439">
              <w:rPr>
                <w:i/>
                <w:sz w:val="20"/>
                <w:szCs w:val="20"/>
              </w:rPr>
              <w:t>%)</w:t>
            </w:r>
          </w:p>
        </w:tc>
      </w:tr>
      <w:tr w:rsidR="0090545C" w:rsidRPr="00701439" w14:paraId="647C817E" w14:textId="77777777" w:rsidTr="002F16F6">
        <w:tc>
          <w:tcPr>
            <w:tcW w:w="6123" w:type="dxa"/>
            <w:tcBorders>
              <w:top w:val="nil"/>
              <w:left w:val="nil"/>
              <w:bottom w:val="single" w:sz="4" w:space="0" w:color="auto"/>
              <w:right w:val="nil"/>
            </w:tcBorders>
            <w:vAlign w:val="bottom"/>
            <w:hideMark/>
          </w:tcPr>
          <w:p w14:paraId="3BA7C363" w14:textId="6D1D0962" w:rsidR="0090545C" w:rsidRPr="00701439" w:rsidRDefault="0090545C" w:rsidP="0090545C">
            <w:pPr>
              <w:pStyle w:val="NoSpacing"/>
              <w:jc w:val="both"/>
              <w:rPr>
                <w:sz w:val="20"/>
                <w:szCs w:val="20"/>
              </w:rPr>
            </w:pPr>
            <w:r w:rsidRPr="00701439">
              <w:rPr>
                <w:sz w:val="20"/>
                <w:szCs w:val="20"/>
              </w:rPr>
              <w:t>Interest expense</w:t>
            </w:r>
          </w:p>
        </w:tc>
        <w:tc>
          <w:tcPr>
            <w:tcW w:w="1181" w:type="dxa"/>
            <w:tcBorders>
              <w:top w:val="nil"/>
              <w:left w:val="nil"/>
              <w:bottom w:val="single" w:sz="4" w:space="0" w:color="auto"/>
              <w:right w:val="nil"/>
            </w:tcBorders>
            <w:vAlign w:val="bottom"/>
          </w:tcPr>
          <w:p w14:paraId="2DFF8E26" w14:textId="12F7961F" w:rsidR="0090545C" w:rsidRPr="00701439" w:rsidRDefault="0090545C" w:rsidP="0090545C">
            <w:pPr>
              <w:pStyle w:val="NoSpacing"/>
              <w:jc w:val="center"/>
              <w:rPr>
                <w:sz w:val="20"/>
                <w:szCs w:val="20"/>
              </w:rPr>
            </w:pPr>
            <w:r w:rsidRPr="00701439">
              <w:rPr>
                <w:sz w:val="20"/>
                <w:szCs w:val="20"/>
              </w:rPr>
              <w:t>(</w:t>
            </w:r>
            <w:r w:rsidR="008D0047" w:rsidRPr="00701439">
              <w:rPr>
                <w:sz w:val="20"/>
                <w:szCs w:val="20"/>
              </w:rPr>
              <w:t>6</w:t>
            </w:r>
            <w:r w:rsidRPr="00701439">
              <w:rPr>
                <w:sz w:val="20"/>
                <w:szCs w:val="20"/>
              </w:rPr>
              <w:t>.</w:t>
            </w:r>
            <w:r w:rsidR="008D0047" w:rsidRPr="00701439">
              <w:rPr>
                <w:sz w:val="20"/>
                <w:szCs w:val="20"/>
              </w:rPr>
              <w:t>2</w:t>
            </w:r>
            <w:r w:rsidRPr="00701439">
              <w:rPr>
                <w:sz w:val="20"/>
                <w:szCs w:val="20"/>
              </w:rPr>
              <w:t>)</w:t>
            </w:r>
          </w:p>
        </w:tc>
        <w:tc>
          <w:tcPr>
            <w:tcW w:w="1181" w:type="dxa"/>
            <w:tcBorders>
              <w:top w:val="nil"/>
              <w:left w:val="nil"/>
              <w:bottom w:val="single" w:sz="4" w:space="0" w:color="auto"/>
              <w:right w:val="nil"/>
            </w:tcBorders>
            <w:vAlign w:val="bottom"/>
          </w:tcPr>
          <w:p w14:paraId="3FFD11D6" w14:textId="501DAE2F" w:rsidR="0090545C" w:rsidRPr="00701439" w:rsidRDefault="0090545C" w:rsidP="0090545C">
            <w:pPr>
              <w:pStyle w:val="NoSpacing"/>
              <w:jc w:val="center"/>
              <w:rPr>
                <w:sz w:val="20"/>
                <w:szCs w:val="20"/>
              </w:rPr>
            </w:pPr>
            <w:r w:rsidRPr="00701439">
              <w:rPr>
                <w:sz w:val="20"/>
                <w:szCs w:val="20"/>
              </w:rPr>
              <w:t>(12.1)</w:t>
            </w:r>
          </w:p>
        </w:tc>
        <w:tc>
          <w:tcPr>
            <w:tcW w:w="1182" w:type="dxa"/>
            <w:tcBorders>
              <w:top w:val="nil"/>
              <w:left w:val="nil"/>
              <w:bottom w:val="single" w:sz="4" w:space="0" w:color="auto"/>
              <w:right w:val="nil"/>
            </w:tcBorders>
            <w:vAlign w:val="bottom"/>
          </w:tcPr>
          <w:p w14:paraId="6AA203E6" w14:textId="7B0AABE1" w:rsidR="0090545C" w:rsidRPr="00701439" w:rsidRDefault="0090545C" w:rsidP="0090545C">
            <w:pPr>
              <w:pStyle w:val="NoSpacing"/>
              <w:jc w:val="center"/>
              <w:rPr>
                <w:i/>
                <w:sz w:val="20"/>
                <w:szCs w:val="20"/>
              </w:rPr>
            </w:pPr>
            <w:r w:rsidRPr="00701439">
              <w:rPr>
                <w:i/>
                <w:sz w:val="20"/>
                <w:szCs w:val="20"/>
              </w:rPr>
              <w:t>(</w:t>
            </w:r>
            <w:r w:rsidR="00DD36E8" w:rsidRPr="00701439">
              <w:rPr>
                <w:i/>
                <w:sz w:val="20"/>
                <w:szCs w:val="20"/>
              </w:rPr>
              <w:t>48</w:t>
            </w:r>
            <w:r w:rsidRPr="00701439">
              <w:rPr>
                <w:i/>
                <w:sz w:val="20"/>
                <w:szCs w:val="20"/>
              </w:rPr>
              <w:t>.</w:t>
            </w:r>
            <w:r w:rsidR="00DD36E8" w:rsidRPr="00701439">
              <w:rPr>
                <w:i/>
                <w:sz w:val="20"/>
                <w:szCs w:val="20"/>
              </w:rPr>
              <w:t>8</w:t>
            </w:r>
            <w:r w:rsidRPr="00701439">
              <w:rPr>
                <w:i/>
                <w:sz w:val="20"/>
                <w:szCs w:val="20"/>
              </w:rPr>
              <w:t>%)</w:t>
            </w:r>
          </w:p>
        </w:tc>
      </w:tr>
      <w:tr w:rsidR="0090545C" w:rsidRPr="00701439" w14:paraId="18AA542B" w14:textId="77777777" w:rsidTr="000328C7">
        <w:tc>
          <w:tcPr>
            <w:tcW w:w="6123" w:type="dxa"/>
            <w:tcBorders>
              <w:top w:val="single" w:sz="4" w:space="0" w:color="auto"/>
              <w:left w:val="nil"/>
              <w:right w:val="nil"/>
            </w:tcBorders>
            <w:vAlign w:val="bottom"/>
            <w:hideMark/>
          </w:tcPr>
          <w:p w14:paraId="1780B10B" w14:textId="09C2E0A3" w:rsidR="0090545C" w:rsidRPr="00701439" w:rsidRDefault="0090545C" w:rsidP="0090545C">
            <w:pPr>
              <w:pStyle w:val="NoSpacing"/>
              <w:jc w:val="both"/>
              <w:rPr>
                <w:b/>
                <w:sz w:val="20"/>
                <w:szCs w:val="20"/>
              </w:rPr>
            </w:pPr>
            <w:r w:rsidRPr="00701439">
              <w:rPr>
                <w:b/>
                <w:sz w:val="20"/>
                <w:szCs w:val="20"/>
              </w:rPr>
              <w:t>Net interest income</w:t>
            </w:r>
          </w:p>
        </w:tc>
        <w:tc>
          <w:tcPr>
            <w:tcW w:w="1181" w:type="dxa"/>
            <w:tcBorders>
              <w:top w:val="single" w:sz="4" w:space="0" w:color="auto"/>
              <w:left w:val="nil"/>
              <w:right w:val="nil"/>
            </w:tcBorders>
            <w:vAlign w:val="bottom"/>
          </w:tcPr>
          <w:p w14:paraId="3F14A68C" w14:textId="430E9A8E" w:rsidR="0090545C" w:rsidRPr="00701439" w:rsidRDefault="001927EF" w:rsidP="0090545C">
            <w:pPr>
              <w:pStyle w:val="NoSpacing"/>
              <w:jc w:val="center"/>
              <w:rPr>
                <w:b/>
                <w:sz w:val="20"/>
                <w:szCs w:val="20"/>
              </w:rPr>
            </w:pPr>
            <w:r w:rsidRPr="00701439">
              <w:rPr>
                <w:b/>
                <w:sz w:val="20"/>
                <w:szCs w:val="20"/>
              </w:rPr>
              <w:t>(6</w:t>
            </w:r>
            <w:r w:rsidR="0090545C" w:rsidRPr="00701439">
              <w:rPr>
                <w:b/>
                <w:sz w:val="20"/>
                <w:szCs w:val="20"/>
              </w:rPr>
              <w:t>.</w:t>
            </w:r>
            <w:r w:rsidRPr="00701439">
              <w:rPr>
                <w:b/>
                <w:sz w:val="20"/>
                <w:szCs w:val="20"/>
              </w:rPr>
              <w:t>2)</w:t>
            </w:r>
          </w:p>
        </w:tc>
        <w:tc>
          <w:tcPr>
            <w:tcW w:w="1181" w:type="dxa"/>
            <w:tcBorders>
              <w:top w:val="single" w:sz="4" w:space="0" w:color="auto"/>
              <w:left w:val="nil"/>
              <w:right w:val="nil"/>
            </w:tcBorders>
            <w:vAlign w:val="bottom"/>
          </w:tcPr>
          <w:p w14:paraId="16462181" w14:textId="14308DA8" w:rsidR="0090545C" w:rsidRPr="00701439" w:rsidRDefault="0090545C" w:rsidP="0090545C">
            <w:pPr>
              <w:pStyle w:val="NoSpacing"/>
              <w:jc w:val="center"/>
              <w:rPr>
                <w:b/>
                <w:sz w:val="20"/>
                <w:szCs w:val="20"/>
              </w:rPr>
            </w:pPr>
            <w:r w:rsidRPr="00701439">
              <w:rPr>
                <w:b/>
                <w:sz w:val="20"/>
                <w:szCs w:val="20"/>
              </w:rPr>
              <w:t>55.9</w:t>
            </w:r>
          </w:p>
        </w:tc>
        <w:tc>
          <w:tcPr>
            <w:tcW w:w="1182" w:type="dxa"/>
            <w:tcBorders>
              <w:top w:val="single" w:sz="4" w:space="0" w:color="auto"/>
              <w:left w:val="nil"/>
              <w:right w:val="nil"/>
            </w:tcBorders>
            <w:vAlign w:val="bottom"/>
          </w:tcPr>
          <w:p w14:paraId="1B8000C5" w14:textId="455F6053" w:rsidR="0090545C" w:rsidRPr="00701439" w:rsidRDefault="0090545C" w:rsidP="0090545C">
            <w:pPr>
              <w:pStyle w:val="NoSpacing"/>
              <w:jc w:val="center"/>
              <w:rPr>
                <w:b/>
                <w:i/>
                <w:sz w:val="20"/>
                <w:szCs w:val="20"/>
              </w:rPr>
            </w:pPr>
            <w:r w:rsidRPr="00701439">
              <w:rPr>
                <w:b/>
                <w:i/>
                <w:sz w:val="20"/>
                <w:szCs w:val="20"/>
              </w:rPr>
              <w:t>(</w:t>
            </w:r>
            <w:r w:rsidR="00835E10" w:rsidRPr="00701439">
              <w:rPr>
                <w:b/>
                <w:i/>
                <w:sz w:val="20"/>
                <w:szCs w:val="20"/>
              </w:rPr>
              <w:t>11</w:t>
            </w:r>
            <w:r w:rsidR="00EB46D4" w:rsidRPr="00701439">
              <w:rPr>
                <w:b/>
                <w:i/>
                <w:sz w:val="20"/>
                <w:szCs w:val="20"/>
              </w:rPr>
              <w:t>2.0%</w:t>
            </w:r>
            <w:r w:rsidRPr="00701439">
              <w:rPr>
                <w:b/>
                <w:i/>
                <w:sz w:val="20"/>
                <w:szCs w:val="20"/>
              </w:rPr>
              <w:t>)</w:t>
            </w:r>
          </w:p>
        </w:tc>
      </w:tr>
      <w:tr w:rsidR="0090545C" w:rsidRPr="00701439" w14:paraId="7C206C15" w14:textId="77777777" w:rsidTr="002F16F6">
        <w:tc>
          <w:tcPr>
            <w:tcW w:w="6123" w:type="dxa"/>
            <w:tcBorders>
              <w:top w:val="single" w:sz="4" w:space="0" w:color="auto"/>
              <w:left w:val="nil"/>
              <w:bottom w:val="nil"/>
              <w:right w:val="nil"/>
            </w:tcBorders>
            <w:vAlign w:val="bottom"/>
          </w:tcPr>
          <w:p w14:paraId="4AD893A3" w14:textId="662AE69C" w:rsidR="0090545C" w:rsidRPr="00701439" w:rsidRDefault="0090545C" w:rsidP="0090545C">
            <w:pPr>
              <w:pStyle w:val="NoSpacing"/>
              <w:jc w:val="both"/>
              <w:rPr>
                <w:b/>
                <w:sz w:val="20"/>
                <w:szCs w:val="20"/>
              </w:rPr>
            </w:pPr>
            <w:r w:rsidRPr="00701439">
              <w:rPr>
                <w:b/>
                <w:sz w:val="20"/>
                <w:szCs w:val="20"/>
              </w:rPr>
              <w:t>Total income</w:t>
            </w:r>
          </w:p>
        </w:tc>
        <w:tc>
          <w:tcPr>
            <w:tcW w:w="1181" w:type="dxa"/>
            <w:tcBorders>
              <w:top w:val="single" w:sz="4" w:space="0" w:color="auto"/>
              <w:left w:val="nil"/>
              <w:bottom w:val="nil"/>
              <w:right w:val="nil"/>
            </w:tcBorders>
            <w:vAlign w:val="bottom"/>
          </w:tcPr>
          <w:p w14:paraId="71A4B1DF" w14:textId="1DFAA349" w:rsidR="0090545C" w:rsidRPr="00701439" w:rsidRDefault="00D7263A" w:rsidP="0090545C">
            <w:pPr>
              <w:pStyle w:val="NoSpacing"/>
              <w:jc w:val="center"/>
              <w:rPr>
                <w:b/>
                <w:sz w:val="20"/>
                <w:szCs w:val="20"/>
              </w:rPr>
            </w:pPr>
            <w:r w:rsidRPr="00701439">
              <w:rPr>
                <w:b/>
                <w:sz w:val="20"/>
                <w:szCs w:val="20"/>
              </w:rPr>
              <w:t>(6.2)</w:t>
            </w:r>
          </w:p>
        </w:tc>
        <w:tc>
          <w:tcPr>
            <w:tcW w:w="1181" w:type="dxa"/>
            <w:tcBorders>
              <w:top w:val="single" w:sz="4" w:space="0" w:color="auto"/>
              <w:left w:val="nil"/>
              <w:bottom w:val="nil"/>
              <w:right w:val="nil"/>
            </w:tcBorders>
            <w:vAlign w:val="bottom"/>
          </w:tcPr>
          <w:p w14:paraId="5648BA29" w14:textId="4853C6F6" w:rsidR="0090545C" w:rsidRPr="00701439" w:rsidRDefault="0090545C" w:rsidP="0090545C">
            <w:pPr>
              <w:pStyle w:val="NoSpacing"/>
              <w:jc w:val="center"/>
              <w:rPr>
                <w:b/>
                <w:sz w:val="20"/>
                <w:szCs w:val="20"/>
              </w:rPr>
            </w:pPr>
            <w:r w:rsidRPr="00701439">
              <w:rPr>
                <w:b/>
                <w:sz w:val="20"/>
                <w:szCs w:val="20"/>
              </w:rPr>
              <w:t>55.9</w:t>
            </w:r>
          </w:p>
        </w:tc>
        <w:tc>
          <w:tcPr>
            <w:tcW w:w="1182" w:type="dxa"/>
            <w:tcBorders>
              <w:top w:val="single" w:sz="4" w:space="0" w:color="auto"/>
              <w:left w:val="nil"/>
              <w:bottom w:val="nil"/>
              <w:right w:val="nil"/>
            </w:tcBorders>
            <w:vAlign w:val="bottom"/>
          </w:tcPr>
          <w:p w14:paraId="3F1AA45D" w14:textId="44B0B4BF" w:rsidR="0090545C" w:rsidRPr="00701439" w:rsidRDefault="004C035B" w:rsidP="0090545C">
            <w:pPr>
              <w:pStyle w:val="NoSpacing"/>
              <w:jc w:val="center"/>
              <w:rPr>
                <w:b/>
                <w:i/>
                <w:sz w:val="20"/>
                <w:szCs w:val="20"/>
              </w:rPr>
            </w:pPr>
            <w:r w:rsidRPr="00701439">
              <w:rPr>
                <w:b/>
                <w:i/>
                <w:sz w:val="20"/>
                <w:szCs w:val="20"/>
              </w:rPr>
              <w:t>(112.0%)</w:t>
            </w:r>
          </w:p>
        </w:tc>
      </w:tr>
      <w:tr w:rsidR="00BD2405" w:rsidRPr="00701439" w14:paraId="25EB7453" w14:textId="77777777" w:rsidTr="002F16F6">
        <w:tc>
          <w:tcPr>
            <w:tcW w:w="6123" w:type="dxa"/>
            <w:tcBorders>
              <w:top w:val="nil"/>
              <w:left w:val="nil"/>
              <w:bottom w:val="single" w:sz="4" w:space="0" w:color="auto"/>
              <w:right w:val="nil"/>
            </w:tcBorders>
            <w:vAlign w:val="bottom"/>
            <w:hideMark/>
          </w:tcPr>
          <w:p w14:paraId="596BBDDA" w14:textId="05111A35" w:rsidR="00BD2405" w:rsidRPr="00701439" w:rsidRDefault="00BD2405" w:rsidP="00BD2405">
            <w:pPr>
              <w:pStyle w:val="NoSpacing"/>
              <w:jc w:val="both"/>
              <w:rPr>
                <w:sz w:val="20"/>
                <w:szCs w:val="20"/>
              </w:rPr>
            </w:pPr>
            <w:r w:rsidRPr="00701439">
              <w:rPr>
                <w:sz w:val="20"/>
                <w:szCs w:val="20"/>
              </w:rPr>
              <w:t>Impairment charges</w:t>
            </w:r>
          </w:p>
        </w:tc>
        <w:tc>
          <w:tcPr>
            <w:tcW w:w="1181" w:type="dxa"/>
            <w:tcBorders>
              <w:top w:val="nil"/>
              <w:left w:val="nil"/>
              <w:bottom w:val="single" w:sz="4" w:space="0" w:color="auto"/>
              <w:right w:val="nil"/>
            </w:tcBorders>
            <w:vAlign w:val="bottom"/>
          </w:tcPr>
          <w:p w14:paraId="155F31EF" w14:textId="7A8BC7B8" w:rsidR="00BD2405" w:rsidRPr="00701439" w:rsidRDefault="00BD2405" w:rsidP="00BD2405">
            <w:pPr>
              <w:pStyle w:val="NoSpacing"/>
              <w:jc w:val="center"/>
              <w:rPr>
                <w:rFonts w:cs="Arial"/>
                <w:sz w:val="20"/>
                <w:szCs w:val="20"/>
              </w:rPr>
            </w:pPr>
            <w:r w:rsidRPr="00701439">
              <w:rPr>
                <w:sz w:val="20"/>
                <w:szCs w:val="20"/>
              </w:rPr>
              <w:t>-</w:t>
            </w:r>
          </w:p>
        </w:tc>
        <w:tc>
          <w:tcPr>
            <w:tcW w:w="1181" w:type="dxa"/>
            <w:tcBorders>
              <w:top w:val="nil"/>
              <w:left w:val="nil"/>
              <w:bottom w:val="single" w:sz="4" w:space="0" w:color="auto"/>
              <w:right w:val="nil"/>
            </w:tcBorders>
            <w:vAlign w:val="bottom"/>
          </w:tcPr>
          <w:p w14:paraId="000B5A38" w14:textId="25B7219A" w:rsidR="00BD2405" w:rsidRPr="00701439" w:rsidRDefault="00BD2405" w:rsidP="00BD2405">
            <w:pPr>
              <w:pStyle w:val="NoSpacing"/>
              <w:jc w:val="center"/>
              <w:rPr>
                <w:rFonts w:cs="Arial"/>
                <w:sz w:val="20"/>
                <w:szCs w:val="20"/>
              </w:rPr>
            </w:pPr>
            <w:r w:rsidRPr="00701439">
              <w:rPr>
                <w:rFonts w:cs="Arial"/>
                <w:sz w:val="20"/>
                <w:szCs w:val="20"/>
              </w:rPr>
              <w:t>(59.6)</w:t>
            </w:r>
          </w:p>
        </w:tc>
        <w:tc>
          <w:tcPr>
            <w:tcW w:w="1182" w:type="dxa"/>
            <w:tcBorders>
              <w:top w:val="nil"/>
              <w:left w:val="nil"/>
              <w:bottom w:val="single" w:sz="4" w:space="0" w:color="auto"/>
              <w:right w:val="nil"/>
            </w:tcBorders>
            <w:vAlign w:val="bottom"/>
          </w:tcPr>
          <w:p w14:paraId="4E90D941" w14:textId="5F49EC2A" w:rsidR="00BD2405" w:rsidRPr="00701439" w:rsidRDefault="00BD2405" w:rsidP="00BD2405">
            <w:pPr>
              <w:pStyle w:val="NoSpacing"/>
              <w:jc w:val="center"/>
              <w:rPr>
                <w:i/>
                <w:sz w:val="20"/>
                <w:szCs w:val="20"/>
              </w:rPr>
            </w:pPr>
            <w:r w:rsidRPr="00701439">
              <w:rPr>
                <w:i/>
                <w:sz w:val="20"/>
                <w:szCs w:val="20"/>
              </w:rPr>
              <w:t>(</w:t>
            </w:r>
            <w:r w:rsidR="00F87260" w:rsidRPr="00701439">
              <w:rPr>
                <w:i/>
                <w:sz w:val="20"/>
                <w:szCs w:val="20"/>
              </w:rPr>
              <w:t>100.0%</w:t>
            </w:r>
            <w:r w:rsidRPr="00701439">
              <w:rPr>
                <w:i/>
                <w:sz w:val="20"/>
                <w:szCs w:val="20"/>
              </w:rPr>
              <w:t>)</w:t>
            </w:r>
          </w:p>
        </w:tc>
      </w:tr>
      <w:tr w:rsidR="00BD2405" w:rsidRPr="00701439" w14:paraId="6F171ABA" w14:textId="77777777" w:rsidTr="002F16F6">
        <w:tc>
          <w:tcPr>
            <w:tcW w:w="6123" w:type="dxa"/>
            <w:tcBorders>
              <w:top w:val="single" w:sz="4" w:space="0" w:color="auto"/>
              <w:left w:val="nil"/>
              <w:bottom w:val="nil"/>
              <w:right w:val="nil"/>
            </w:tcBorders>
            <w:vAlign w:val="bottom"/>
            <w:hideMark/>
          </w:tcPr>
          <w:p w14:paraId="54DA4FDF" w14:textId="7D90D3EE" w:rsidR="00BD2405" w:rsidRPr="00701439" w:rsidRDefault="00BD2405" w:rsidP="00BD2405">
            <w:pPr>
              <w:pStyle w:val="NoSpacing"/>
              <w:jc w:val="both"/>
              <w:rPr>
                <w:b/>
                <w:sz w:val="20"/>
                <w:szCs w:val="20"/>
              </w:rPr>
            </w:pPr>
            <w:r w:rsidRPr="00701439">
              <w:rPr>
                <w:b/>
                <w:sz w:val="20"/>
                <w:szCs w:val="20"/>
              </w:rPr>
              <w:t xml:space="preserve">Risk-adjusted income </w:t>
            </w:r>
          </w:p>
        </w:tc>
        <w:tc>
          <w:tcPr>
            <w:tcW w:w="1181" w:type="dxa"/>
            <w:tcBorders>
              <w:top w:val="single" w:sz="4" w:space="0" w:color="auto"/>
              <w:left w:val="nil"/>
              <w:bottom w:val="nil"/>
              <w:right w:val="nil"/>
            </w:tcBorders>
            <w:vAlign w:val="bottom"/>
          </w:tcPr>
          <w:p w14:paraId="5636EEEF" w14:textId="76F6AAD8" w:rsidR="00BD2405" w:rsidRPr="00701439" w:rsidRDefault="00BD2405" w:rsidP="00BD2405">
            <w:pPr>
              <w:pStyle w:val="NoSpacing"/>
              <w:jc w:val="center"/>
              <w:rPr>
                <w:rFonts w:cs="Arial"/>
                <w:b/>
                <w:sz w:val="20"/>
                <w:szCs w:val="20"/>
              </w:rPr>
            </w:pPr>
            <w:r w:rsidRPr="00701439">
              <w:rPr>
                <w:rFonts w:cs="Arial"/>
                <w:b/>
                <w:sz w:val="20"/>
                <w:szCs w:val="20"/>
              </w:rPr>
              <w:t>(6.2)</w:t>
            </w:r>
          </w:p>
        </w:tc>
        <w:tc>
          <w:tcPr>
            <w:tcW w:w="1181" w:type="dxa"/>
            <w:tcBorders>
              <w:top w:val="single" w:sz="4" w:space="0" w:color="auto"/>
              <w:left w:val="nil"/>
              <w:bottom w:val="nil"/>
              <w:right w:val="nil"/>
            </w:tcBorders>
            <w:vAlign w:val="bottom"/>
          </w:tcPr>
          <w:p w14:paraId="14792743" w14:textId="381F3A23" w:rsidR="00BD2405" w:rsidRPr="00701439" w:rsidRDefault="00BD2405" w:rsidP="00BD2405">
            <w:pPr>
              <w:pStyle w:val="NoSpacing"/>
              <w:jc w:val="center"/>
              <w:rPr>
                <w:rFonts w:cs="Arial"/>
                <w:b/>
                <w:sz w:val="20"/>
                <w:szCs w:val="20"/>
              </w:rPr>
            </w:pPr>
            <w:r w:rsidRPr="00701439">
              <w:rPr>
                <w:rFonts w:cs="Arial"/>
                <w:b/>
                <w:sz w:val="20"/>
                <w:szCs w:val="20"/>
              </w:rPr>
              <w:t>(3.7)</w:t>
            </w:r>
          </w:p>
        </w:tc>
        <w:tc>
          <w:tcPr>
            <w:tcW w:w="1182" w:type="dxa"/>
            <w:tcBorders>
              <w:top w:val="single" w:sz="4" w:space="0" w:color="auto"/>
              <w:left w:val="nil"/>
              <w:bottom w:val="nil"/>
              <w:right w:val="nil"/>
            </w:tcBorders>
            <w:vAlign w:val="bottom"/>
          </w:tcPr>
          <w:p w14:paraId="06E3E00E" w14:textId="7FD80A1A" w:rsidR="00BD2405" w:rsidRPr="00701439" w:rsidRDefault="00B35C33" w:rsidP="00BD2405">
            <w:pPr>
              <w:pStyle w:val="NoSpacing"/>
              <w:jc w:val="center"/>
              <w:rPr>
                <w:b/>
                <w:i/>
                <w:sz w:val="20"/>
                <w:szCs w:val="20"/>
              </w:rPr>
            </w:pPr>
            <w:r w:rsidRPr="00701439">
              <w:rPr>
                <w:b/>
                <w:i/>
                <w:sz w:val="20"/>
                <w:szCs w:val="20"/>
              </w:rPr>
              <w:t>67.6%</w:t>
            </w:r>
          </w:p>
        </w:tc>
      </w:tr>
      <w:tr w:rsidR="00BD2405" w:rsidRPr="00701439" w14:paraId="4557C296" w14:textId="77777777" w:rsidTr="002F16F6">
        <w:tc>
          <w:tcPr>
            <w:tcW w:w="6123" w:type="dxa"/>
            <w:tcBorders>
              <w:top w:val="nil"/>
              <w:left w:val="nil"/>
              <w:bottom w:val="single" w:sz="4" w:space="0" w:color="auto"/>
              <w:right w:val="nil"/>
            </w:tcBorders>
            <w:vAlign w:val="bottom"/>
            <w:hideMark/>
          </w:tcPr>
          <w:p w14:paraId="646940C3" w14:textId="2106211D" w:rsidR="00BD2405" w:rsidRPr="00701439" w:rsidRDefault="00BD2405" w:rsidP="00BD2405">
            <w:pPr>
              <w:pStyle w:val="NoSpacing"/>
              <w:jc w:val="both"/>
              <w:rPr>
                <w:sz w:val="20"/>
                <w:szCs w:val="20"/>
              </w:rPr>
            </w:pPr>
            <w:r w:rsidRPr="00701439">
              <w:rPr>
                <w:sz w:val="20"/>
                <w:szCs w:val="20"/>
              </w:rPr>
              <w:t>Operating costs</w:t>
            </w:r>
          </w:p>
        </w:tc>
        <w:tc>
          <w:tcPr>
            <w:tcW w:w="1181" w:type="dxa"/>
            <w:tcBorders>
              <w:top w:val="nil"/>
              <w:left w:val="nil"/>
              <w:bottom w:val="single" w:sz="4" w:space="0" w:color="auto"/>
              <w:right w:val="nil"/>
            </w:tcBorders>
            <w:vAlign w:val="bottom"/>
          </w:tcPr>
          <w:p w14:paraId="34E667F6" w14:textId="3058657A" w:rsidR="00BD2405" w:rsidRPr="00701439" w:rsidRDefault="00BD2405" w:rsidP="00BD2405">
            <w:pPr>
              <w:pStyle w:val="NoSpacing"/>
              <w:jc w:val="center"/>
              <w:rPr>
                <w:rFonts w:cs="Arial"/>
                <w:sz w:val="20"/>
                <w:szCs w:val="20"/>
              </w:rPr>
            </w:pPr>
            <w:r w:rsidRPr="00701439">
              <w:rPr>
                <w:rFonts w:cs="Arial"/>
                <w:sz w:val="20"/>
                <w:szCs w:val="20"/>
              </w:rPr>
              <w:t>(9.1)</w:t>
            </w:r>
          </w:p>
        </w:tc>
        <w:tc>
          <w:tcPr>
            <w:tcW w:w="1181" w:type="dxa"/>
            <w:tcBorders>
              <w:top w:val="nil"/>
              <w:left w:val="nil"/>
              <w:bottom w:val="single" w:sz="4" w:space="0" w:color="auto"/>
              <w:right w:val="nil"/>
            </w:tcBorders>
            <w:vAlign w:val="bottom"/>
          </w:tcPr>
          <w:p w14:paraId="062F0A28" w14:textId="03312B8F" w:rsidR="00BD2405" w:rsidRPr="00701439" w:rsidRDefault="00BD2405" w:rsidP="00BD2405">
            <w:pPr>
              <w:pStyle w:val="NoSpacing"/>
              <w:jc w:val="center"/>
              <w:rPr>
                <w:rFonts w:cs="Arial"/>
                <w:sz w:val="20"/>
                <w:szCs w:val="20"/>
              </w:rPr>
            </w:pPr>
            <w:r w:rsidRPr="00701439">
              <w:rPr>
                <w:rFonts w:cs="Arial"/>
                <w:sz w:val="20"/>
                <w:szCs w:val="20"/>
              </w:rPr>
              <w:t>(91.8)</w:t>
            </w:r>
          </w:p>
        </w:tc>
        <w:tc>
          <w:tcPr>
            <w:tcW w:w="1182" w:type="dxa"/>
            <w:tcBorders>
              <w:top w:val="nil"/>
              <w:left w:val="nil"/>
              <w:bottom w:val="single" w:sz="4" w:space="0" w:color="auto"/>
              <w:right w:val="nil"/>
            </w:tcBorders>
            <w:vAlign w:val="bottom"/>
          </w:tcPr>
          <w:p w14:paraId="55A56670" w14:textId="76F6A9D6" w:rsidR="00BD2405" w:rsidRPr="00701439" w:rsidRDefault="007F6FC7" w:rsidP="00BD2405">
            <w:pPr>
              <w:pStyle w:val="NoSpacing"/>
              <w:jc w:val="center"/>
              <w:rPr>
                <w:i/>
                <w:sz w:val="20"/>
                <w:szCs w:val="20"/>
              </w:rPr>
            </w:pPr>
            <w:r w:rsidRPr="00701439">
              <w:rPr>
                <w:i/>
                <w:sz w:val="20"/>
                <w:szCs w:val="20"/>
              </w:rPr>
              <w:t>(90</w:t>
            </w:r>
            <w:r w:rsidR="00BD2405" w:rsidRPr="00701439">
              <w:rPr>
                <w:i/>
                <w:sz w:val="20"/>
                <w:szCs w:val="20"/>
              </w:rPr>
              <w:t>.</w:t>
            </w:r>
            <w:r w:rsidRPr="00701439">
              <w:rPr>
                <w:i/>
                <w:sz w:val="20"/>
                <w:szCs w:val="20"/>
              </w:rPr>
              <w:t>1</w:t>
            </w:r>
            <w:r w:rsidR="00BD2405" w:rsidRPr="00701439">
              <w:rPr>
                <w:i/>
                <w:sz w:val="20"/>
                <w:szCs w:val="20"/>
              </w:rPr>
              <w:t>%</w:t>
            </w:r>
            <w:r w:rsidRPr="00701439">
              <w:rPr>
                <w:i/>
                <w:sz w:val="20"/>
                <w:szCs w:val="20"/>
              </w:rPr>
              <w:t>)</w:t>
            </w:r>
          </w:p>
        </w:tc>
      </w:tr>
      <w:tr w:rsidR="00BD2405" w:rsidRPr="00701439" w14:paraId="60348270" w14:textId="77777777" w:rsidTr="002F16F6">
        <w:tc>
          <w:tcPr>
            <w:tcW w:w="6123" w:type="dxa"/>
            <w:tcBorders>
              <w:top w:val="single" w:sz="4" w:space="0" w:color="auto"/>
              <w:left w:val="nil"/>
              <w:bottom w:val="nil"/>
              <w:right w:val="nil"/>
            </w:tcBorders>
            <w:vAlign w:val="bottom"/>
            <w:hideMark/>
          </w:tcPr>
          <w:p w14:paraId="52D0BD8C" w14:textId="502ED92F" w:rsidR="00BD2405" w:rsidRPr="00701439" w:rsidRDefault="00BD2405" w:rsidP="00BD2405">
            <w:pPr>
              <w:pStyle w:val="NoSpacing"/>
              <w:jc w:val="both"/>
              <w:rPr>
                <w:b/>
                <w:sz w:val="20"/>
                <w:szCs w:val="20"/>
              </w:rPr>
            </w:pPr>
            <w:r w:rsidRPr="00701439">
              <w:rPr>
                <w:b/>
                <w:sz w:val="20"/>
                <w:szCs w:val="20"/>
              </w:rPr>
              <w:t>Adjusted loss before tax</w:t>
            </w:r>
            <w:r w:rsidR="00F07A7C" w:rsidRPr="00701439">
              <w:rPr>
                <w:b/>
                <w:sz w:val="20"/>
                <w:szCs w:val="20"/>
                <w:vertAlign w:val="superscript"/>
              </w:rPr>
              <w:t>1</w:t>
            </w:r>
          </w:p>
        </w:tc>
        <w:tc>
          <w:tcPr>
            <w:tcW w:w="1181" w:type="dxa"/>
            <w:tcBorders>
              <w:top w:val="single" w:sz="4" w:space="0" w:color="auto"/>
              <w:left w:val="nil"/>
              <w:bottom w:val="nil"/>
              <w:right w:val="nil"/>
            </w:tcBorders>
            <w:vAlign w:val="bottom"/>
          </w:tcPr>
          <w:p w14:paraId="2D048185" w14:textId="69C530AE" w:rsidR="00BD2405" w:rsidRPr="00701439" w:rsidRDefault="00BD2405" w:rsidP="00BD2405">
            <w:pPr>
              <w:pStyle w:val="NoSpacing"/>
              <w:jc w:val="center"/>
              <w:rPr>
                <w:rFonts w:cs="Arial"/>
                <w:b/>
                <w:sz w:val="20"/>
                <w:szCs w:val="20"/>
              </w:rPr>
            </w:pPr>
            <w:r w:rsidRPr="00701439">
              <w:rPr>
                <w:rFonts w:cs="Arial"/>
                <w:b/>
                <w:sz w:val="20"/>
                <w:szCs w:val="20"/>
              </w:rPr>
              <w:t>(15.3)</w:t>
            </w:r>
          </w:p>
        </w:tc>
        <w:tc>
          <w:tcPr>
            <w:tcW w:w="1181" w:type="dxa"/>
            <w:tcBorders>
              <w:top w:val="single" w:sz="4" w:space="0" w:color="auto"/>
              <w:left w:val="nil"/>
              <w:bottom w:val="nil"/>
              <w:right w:val="nil"/>
            </w:tcBorders>
            <w:vAlign w:val="bottom"/>
          </w:tcPr>
          <w:p w14:paraId="20E9A71B" w14:textId="1060AE25" w:rsidR="00BD2405" w:rsidRPr="00701439" w:rsidRDefault="00BD2405" w:rsidP="00BD2405">
            <w:pPr>
              <w:pStyle w:val="NoSpacing"/>
              <w:jc w:val="center"/>
              <w:rPr>
                <w:rFonts w:cs="Arial"/>
                <w:b/>
                <w:sz w:val="20"/>
                <w:szCs w:val="20"/>
              </w:rPr>
            </w:pPr>
            <w:r w:rsidRPr="00701439">
              <w:rPr>
                <w:rFonts w:cs="Arial"/>
                <w:b/>
                <w:sz w:val="20"/>
                <w:szCs w:val="20"/>
              </w:rPr>
              <w:t>(95.5)</w:t>
            </w:r>
          </w:p>
        </w:tc>
        <w:tc>
          <w:tcPr>
            <w:tcW w:w="1182" w:type="dxa"/>
            <w:tcBorders>
              <w:top w:val="single" w:sz="4" w:space="0" w:color="auto"/>
              <w:left w:val="nil"/>
              <w:bottom w:val="nil"/>
              <w:right w:val="nil"/>
            </w:tcBorders>
            <w:vAlign w:val="bottom"/>
          </w:tcPr>
          <w:p w14:paraId="3EBC7DD7" w14:textId="39FE7797" w:rsidR="00BD2405" w:rsidRPr="00701439" w:rsidRDefault="00BD2405" w:rsidP="00BD2405">
            <w:pPr>
              <w:jc w:val="center"/>
              <w:rPr>
                <w:rFonts w:asciiTheme="minorHAnsi" w:hAnsiTheme="minorHAnsi" w:cs="Arial"/>
                <w:i/>
                <w:iCs/>
                <w:sz w:val="20"/>
                <w:szCs w:val="20"/>
              </w:rPr>
            </w:pPr>
            <w:r w:rsidRPr="00701439">
              <w:rPr>
                <w:rFonts w:asciiTheme="minorHAnsi" w:hAnsiTheme="minorHAnsi" w:cs="Arial"/>
                <w:i/>
                <w:iCs/>
                <w:sz w:val="20"/>
                <w:szCs w:val="20"/>
              </w:rPr>
              <w:t>(</w:t>
            </w:r>
            <w:r w:rsidR="004467C2" w:rsidRPr="00701439">
              <w:rPr>
                <w:rFonts w:asciiTheme="minorHAnsi" w:hAnsiTheme="minorHAnsi" w:cs="Arial"/>
                <w:i/>
                <w:iCs/>
                <w:sz w:val="20"/>
                <w:szCs w:val="20"/>
              </w:rPr>
              <w:t>83.</w:t>
            </w:r>
            <w:r w:rsidR="0041630C" w:rsidRPr="00701439">
              <w:rPr>
                <w:rFonts w:asciiTheme="minorHAnsi" w:hAnsiTheme="minorHAnsi" w:cs="Arial"/>
                <w:i/>
                <w:iCs/>
                <w:sz w:val="20"/>
                <w:szCs w:val="20"/>
              </w:rPr>
              <w:t>9</w:t>
            </w:r>
            <w:r w:rsidRPr="00701439">
              <w:rPr>
                <w:rFonts w:asciiTheme="minorHAnsi" w:hAnsiTheme="minorHAnsi" w:cs="Arial"/>
                <w:i/>
                <w:iCs/>
                <w:sz w:val="20"/>
                <w:szCs w:val="20"/>
              </w:rPr>
              <w:t>%)</w:t>
            </w:r>
          </w:p>
        </w:tc>
      </w:tr>
    </w:tbl>
    <w:p w14:paraId="5875C7A7" w14:textId="77777777" w:rsidR="004F6A24" w:rsidRPr="00701439" w:rsidRDefault="004F6A24" w:rsidP="00E534C5">
      <w:pPr>
        <w:pStyle w:val="NoSpacing"/>
        <w:ind w:left="284" w:hanging="284"/>
        <w:jc w:val="both"/>
        <w:rPr>
          <w:i/>
          <w:sz w:val="20"/>
          <w:szCs w:val="20"/>
          <w:vertAlign w:val="superscript"/>
        </w:rPr>
      </w:pPr>
    </w:p>
    <w:p w14:paraId="14E804DB" w14:textId="6E0782BA" w:rsidR="00F01EC8" w:rsidRPr="00701439" w:rsidRDefault="00F07A7C" w:rsidP="00E534C5">
      <w:pPr>
        <w:pStyle w:val="NoSpacing"/>
        <w:ind w:left="284" w:hanging="284"/>
        <w:jc w:val="both"/>
        <w:rPr>
          <w:i/>
          <w:sz w:val="20"/>
          <w:szCs w:val="20"/>
          <w:vertAlign w:val="superscript"/>
        </w:rPr>
      </w:pPr>
      <w:r w:rsidRPr="00701439">
        <w:rPr>
          <w:i/>
          <w:sz w:val="20"/>
          <w:szCs w:val="20"/>
          <w:vertAlign w:val="superscript"/>
        </w:rPr>
        <w:t>1</w:t>
      </w:r>
      <w:r w:rsidR="000235C3" w:rsidRPr="00701439">
        <w:rPr>
          <w:i/>
          <w:sz w:val="20"/>
          <w:szCs w:val="20"/>
          <w:vertAlign w:val="superscript"/>
        </w:rPr>
        <w:tab/>
      </w:r>
      <w:r w:rsidR="006F0715" w:rsidRPr="00701439">
        <w:rPr>
          <w:i/>
          <w:sz w:val="20"/>
          <w:szCs w:val="20"/>
        </w:rPr>
        <w:t>Adjusted loss before tax is stated before</w:t>
      </w:r>
      <w:r w:rsidR="006C508A" w:rsidRPr="00701439">
        <w:rPr>
          <w:i/>
          <w:sz w:val="20"/>
          <w:szCs w:val="20"/>
        </w:rPr>
        <w:t xml:space="preserve"> an</w:t>
      </w:r>
      <w:r w:rsidR="006F0715" w:rsidRPr="00701439">
        <w:rPr>
          <w:i/>
          <w:sz w:val="20"/>
          <w:szCs w:val="20"/>
        </w:rPr>
        <w:t xml:space="preserve"> exceptional </w:t>
      </w:r>
      <w:r w:rsidR="007F401F" w:rsidRPr="00701439">
        <w:rPr>
          <w:i/>
          <w:sz w:val="20"/>
          <w:szCs w:val="20"/>
        </w:rPr>
        <w:t>credit</w:t>
      </w:r>
      <w:r w:rsidR="006F0715" w:rsidRPr="00701439">
        <w:rPr>
          <w:i/>
          <w:sz w:val="20"/>
          <w:szCs w:val="20"/>
        </w:rPr>
        <w:t xml:space="preserve"> of</w:t>
      </w:r>
      <w:r w:rsidR="00D31CBE" w:rsidRPr="00701439">
        <w:rPr>
          <w:i/>
          <w:sz w:val="20"/>
          <w:szCs w:val="20"/>
        </w:rPr>
        <w:t xml:space="preserve"> </w:t>
      </w:r>
      <w:r w:rsidR="001B1B60" w:rsidRPr="00701439">
        <w:rPr>
          <w:i/>
          <w:sz w:val="20"/>
          <w:szCs w:val="20"/>
        </w:rPr>
        <w:t>£</w:t>
      </w:r>
      <w:r w:rsidR="00D164AC" w:rsidRPr="00701439">
        <w:rPr>
          <w:i/>
          <w:sz w:val="20"/>
          <w:szCs w:val="20"/>
        </w:rPr>
        <w:t>4.6</w:t>
      </w:r>
      <w:r w:rsidR="001B1B60" w:rsidRPr="00701439">
        <w:rPr>
          <w:i/>
          <w:sz w:val="20"/>
          <w:szCs w:val="20"/>
        </w:rPr>
        <w:t>m (FY’2</w:t>
      </w:r>
      <w:r w:rsidR="004016B8" w:rsidRPr="00701439">
        <w:rPr>
          <w:i/>
          <w:sz w:val="20"/>
          <w:szCs w:val="20"/>
        </w:rPr>
        <w:t>1</w:t>
      </w:r>
      <w:r w:rsidR="001B1B60" w:rsidRPr="00701439">
        <w:rPr>
          <w:i/>
          <w:sz w:val="20"/>
          <w:szCs w:val="20"/>
        </w:rPr>
        <w:t xml:space="preserve">: </w:t>
      </w:r>
      <w:r w:rsidR="00D164AC" w:rsidRPr="00701439">
        <w:rPr>
          <w:i/>
          <w:sz w:val="20"/>
          <w:szCs w:val="20"/>
        </w:rPr>
        <w:t xml:space="preserve">Exceptional costs: </w:t>
      </w:r>
      <w:r w:rsidR="001B1B60" w:rsidRPr="00701439">
        <w:rPr>
          <w:i/>
          <w:sz w:val="20"/>
          <w:szCs w:val="20"/>
        </w:rPr>
        <w:t>£</w:t>
      </w:r>
      <w:r w:rsidR="00150D9C" w:rsidRPr="00701439">
        <w:rPr>
          <w:i/>
          <w:sz w:val="20"/>
          <w:szCs w:val="20"/>
        </w:rPr>
        <w:t>42.6</w:t>
      </w:r>
      <w:r w:rsidR="001B1B60" w:rsidRPr="00701439">
        <w:rPr>
          <w:i/>
          <w:sz w:val="20"/>
          <w:szCs w:val="20"/>
        </w:rPr>
        <w:t xml:space="preserve">m) </w:t>
      </w:r>
    </w:p>
    <w:p w14:paraId="0033C16F" w14:textId="77777777" w:rsidR="00F01EC8" w:rsidRPr="00701439" w:rsidRDefault="00F01EC8" w:rsidP="00E534C5">
      <w:pPr>
        <w:pStyle w:val="NoSpacing"/>
        <w:jc w:val="both"/>
        <w:rPr>
          <w:sz w:val="20"/>
          <w:szCs w:val="20"/>
        </w:rPr>
      </w:pPr>
    </w:p>
    <w:p w14:paraId="5D8E4726" w14:textId="56EB99E6" w:rsidR="0083631C" w:rsidRPr="00701439" w:rsidRDefault="008F1F13" w:rsidP="00E534C5">
      <w:pPr>
        <w:pStyle w:val="NoSpacing"/>
        <w:jc w:val="both"/>
        <w:rPr>
          <w:sz w:val="20"/>
          <w:szCs w:val="20"/>
        </w:rPr>
      </w:pPr>
      <w:bookmarkStart w:id="13" w:name="_Hlk96934329"/>
      <w:r w:rsidRPr="00701439">
        <w:rPr>
          <w:sz w:val="20"/>
          <w:szCs w:val="20"/>
        </w:rPr>
        <w:t>The Consumer Credit Division (‘CCD’) comprise</w:t>
      </w:r>
      <w:r w:rsidR="008B1EB5" w:rsidRPr="00701439">
        <w:rPr>
          <w:sz w:val="20"/>
          <w:szCs w:val="20"/>
        </w:rPr>
        <w:t>d</w:t>
      </w:r>
      <w:r w:rsidRPr="00701439">
        <w:rPr>
          <w:sz w:val="20"/>
          <w:szCs w:val="20"/>
        </w:rPr>
        <w:t xml:space="preserve"> Provident home credit and Satsuma</w:t>
      </w:r>
      <w:r w:rsidR="009849ED" w:rsidRPr="00701439">
        <w:rPr>
          <w:sz w:val="20"/>
          <w:szCs w:val="20"/>
        </w:rPr>
        <w:t xml:space="preserve"> loans</w:t>
      </w:r>
      <w:r w:rsidRPr="00701439">
        <w:rPr>
          <w:sz w:val="20"/>
          <w:szCs w:val="20"/>
        </w:rPr>
        <w:t xml:space="preserve">. </w:t>
      </w:r>
      <w:r w:rsidR="0083631C" w:rsidRPr="00701439">
        <w:rPr>
          <w:sz w:val="20"/>
          <w:szCs w:val="20"/>
        </w:rPr>
        <w:t>The Group announced in 2021 that it had decided to place the division into a managed run-off</w:t>
      </w:r>
      <w:r w:rsidR="00F4094E" w:rsidRPr="00701439">
        <w:rPr>
          <w:sz w:val="20"/>
          <w:szCs w:val="20"/>
        </w:rPr>
        <w:t>, as the business faced a mounting number of operational and regulatory headwinds. The business was closed as at the end of December 2021.</w:t>
      </w:r>
    </w:p>
    <w:p w14:paraId="2E9B5074" w14:textId="77777777" w:rsidR="0083631C" w:rsidRPr="00701439" w:rsidRDefault="0083631C" w:rsidP="00E534C5">
      <w:pPr>
        <w:pStyle w:val="NoSpacing"/>
        <w:jc w:val="both"/>
        <w:rPr>
          <w:sz w:val="20"/>
          <w:szCs w:val="20"/>
        </w:rPr>
      </w:pPr>
    </w:p>
    <w:p w14:paraId="60B78EDF" w14:textId="1A34DE49" w:rsidR="008F1F13" w:rsidRPr="00701439" w:rsidRDefault="008F1F13" w:rsidP="00E534C5">
      <w:pPr>
        <w:pStyle w:val="NoSpacing"/>
        <w:jc w:val="both"/>
        <w:rPr>
          <w:sz w:val="20"/>
          <w:szCs w:val="20"/>
        </w:rPr>
      </w:pPr>
      <w:r w:rsidRPr="00701439">
        <w:rPr>
          <w:sz w:val="20"/>
          <w:szCs w:val="20"/>
        </w:rPr>
        <w:t xml:space="preserve">For </w:t>
      </w:r>
      <w:r w:rsidR="0003385A" w:rsidRPr="00701439">
        <w:rPr>
          <w:sz w:val="20"/>
          <w:szCs w:val="20"/>
        </w:rPr>
        <w:t>FY’22</w:t>
      </w:r>
      <w:r w:rsidRPr="00701439">
        <w:rPr>
          <w:sz w:val="20"/>
          <w:szCs w:val="20"/>
        </w:rPr>
        <w:t xml:space="preserve">, CCD reported an adjusted loss before tax of </w:t>
      </w:r>
      <w:r w:rsidR="00F4094E" w:rsidRPr="00701439">
        <w:rPr>
          <w:sz w:val="20"/>
          <w:szCs w:val="20"/>
        </w:rPr>
        <w:t>£</w:t>
      </w:r>
      <w:r w:rsidR="009264D2" w:rsidRPr="00701439">
        <w:rPr>
          <w:sz w:val="20"/>
          <w:szCs w:val="20"/>
        </w:rPr>
        <w:t>15</w:t>
      </w:r>
      <w:r w:rsidR="00F4094E" w:rsidRPr="00701439">
        <w:rPr>
          <w:sz w:val="20"/>
          <w:szCs w:val="20"/>
        </w:rPr>
        <w:t>.</w:t>
      </w:r>
      <w:r w:rsidR="009264D2" w:rsidRPr="00701439">
        <w:rPr>
          <w:sz w:val="20"/>
          <w:szCs w:val="20"/>
        </w:rPr>
        <w:t>3</w:t>
      </w:r>
      <w:r w:rsidR="00F4094E" w:rsidRPr="00701439">
        <w:rPr>
          <w:sz w:val="20"/>
          <w:szCs w:val="20"/>
        </w:rPr>
        <w:t>m, versus a</w:t>
      </w:r>
      <w:r w:rsidR="00B066AB" w:rsidRPr="00701439">
        <w:rPr>
          <w:sz w:val="20"/>
          <w:szCs w:val="20"/>
        </w:rPr>
        <w:t xml:space="preserve">n adjusted </w:t>
      </w:r>
      <w:r w:rsidR="00F4094E" w:rsidRPr="00701439">
        <w:rPr>
          <w:sz w:val="20"/>
          <w:szCs w:val="20"/>
        </w:rPr>
        <w:t xml:space="preserve">loss before tax of </w:t>
      </w:r>
      <w:r w:rsidRPr="00701439">
        <w:rPr>
          <w:sz w:val="20"/>
          <w:szCs w:val="20"/>
        </w:rPr>
        <w:t>£</w:t>
      </w:r>
      <w:r w:rsidR="004A743C" w:rsidRPr="00701439">
        <w:rPr>
          <w:sz w:val="20"/>
          <w:szCs w:val="20"/>
        </w:rPr>
        <w:t>95.5</w:t>
      </w:r>
      <w:r w:rsidRPr="00701439">
        <w:rPr>
          <w:sz w:val="20"/>
          <w:szCs w:val="20"/>
        </w:rPr>
        <w:t>m</w:t>
      </w:r>
      <w:r w:rsidR="00F4094E" w:rsidRPr="00701439">
        <w:rPr>
          <w:sz w:val="20"/>
          <w:szCs w:val="20"/>
        </w:rPr>
        <w:t xml:space="preserve"> in 202</w:t>
      </w:r>
      <w:r w:rsidR="004A743C" w:rsidRPr="00701439">
        <w:rPr>
          <w:sz w:val="20"/>
          <w:szCs w:val="20"/>
        </w:rPr>
        <w:t>1</w:t>
      </w:r>
      <w:r w:rsidRPr="00701439">
        <w:rPr>
          <w:sz w:val="20"/>
          <w:szCs w:val="20"/>
        </w:rPr>
        <w:t xml:space="preserve">. The </w:t>
      </w:r>
      <w:r w:rsidR="0003385A" w:rsidRPr="00701439">
        <w:rPr>
          <w:sz w:val="20"/>
          <w:szCs w:val="20"/>
        </w:rPr>
        <w:t>decreased</w:t>
      </w:r>
      <w:r w:rsidRPr="00701439">
        <w:rPr>
          <w:sz w:val="20"/>
          <w:szCs w:val="20"/>
        </w:rPr>
        <w:t xml:space="preserve"> loss for the period reflects </w:t>
      </w:r>
      <w:r w:rsidR="00F4094E" w:rsidRPr="00701439">
        <w:rPr>
          <w:sz w:val="20"/>
          <w:szCs w:val="20"/>
        </w:rPr>
        <w:t>the business being placed into a managed run-off in 202</w:t>
      </w:r>
      <w:r w:rsidR="00C912FC" w:rsidRPr="00701439">
        <w:rPr>
          <w:sz w:val="20"/>
          <w:szCs w:val="20"/>
        </w:rPr>
        <w:t>1</w:t>
      </w:r>
      <w:r w:rsidR="0056205C" w:rsidRPr="00701439">
        <w:rPr>
          <w:sz w:val="20"/>
          <w:szCs w:val="20"/>
        </w:rPr>
        <w:t>.</w:t>
      </w:r>
    </w:p>
    <w:bookmarkEnd w:id="12"/>
    <w:p w14:paraId="7CF0EEEE" w14:textId="77777777" w:rsidR="008F1F13" w:rsidRPr="00701439" w:rsidRDefault="008F1F13" w:rsidP="00E534C5">
      <w:pPr>
        <w:pStyle w:val="NoSpacing"/>
        <w:jc w:val="both"/>
        <w:rPr>
          <w:sz w:val="20"/>
          <w:szCs w:val="20"/>
        </w:rPr>
      </w:pPr>
    </w:p>
    <w:bookmarkEnd w:id="13"/>
    <w:p w14:paraId="4C10D895" w14:textId="77777777" w:rsidR="00F01EC8" w:rsidRPr="00701439" w:rsidRDefault="00F01EC8" w:rsidP="00E534C5">
      <w:pPr>
        <w:pStyle w:val="NoSpacing"/>
        <w:jc w:val="both"/>
        <w:rPr>
          <w:b/>
          <w:color w:val="4747FF"/>
        </w:rPr>
      </w:pPr>
      <w:r w:rsidRPr="00701439">
        <w:rPr>
          <w:b/>
          <w:color w:val="4747FF"/>
        </w:rPr>
        <w:t>Central costs</w:t>
      </w:r>
    </w:p>
    <w:p w14:paraId="3D51A4C5" w14:textId="77777777" w:rsidR="00F01EC8" w:rsidRPr="00701439" w:rsidRDefault="00F01EC8" w:rsidP="00E534C5">
      <w:pPr>
        <w:pStyle w:val="NoSpacing"/>
        <w:jc w:val="both"/>
        <w:rPr>
          <w:sz w:val="20"/>
          <w:szCs w:val="20"/>
        </w:rPr>
      </w:pPr>
    </w:p>
    <w:p w14:paraId="6F8FECBF" w14:textId="68D1500C" w:rsidR="0085444F" w:rsidRPr="00701439" w:rsidRDefault="002036AF" w:rsidP="00E534C5">
      <w:pPr>
        <w:jc w:val="both"/>
        <w:rPr>
          <w:rFonts w:asciiTheme="minorHAnsi" w:eastAsiaTheme="minorHAnsi" w:hAnsiTheme="minorHAnsi" w:cstheme="minorBidi"/>
          <w:sz w:val="20"/>
          <w:szCs w:val="20"/>
          <w:lang w:eastAsia="en-US"/>
        </w:rPr>
      </w:pPr>
      <w:r w:rsidRPr="00701439">
        <w:rPr>
          <w:rFonts w:asciiTheme="minorHAnsi" w:eastAsiaTheme="minorHAnsi" w:hAnsiTheme="minorHAnsi" w:cstheme="minorBidi"/>
          <w:sz w:val="20"/>
          <w:szCs w:val="20"/>
          <w:lang w:eastAsia="en-US"/>
        </w:rPr>
        <w:t>Group central costs increased to £30m (FY’21: £18m) during the period reflecting the roll out of the shared services model, transformation &amp; change spend increased to £35m (FY’21: £8m) and additional bond interest payments of £10m (FY’21: £nil), which includes the first full 12 months of Tier 2 interest. This strategic investment and centralisation of functions is designed to make the Group’s future cost base more scalable and better able to capture the benefits of operational leverage. The investments are also designed to enhance the Group’s strategic competitive positioning through new IT platforms and improved customer journeys. Total Group costs of £288m (FY’21: £264m) were within the indicated range given with the H1’22 results.</w:t>
      </w:r>
    </w:p>
    <w:p w14:paraId="72EA3DE6" w14:textId="193DB96A" w:rsidR="00DD6D48" w:rsidRPr="00701439" w:rsidRDefault="00DD6D48" w:rsidP="00E534C5">
      <w:pPr>
        <w:pStyle w:val="NoSpacing"/>
        <w:jc w:val="both"/>
        <w:rPr>
          <w:sz w:val="20"/>
          <w:szCs w:val="20"/>
        </w:rPr>
      </w:pPr>
    </w:p>
    <w:p w14:paraId="0A195658" w14:textId="5DABD73B" w:rsidR="00F01EC8" w:rsidRPr="00701439" w:rsidRDefault="00F01EC8" w:rsidP="00E534C5">
      <w:pPr>
        <w:pStyle w:val="NoSpacing"/>
        <w:jc w:val="both"/>
        <w:rPr>
          <w:b/>
          <w:color w:val="4747FF"/>
        </w:rPr>
      </w:pPr>
      <w:r w:rsidRPr="00701439">
        <w:rPr>
          <w:b/>
          <w:color w:val="4747FF"/>
        </w:rPr>
        <w:t>Exceptional items</w:t>
      </w:r>
    </w:p>
    <w:p w14:paraId="09123634" w14:textId="77777777" w:rsidR="00F01EC8" w:rsidRPr="00701439" w:rsidRDefault="00F01EC8" w:rsidP="00E534C5">
      <w:pPr>
        <w:pStyle w:val="NoSpacing"/>
        <w:jc w:val="both"/>
        <w:rPr>
          <w:sz w:val="20"/>
          <w:szCs w:val="20"/>
        </w:rPr>
      </w:pPr>
    </w:p>
    <w:p w14:paraId="206D6DE6" w14:textId="6BA38D95" w:rsidR="00E41AE9" w:rsidRPr="00701439" w:rsidRDefault="00B52887" w:rsidP="00E534C5">
      <w:pPr>
        <w:jc w:val="both"/>
        <w:rPr>
          <w:rFonts w:asciiTheme="minorHAnsi" w:hAnsiTheme="minorHAnsi"/>
          <w:sz w:val="20"/>
          <w:szCs w:val="20"/>
        </w:rPr>
      </w:pPr>
      <w:r w:rsidRPr="00701439">
        <w:rPr>
          <w:rFonts w:asciiTheme="minorHAnsi" w:hAnsiTheme="minorHAnsi"/>
          <w:sz w:val="20"/>
          <w:szCs w:val="20"/>
        </w:rPr>
        <w:t>An exceptional cost of £</w:t>
      </w:r>
      <w:r w:rsidR="00A03E43" w:rsidRPr="00701439">
        <w:rPr>
          <w:rFonts w:asciiTheme="minorHAnsi" w:hAnsiTheme="minorHAnsi"/>
          <w:sz w:val="20"/>
          <w:szCs w:val="20"/>
        </w:rPr>
        <w:t>9</w:t>
      </w:r>
      <w:r w:rsidRPr="00701439">
        <w:rPr>
          <w:rFonts w:asciiTheme="minorHAnsi" w:hAnsiTheme="minorHAnsi"/>
          <w:sz w:val="20"/>
          <w:szCs w:val="20"/>
        </w:rPr>
        <w:t>.</w:t>
      </w:r>
      <w:r w:rsidR="00EF50D4" w:rsidRPr="00701439">
        <w:rPr>
          <w:rFonts w:asciiTheme="minorHAnsi" w:hAnsiTheme="minorHAnsi"/>
          <w:sz w:val="20"/>
          <w:szCs w:val="20"/>
        </w:rPr>
        <w:t>0</w:t>
      </w:r>
      <w:r w:rsidRPr="00701439">
        <w:rPr>
          <w:rFonts w:asciiTheme="minorHAnsi" w:hAnsiTheme="minorHAnsi"/>
          <w:sz w:val="20"/>
          <w:szCs w:val="20"/>
        </w:rPr>
        <w:t xml:space="preserve">m was recognised for continuing operations in </w:t>
      </w:r>
      <w:r w:rsidR="00EC23D5" w:rsidRPr="00701439">
        <w:rPr>
          <w:rFonts w:asciiTheme="minorHAnsi" w:hAnsiTheme="minorHAnsi"/>
          <w:sz w:val="20"/>
          <w:szCs w:val="20"/>
        </w:rPr>
        <w:t>FY’22</w:t>
      </w:r>
      <w:r w:rsidRPr="00701439">
        <w:rPr>
          <w:rFonts w:asciiTheme="minorHAnsi" w:hAnsiTheme="minorHAnsi"/>
          <w:sz w:val="20"/>
          <w:szCs w:val="20"/>
        </w:rPr>
        <w:t>. This includes: (</w:t>
      </w:r>
      <w:proofErr w:type="spellStart"/>
      <w:r w:rsidRPr="00701439">
        <w:rPr>
          <w:rFonts w:asciiTheme="minorHAnsi" w:hAnsiTheme="minorHAnsi"/>
          <w:sz w:val="20"/>
          <w:szCs w:val="20"/>
        </w:rPr>
        <w:t>i</w:t>
      </w:r>
      <w:proofErr w:type="spellEnd"/>
      <w:r w:rsidRPr="00701439">
        <w:rPr>
          <w:rFonts w:asciiTheme="minorHAnsi" w:hAnsiTheme="minorHAnsi"/>
          <w:sz w:val="20"/>
          <w:szCs w:val="20"/>
        </w:rPr>
        <w:t>) corporate costs inc</w:t>
      </w:r>
      <w:r w:rsidR="00F94A3B" w:rsidRPr="00701439">
        <w:rPr>
          <w:rFonts w:asciiTheme="minorHAnsi" w:hAnsiTheme="minorHAnsi"/>
          <w:sz w:val="20"/>
          <w:szCs w:val="20"/>
        </w:rPr>
        <w:t>urred centrally</w:t>
      </w:r>
      <w:r w:rsidRPr="00701439">
        <w:rPr>
          <w:rFonts w:asciiTheme="minorHAnsi" w:hAnsiTheme="minorHAnsi"/>
          <w:sz w:val="20"/>
          <w:szCs w:val="20"/>
        </w:rPr>
        <w:t xml:space="preserve"> (£</w:t>
      </w:r>
      <w:r w:rsidR="00F51974" w:rsidRPr="00701439">
        <w:rPr>
          <w:rFonts w:asciiTheme="minorHAnsi" w:hAnsiTheme="minorHAnsi"/>
          <w:sz w:val="20"/>
          <w:szCs w:val="20"/>
        </w:rPr>
        <w:t>3.8</w:t>
      </w:r>
      <w:r w:rsidRPr="00701439">
        <w:rPr>
          <w:rFonts w:asciiTheme="minorHAnsi" w:hAnsiTheme="minorHAnsi"/>
          <w:sz w:val="20"/>
          <w:szCs w:val="20"/>
        </w:rPr>
        <w:t>m); (ii)</w:t>
      </w:r>
      <w:r w:rsidR="00951F1E" w:rsidRPr="00701439">
        <w:rPr>
          <w:rFonts w:asciiTheme="minorHAnsi" w:hAnsiTheme="minorHAnsi"/>
          <w:sz w:val="20"/>
          <w:szCs w:val="20"/>
        </w:rPr>
        <w:t xml:space="preserve"> </w:t>
      </w:r>
      <w:r w:rsidRPr="00701439">
        <w:rPr>
          <w:rFonts w:asciiTheme="minorHAnsi" w:hAnsiTheme="minorHAnsi"/>
          <w:sz w:val="20"/>
          <w:szCs w:val="20"/>
        </w:rPr>
        <w:t>additional Scheme costs (£</w:t>
      </w:r>
      <w:r w:rsidR="008854AB" w:rsidRPr="00701439">
        <w:rPr>
          <w:rFonts w:asciiTheme="minorHAnsi" w:hAnsiTheme="minorHAnsi"/>
          <w:sz w:val="20"/>
          <w:szCs w:val="20"/>
        </w:rPr>
        <w:t>3.7</w:t>
      </w:r>
      <w:r w:rsidRPr="00701439">
        <w:rPr>
          <w:rFonts w:asciiTheme="minorHAnsi" w:hAnsiTheme="minorHAnsi"/>
          <w:sz w:val="20"/>
          <w:szCs w:val="20"/>
        </w:rPr>
        <w:t>m);</w:t>
      </w:r>
      <w:r w:rsidR="004578C5" w:rsidRPr="00701439">
        <w:rPr>
          <w:rFonts w:asciiTheme="minorHAnsi" w:hAnsiTheme="minorHAnsi"/>
          <w:sz w:val="20"/>
          <w:szCs w:val="20"/>
        </w:rPr>
        <w:t xml:space="preserve"> and</w:t>
      </w:r>
      <w:r w:rsidRPr="00701439">
        <w:rPr>
          <w:rFonts w:asciiTheme="minorHAnsi" w:hAnsiTheme="minorHAnsi"/>
          <w:sz w:val="20"/>
          <w:szCs w:val="20"/>
        </w:rPr>
        <w:t xml:space="preserve"> (iii) </w:t>
      </w:r>
      <w:r w:rsidR="004431E0" w:rsidRPr="00701439">
        <w:rPr>
          <w:rFonts w:asciiTheme="minorHAnsi" w:hAnsiTheme="minorHAnsi"/>
          <w:sz w:val="20"/>
          <w:szCs w:val="20"/>
        </w:rPr>
        <w:t>redundancy</w:t>
      </w:r>
      <w:r w:rsidRPr="00701439">
        <w:rPr>
          <w:rFonts w:asciiTheme="minorHAnsi" w:hAnsiTheme="minorHAnsi"/>
          <w:sz w:val="20"/>
          <w:szCs w:val="20"/>
        </w:rPr>
        <w:t xml:space="preserve"> costs (£</w:t>
      </w:r>
      <w:r w:rsidR="004431E0" w:rsidRPr="00701439">
        <w:rPr>
          <w:rFonts w:asciiTheme="minorHAnsi" w:hAnsiTheme="minorHAnsi"/>
          <w:sz w:val="20"/>
          <w:szCs w:val="20"/>
        </w:rPr>
        <w:t>1.5</w:t>
      </w:r>
      <w:r w:rsidRPr="00701439">
        <w:rPr>
          <w:rFonts w:asciiTheme="minorHAnsi" w:hAnsiTheme="minorHAnsi"/>
          <w:sz w:val="20"/>
          <w:szCs w:val="20"/>
        </w:rPr>
        <w:t>m). This compares to an exceptional cost of £</w:t>
      </w:r>
      <w:r w:rsidR="00364C8D" w:rsidRPr="00701439">
        <w:rPr>
          <w:rFonts w:asciiTheme="minorHAnsi" w:hAnsiTheme="minorHAnsi"/>
          <w:sz w:val="20"/>
          <w:szCs w:val="20"/>
        </w:rPr>
        <w:t>18.1</w:t>
      </w:r>
      <w:r w:rsidRPr="00701439">
        <w:rPr>
          <w:rFonts w:asciiTheme="minorHAnsi" w:hAnsiTheme="minorHAnsi"/>
          <w:sz w:val="20"/>
          <w:szCs w:val="20"/>
        </w:rPr>
        <w:t>m</w:t>
      </w:r>
      <w:r w:rsidR="00C3530F" w:rsidRPr="00701439">
        <w:rPr>
          <w:rFonts w:asciiTheme="minorHAnsi" w:hAnsiTheme="minorHAnsi"/>
          <w:sz w:val="20"/>
          <w:szCs w:val="20"/>
        </w:rPr>
        <w:t xml:space="preserve"> in 2021</w:t>
      </w:r>
      <w:r w:rsidRPr="00701439">
        <w:rPr>
          <w:rFonts w:asciiTheme="minorHAnsi" w:hAnsiTheme="minorHAnsi"/>
          <w:sz w:val="20"/>
          <w:szCs w:val="20"/>
        </w:rPr>
        <w:t xml:space="preserve"> </w:t>
      </w:r>
      <w:proofErr w:type="gramStart"/>
      <w:r w:rsidRPr="00701439">
        <w:rPr>
          <w:rFonts w:asciiTheme="minorHAnsi" w:hAnsiTheme="minorHAnsi"/>
          <w:sz w:val="20"/>
          <w:szCs w:val="20"/>
        </w:rPr>
        <w:t>as a result of</w:t>
      </w:r>
      <w:proofErr w:type="gramEnd"/>
      <w:r w:rsidRPr="00701439">
        <w:rPr>
          <w:rFonts w:asciiTheme="minorHAnsi" w:hAnsiTheme="minorHAnsi"/>
          <w:sz w:val="20"/>
          <w:szCs w:val="20"/>
        </w:rPr>
        <w:t xml:space="preserve">: </w:t>
      </w:r>
      <w:r w:rsidR="00364C8D" w:rsidRPr="00701439">
        <w:rPr>
          <w:rFonts w:asciiTheme="minorHAnsi" w:hAnsiTheme="minorHAnsi"/>
          <w:sz w:val="20"/>
          <w:szCs w:val="20"/>
        </w:rPr>
        <w:t>(</w:t>
      </w:r>
      <w:proofErr w:type="spellStart"/>
      <w:r w:rsidR="00364C8D" w:rsidRPr="00701439">
        <w:rPr>
          <w:rFonts w:asciiTheme="minorHAnsi" w:hAnsiTheme="minorHAnsi"/>
          <w:sz w:val="20"/>
          <w:szCs w:val="20"/>
        </w:rPr>
        <w:t>i</w:t>
      </w:r>
      <w:proofErr w:type="spellEnd"/>
      <w:r w:rsidR="00364C8D" w:rsidRPr="00701439">
        <w:rPr>
          <w:rFonts w:asciiTheme="minorHAnsi" w:hAnsiTheme="minorHAnsi"/>
          <w:sz w:val="20"/>
          <w:szCs w:val="20"/>
        </w:rPr>
        <w:t>) corporate costs including CCD closure (£11.5m); (ii) additional Scheme costs (£5m); (iii) Senior bond buy-back costs (£3.9m); offset by (iv) a pension credit (£2.3m).</w:t>
      </w:r>
    </w:p>
    <w:p w14:paraId="407DC6B7" w14:textId="77777777" w:rsidR="006E1A92" w:rsidRPr="00701439" w:rsidRDefault="006E1A92" w:rsidP="00E534C5">
      <w:pPr>
        <w:jc w:val="both"/>
        <w:rPr>
          <w:rFonts w:asciiTheme="minorHAnsi" w:hAnsiTheme="minorHAnsi"/>
          <w:sz w:val="20"/>
          <w:szCs w:val="20"/>
        </w:rPr>
      </w:pPr>
    </w:p>
    <w:p w14:paraId="7DBE0A9A" w14:textId="77777777" w:rsidR="00A4766D" w:rsidRDefault="00A4766D" w:rsidP="00E534C5">
      <w:pPr>
        <w:jc w:val="both"/>
        <w:rPr>
          <w:rFonts w:asciiTheme="minorHAnsi" w:hAnsiTheme="minorHAnsi"/>
          <w:b/>
          <w:color w:val="4747FF"/>
          <w:sz w:val="22"/>
          <w:szCs w:val="22"/>
        </w:rPr>
      </w:pPr>
    </w:p>
    <w:p w14:paraId="4C736785" w14:textId="77777777" w:rsidR="00A4766D" w:rsidRDefault="00A4766D" w:rsidP="00E534C5">
      <w:pPr>
        <w:jc w:val="both"/>
        <w:rPr>
          <w:rFonts w:asciiTheme="minorHAnsi" w:hAnsiTheme="minorHAnsi"/>
          <w:b/>
          <w:color w:val="4747FF"/>
          <w:sz w:val="22"/>
          <w:szCs w:val="22"/>
        </w:rPr>
      </w:pPr>
    </w:p>
    <w:p w14:paraId="65556295" w14:textId="77777777" w:rsidR="00A4766D" w:rsidRDefault="00A4766D" w:rsidP="00E534C5">
      <w:pPr>
        <w:jc w:val="both"/>
        <w:rPr>
          <w:rFonts w:asciiTheme="minorHAnsi" w:hAnsiTheme="minorHAnsi"/>
          <w:b/>
          <w:color w:val="4747FF"/>
          <w:sz w:val="22"/>
          <w:szCs w:val="22"/>
        </w:rPr>
      </w:pPr>
    </w:p>
    <w:p w14:paraId="6995008A" w14:textId="77777777" w:rsidR="00A4766D" w:rsidRDefault="00A4766D" w:rsidP="00E534C5">
      <w:pPr>
        <w:jc w:val="both"/>
        <w:rPr>
          <w:rFonts w:asciiTheme="minorHAnsi" w:hAnsiTheme="minorHAnsi"/>
          <w:b/>
          <w:color w:val="4747FF"/>
          <w:sz w:val="22"/>
          <w:szCs w:val="22"/>
        </w:rPr>
      </w:pPr>
    </w:p>
    <w:p w14:paraId="12CD20D7" w14:textId="17B3D8E8" w:rsidR="00E41AE9" w:rsidRPr="00701439" w:rsidRDefault="00E41AE9" w:rsidP="00E534C5">
      <w:pPr>
        <w:jc w:val="both"/>
        <w:rPr>
          <w:rFonts w:asciiTheme="minorHAnsi" w:hAnsiTheme="minorHAnsi"/>
          <w:b/>
          <w:color w:val="4747FF"/>
          <w:sz w:val="22"/>
          <w:szCs w:val="22"/>
        </w:rPr>
      </w:pPr>
      <w:r w:rsidRPr="00701439">
        <w:rPr>
          <w:rFonts w:asciiTheme="minorHAnsi" w:hAnsiTheme="minorHAnsi"/>
          <w:b/>
          <w:color w:val="4747FF"/>
          <w:sz w:val="22"/>
          <w:szCs w:val="22"/>
        </w:rPr>
        <w:lastRenderedPageBreak/>
        <w:t>Tax</w:t>
      </w:r>
    </w:p>
    <w:p w14:paraId="248607B3" w14:textId="77777777" w:rsidR="005828FC" w:rsidRPr="00701439" w:rsidRDefault="005828FC" w:rsidP="00E534C5">
      <w:pPr>
        <w:jc w:val="both"/>
        <w:rPr>
          <w:rFonts w:asciiTheme="minorHAnsi" w:hAnsiTheme="minorHAnsi"/>
          <w:sz w:val="20"/>
          <w:szCs w:val="20"/>
        </w:rPr>
      </w:pPr>
    </w:p>
    <w:p w14:paraId="036DAFAA" w14:textId="31D54320" w:rsidR="008E2484" w:rsidRPr="00701439" w:rsidRDefault="008E2484" w:rsidP="00AC3C4B">
      <w:pPr>
        <w:pStyle w:val="bodytext0"/>
        <w:jc w:val="both"/>
        <w:rPr>
          <w:rFonts w:asciiTheme="minorHAnsi" w:hAnsiTheme="minorHAnsi" w:cstheme="minorHAnsi"/>
          <w:color w:val="auto"/>
          <w:sz w:val="20"/>
          <w:szCs w:val="20"/>
        </w:rPr>
      </w:pPr>
      <w:r w:rsidRPr="00701439">
        <w:rPr>
          <w:rFonts w:asciiTheme="minorHAnsi" w:hAnsiTheme="minorHAnsi" w:cstheme="minorHAnsi"/>
          <w:color w:val="auto"/>
          <w:sz w:val="20"/>
          <w:szCs w:val="20"/>
        </w:rPr>
        <w:t>The tax charge for 2022 represents an effective tax rate of 25.2% (</w:t>
      </w:r>
      <w:r w:rsidR="00CB1949" w:rsidRPr="00701439">
        <w:rPr>
          <w:rFonts w:asciiTheme="minorHAnsi" w:hAnsiTheme="minorHAnsi" w:cstheme="minorHAnsi"/>
          <w:color w:val="auto"/>
          <w:sz w:val="20"/>
          <w:szCs w:val="20"/>
        </w:rPr>
        <w:t>FY’21</w:t>
      </w:r>
      <w:r w:rsidRPr="00701439">
        <w:rPr>
          <w:rFonts w:asciiTheme="minorHAnsi" w:hAnsiTheme="minorHAnsi" w:cstheme="minorHAnsi"/>
          <w:color w:val="auto"/>
          <w:sz w:val="20"/>
          <w:szCs w:val="20"/>
        </w:rPr>
        <w:t>: 5.3%) on profit before tax which results in a tax charge of £27.8m being recognised in the year for continuing operations (</w:t>
      </w:r>
      <w:r w:rsidR="00CB1949" w:rsidRPr="00701439">
        <w:rPr>
          <w:rFonts w:asciiTheme="minorHAnsi" w:hAnsiTheme="minorHAnsi" w:cstheme="minorHAnsi"/>
          <w:color w:val="auto"/>
          <w:sz w:val="20"/>
          <w:szCs w:val="20"/>
        </w:rPr>
        <w:t>FY’21</w:t>
      </w:r>
      <w:r w:rsidRPr="00701439">
        <w:rPr>
          <w:rFonts w:asciiTheme="minorHAnsi" w:hAnsiTheme="minorHAnsi" w:cstheme="minorHAnsi"/>
          <w:color w:val="auto"/>
          <w:sz w:val="20"/>
          <w:szCs w:val="20"/>
        </w:rPr>
        <w:t>: £7.6m) which principally reflects:</w:t>
      </w:r>
    </w:p>
    <w:p w14:paraId="21F8BCB7" w14:textId="5D7CF87E" w:rsidR="008E2484" w:rsidRPr="00701439" w:rsidRDefault="008E2484" w:rsidP="00AC3C4B">
      <w:pPr>
        <w:pStyle w:val="bodytext0"/>
        <w:numPr>
          <w:ilvl w:val="0"/>
          <w:numId w:val="36"/>
        </w:numPr>
        <w:jc w:val="both"/>
        <w:rPr>
          <w:rFonts w:asciiTheme="minorHAnsi" w:hAnsiTheme="minorHAnsi" w:cstheme="minorHAnsi"/>
          <w:color w:val="auto"/>
          <w:sz w:val="20"/>
          <w:szCs w:val="20"/>
        </w:rPr>
      </w:pPr>
      <w:r w:rsidRPr="00701439">
        <w:rPr>
          <w:rFonts w:asciiTheme="minorHAnsi" w:hAnsiTheme="minorHAnsi" w:cstheme="minorHAnsi"/>
          <w:color w:val="auto"/>
          <w:sz w:val="20"/>
          <w:szCs w:val="20"/>
        </w:rPr>
        <w:t>the mainstream corporation tax rate of 19.0% on the Group’s profit before tax from continuing operations generating a tax charge of £29.4m (</w:t>
      </w:r>
      <w:r w:rsidR="00CB1949" w:rsidRPr="00701439">
        <w:rPr>
          <w:rFonts w:asciiTheme="minorHAnsi" w:hAnsiTheme="minorHAnsi" w:cstheme="minorHAnsi"/>
          <w:color w:val="auto"/>
          <w:sz w:val="20"/>
          <w:szCs w:val="20"/>
        </w:rPr>
        <w:t>FY’21</w:t>
      </w:r>
      <w:r w:rsidRPr="00701439">
        <w:rPr>
          <w:rFonts w:asciiTheme="minorHAnsi" w:hAnsiTheme="minorHAnsi" w:cstheme="minorHAnsi"/>
          <w:color w:val="auto"/>
          <w:sz w:val="20"/>
          <w:szCs w:val="20"/>
        </w:rPr>
        <w:t>: tax charge of £23.7m</w:t>
      </w:r>
      <w:proofErr w:type="gramStart"/>
      <w:r w:rsidRPr="00701439">
        <w:rPr>
          <w:rFonts w:asciiTheme="minorHAnsi" w:hAnsiTheme="minorHAnsi" w:cstheme="minorHAnsi"/>
          <w:color w:val="auto"/>
          <w:sz w:val="20"/>
          <w:szCs w:val="20"/>
        </w:rPr>
        <w:t>);</w:t>
      </w:r>
      <w:proofErr w:type="gramEnd"/>
    </w:p>
    <w:p w14:paraId="5E6C758C" w14:textId="1E55D9C2" w:rsidR="008E2484" w:rsidRPr="00701439" w:rsidRDefault="008E2484" w:rsidP="00AC3C4B">
      <w:pPr>
        <w:pStyle w:val="bodytext0"/>
        <w:numPr>
          <w:ilvl w:val="0"/>
          <w:numId w:val="36"/>
        </w:numPr>
        <w:jc w:val="both"/>
        <w:rPr>
          <w:rFonts w:asciiTheme="minorHAnsi" w:hAnsiTheme="minorHAnsi" w:cstheme="minorHAnsi"/>
          <w:color w:val="auto"/>
          <w:sz w:val="20"/>
          <w:szCs w:val="20"/>
        </w:rPr>
      </w:pPr>
      <w:r w:rsidRPr="00701439">
        <w:rPr>
          <w:rFonts w:asciiTheme="minorHAnsi" w:hAnsiTheme="minorHAnsi" w:cstheme="minorHAnsi"/>
          <w:color w:val="auto"/>
          <w:sz w:val="20"/>
          <w:szCs w:val="20"/>
        </w:rPr>
        <w:t>the mainstream corporation tax rate of 19.0% on Group exceptional items from continuing operations generating a tax credit of £0.2m (</w:t>
      </w:r>
      <w:r w:rsidR="00CB1949" w:rsidRPr="00701439">
        <w:rPr>
          <w:rFonts w:asciiTheme="minorHAnsi" w:hAnsiTheme="minorHAnsi" w:cstheme="minorHAnsi"/>
          <w:color w:val="auto"/>
          <w:sz w:val="20"/>
          <w:szCs w:val="20"/>
        </w:rPr>
        <w:t>FY’21</w:t>
      </w:r>
      <w:r w:rsidRPr="00701439">
        <w:rPr>
          <w:rFonts w:asciiTheme="minorHAnsi" w:hAnsiTheme="minorHAnsi" w:cstheme="minorHAnsi"/>
          <w:color w:val="auto"/>
          <w:sz w:val="20"/>
          <w:szCs w:val="20"/>
        </w:rPr>
        <w:t>: tax credit of £15.3m); and</w:t>
      </w:r>
    </w:p>
    <w:p w14:paraId="01E65720" w14:textId="5E8FB51A" w:rsidR="008E2484" w:rsidRPr="00701439" w:rsidRDefault="008E2484" w:rsidP="00AC3C4B">
      <w:pPr>
        <w:pStyle w:val="bodytext0"/>
        <w:numPr>
          <w:ilvl w:val="0"/>
          <w:numId w:val="36"/>
        </w:numPr>
        <w:jc w:val="both"/>
        <w:rPr>
          <w:rFonts w:asciiTheme="minorHAnsi" w:hAnsiTheme="minorHAnsi" w:cstheme="minorHAnsi"/>
          <w:color w:val="auto"/>
          <w:sz w:val="20"/>
          <w:szCs w:val="20"/>
        </w:rPr>
      </w:pPr>
      <w:r w:rsidRPr="00701439">
        <w:rPr>
          <w:rFonts w:asciiTheme="minorHAnsi" w:hAnsiTheme="minorHAnsi" w:cstheme="minorHAnsi"/>
          <w:color w:val="auto"/>
          <w:sz w:val="20"/>
          <w:szCs w:val="20"/>
        </w:rPr>
        <w:t>the mainstream corporation tax rate of 19.0% on the amortisation of acquisition intangibles generating a tax credit of £1.4m (</w:t>
      </w:r>
      <w:r w:rsidR="00CB1949" w:rsidRPr="00701439">
        <w:rPr>
          <w:rFonts w:asciiTheme="minorHAnsi" w:hAnsiTheme="minorHAnsi" w:cstheme="minorHAnsi"/>
          <w:color w:val="auto"/>
          <w:sz w:val="20"/>
          <w:szCs w:val="20"/>
        </w:rPr>
        <w:t>FY’21</w:t>
      </w:r>
      <w:r w:rsidRPr="00701439">
        <w:rPr>
          <w:rFonts w:asciiTheme="minorHAnsi" w:hAnsiTheme="minorHAnsi" w:cstheme="minorHAnsi"/>
          <w:color w:val="auto"/>
          <w:sz w:val="20"/>
          <w:szCs w:val="20"/>
        </w:rPr>
        <w:t>: tax credit of £0.8m).</w:t>
      </w:r>
    </w:p>
    <w:p w14:paraId="7CA9233D" w14:textId="77777777" w:rsidR="008E2484" w:rsidRPr="00701439" w:rsidRDefault="008E2484" w:rsidP="00AC3C4B">
      <w:pPr>
        <w:pStyle w:val="bodytext0"/>
        <w:jc w:val="both"/>
        <w:rPr>
          <w:rFonts w:asciiTheme="minorHAnsi" w:hAnsiTheme="minorHAnsi" w:cstheme="minorHAnsi"/>
          <w:color w:val="auto"/>
          <w:sz w:val="20"/>
          <w:szCs w:val="20"/>
        </w:rPr>
      </w:pPr>
      <w:r w:rsidRPr="00701439">
        <w:rPr>
          <w:rFonts w:asciiTheme="minorHAnsi" w:hAnsiTheme="minorHAnsi" w:cstheme="minorHAnsi"/>
          <w:color w:val="auto"/>
          <w:sz w:val="20"/>
          <w:szCs w:val="20"/>
        </w:rPr>
        <w:t>The effective tax rate is principally the result of:</w:t>
      </w:r>
    </w:p>
    <w:p w14:paraId="7FB9D957" w14:textId="062F3923" w:rsidR="008E2484" w:rsidRPr="00701439" w:rsidRDefault="008E2484" w:rsidP="00AC3C4B">
      <w:pPr>
        <w:pStyle w:val="bullettext"/>
        <w:numPr>
          <w:ilvl w:val="0"/>
          <w:numId w:val="37"/>
        </w:numPr>
        <w:jc w:val="both"/>
        <w:rPr>
          <w:rFonts w:asciiTheme="minorHAnsi" w:hAnsiTheme="minorHAnsi" w:cstheme="minorHAnsi"/>
          <w:color w:val="auto"/>
          <w:sz w:val="20"/>
          <w:szCs w:val="20"/>
        </w:rPr>
      </w:pPr>
      <w:r w:rsidRPr="00701439">
        <w:rPr>
          <w:rFonts w:asciiTheme="minorHAnsi" w:hAnsiTheme="minorHAnsi" w:cstheme="minorHAnsi"/>
          <w:color w:val="auto"/>
          <w:sz w:val="20"/>
          <w:szCs w:val="20"/>
        </w:rPr>
        <w:t>the adverse impact of the bank corporation tax surcharge of £8.4m (</w:t>
      </w:r>
      <w:r w:rsidR="00CB1949" w:rsidRPr="00701439">
        <w:rPr>
          <w:rFonts w:asciiTheme="minorHAnsi" w:hAnsiTheme="minorHAnsi" w:cstheme="minorHAnsi"/>
          <w:color w:val="auto"/>
          <w:sz w:val="20"/>
          <w:szCs w:val="20"/>
        </w:rPr>
        <w:t>FY’21</w:t>
      </w:r>
      <w:r w:rsidRPr="00701439">
        <w:rPr>
          <w:rFonts w:asciiTheme="minorHAnsi" w:hAnsiTheme="minorHAnsi" w:cstheme="minorHAnsi"/>
          <w:color w:val="auto"/>
          <w:sz w:val="20"/>
          <w:szCs w:val="20"/>
        </w:rPr>
        <w:t>: £12.2m</w:t>
      </w:r>
      <w:proofErr w:type="gramStart"/>
      <w:r w:rsidRPr="00701439">
        <w:rPr>
          <w:rFonts w:asciiTheme="minorHAnsi" w:hAnsiTheme="minorHAnsi" w:cstheme="minorHAnsi"/>
          <w:color w:val="auto"/>
          <w:sz w:val="20"/>
          <w:szCs w:val="20"/>
        </w:rPr>
        <w:t>);</w:t>
      </w:r>
      <w:proofErr w:type="gramEnd"/>
    </w:p>
    <w:p w14:paraId="17D3CB08" w14:textId="5CAF97AE" w:rsidR="008E2484" w:rsidRPr="00701439" w:rsidRDefault="008E2484" w:rsidP="00AC3C4B">
      <w:pPr>
        <w:pStyle w:val="bullettext"/>
        <w:numPr>
          <w:ilvl w:val="0"/>
          <w:numId w:val="37"/>
        </w:numPr>
        <w:jc w:val="both"/>
        <w:rPr>
          <w:rFonts w:asciiTheme="minorHAnsi" w:hAnsiTheme="minorHAnsi" w:cstheme="minorHAnsi"/>
          <w:color w:val="auto"/>
          <w:sz w:val="20"/>
          <w:szCs w:val="20"/>
        </w:rPr>
      </w:pPr>
      <w:r w:rsidRPr="00701439">
        <w:rPr>
          <w:rFonts w:asciiTheme="minorHAnsi" w:hAnsiTheme="minorHAnsi" w:cstheme="minorHAnsi"/>
          <w:color w:val="auto"/>
          <w:sz w:val="20"/>
          <w:szCs w:val="20"/>
        </w:rPr>
        <w:t>an adverse impact of £3.2m (</w:t>
      </w:r>
      <w:r w:rsidR="00CB1949" w:rsidRPr="00701439">
        <w:rPr>
          <w:rFonts w:asciiTheme="minorHAnsi" w:hAnsiTheme="minorHAnsi" w:cstheme="minorHAnsi"/>
          <w:color w:val="auto"/>
          <w:sz w:val="20"/>
          <w:szCs w:val="20"/>
        </w:rPr>
        <w:t>FY’21</w:t>
      </w:r>
      <w:r w:rsidRPr="00701439">
        <w:rPr>
          <w:rFonts w:asciiTheme="minorHAnsi" w:hAnsiTheme="minorHAnsi" w:cstheme="minorHAnsi"/>
          <w:color w:val="auto"/>
          <w:sz w:val="20"/>
          <w:szCs w:val="20"/>
        </w:rPr>
        <w:t xml:space="preserve">: </w:t>
      </w:r>
      <w:r w:rsidR="00E37AF4" w:rsidRPr="00701439">
        <w:rPr>
          <w:rFonts w:asciiTheme="minorHAnsi" w:hAnsiTheme="minorHAnsi" w:cstheme="minorHAnsi"/>
          <w:color w:val="auto"/>
          <w:sz w:val="20"/>
          <w:szCs w:val="20"/>
        </w:rPr>
        <w:t>£</w:t>
      </w:r>
      <w:r w:rsidRPr="00701439">
        <w:rPr>
          <w:rFonts w:asciiTheme="minorHAnsi" w:hAnsiTheme="minorHAnsi" w:cstheme="minorHAnsi"/>
          <w:color w:val="auto"/>
          <w:sz w:val="20"/>
          <w:szCs w:val="20"/>
        </w:rPr>
        <w:t>nil) of revaluing deferred tax assets and liabilities in credit cards and personal loans for the changes enacted in 2022 which with effect from 1 April 2023 reduce the bank corporation tax surcharge rate from 8% to 3% and increase the bank corporation tax allowance, being the threshold below which banking profits are not subject to the surcharge, from £25m to £100m.  In 2021, the revaluation of deferred tax assets and liabilities for the increase in the mainstream corporation tax rate from 19.0% to 25.0% with effect from 1 April 2023 gave rise to a beneficial impact on the tax charge of £5.</w:t>
      </w:r>
      <w:proofErr w:type="gramStart"/>
      <w:r w:rsidRPr="00701439">
        <w:rPr>
          <w:rFonts w:asciiTheme="minorHAnsi" w:hAnsiTheme="minorHAnsi" w:cstheme="minorHAnsi"/>
          <w:color w:val="auto"/>
          <w:sz w:val="20"/>
          <w:szCs w:val="20"/>
        </w:rPr>
        <w:t>0m;</w:t>
      </w:r>
      <w:proofErr w:type="gramEnd"/>
    </w:p>
    <w:p w14:paraId="33209F17" w14:textId="575ACF3E" w:rsidR="008E2484" w:rsidRPr="00701439" w:rsidRDefault="008E2484" w:rsidP="00AC3C4B">
      <w:pPr>
        <w:pStyle w:val="bullettext"/>
        <w:numPr>
          <w:ilvl w:val="0"/>
          <w:numId w:val="37"/>
        </w:numPr>
        <w:jc w:val="both"/>
        <w:rPr>
          <w:rFonts w:asciiTheme="minorHAnsi" w:hAnsiTheme="minorHAnsi" w:cstheme="minorHAnsi"/>
          <w:color w:val="auto"/>
          <w:sz w:val="20"/>
          <w:szCs w:val="20"/>
        </w:rPr>
      </w:pPr>
      <w:r w:rsidRPr="00701439">
        <w:rPr>
          <w:rFonts w:asciiTheme="minorHAnsi" w:hAnsiTheme="minorHAnsi" w:cstheme="minorHAnsi"/>
          <w:color w:val="auto"/>
          <w:sz w:val="20"/>
          <w:szCs w:val="20"/>
        </w:rPr>
        <w:t>the beneficial impact of tax losses of discontinued operations being surrendered as group relief to continuing operations at a discounted price which gives rise to a tax credit of £3.3m (</w:t>
      </w:r>
      <w:r w:rsidR="00CB1949" w:rsidRPr="00701439">
        <w:rPr>
          <w:rFonts w:asciiTheme="minorHAnsi" w:hAnsiTheme="minorHAnsi" w:cstheme="minorHAnsi"/>
          <w:color w:val="auto"/>
          <w:sz w:val="20"/>
          <w:szCs w:val="20"/>
        </w:rPr>
        <w:t>FY’21</w:t>
      </w:r>
      <w:r w:rsidRPr="00701439">
        <w:rPr>
          <w:rFonts w:asciiTheme="minorHAnsi" w:hAnsiTheme="minorHAnsi" w:cstheme="minorHAnsi"/>
          <w:color w:val="auto"/>
          <w:sz w:val="20"/>
          <w:szCs w:val="20"/>
        </w:rPr>
        <w:t>: tax credit of £6.5m</w:t>
      </w:r>
      <w:proofErr w:type="gramStart"/>
      <w:r w:rsidRPr="00701439">
        <w:rPr>
          <w:rFonts w:asciiTheme="minorHAnsi" w:hAnsiTheme="minorHAnsi" w:cstheme="minorHAnsi"/>
          <w:color w:val="auto"/>
          <w:sz w:val="20"/>
          <w:szCs w:val="20"/>
        </w:rPr>
        <w:t>);</w:t>
      </w:r>
      <w:proofErr w:type="gramEnd"/>
    </w:p>
    <w:p w14:paraId="0583FD24" w14:textId="20CC497C" w:rsidR="008E2484" w:rsidRPr="00701439" w:rsidRDefault="008E2484" w:rsidP="00AC3C4B">
      <w:pPr>
        <w:pStyle w:val="bullettext"/>
        <w:numPr>
          <w:ilvl w:val="0"/>
          <w:numId w:val="37"/>
        </w:numPr>
        <w:jc w:val="both"/>
        <w:rPr>
          <w:rFonts w:asciiTheme="minorHAnsi" w:hAnsiTheme="minorHAnsi" w:cstheme="minorHAnsi"/>
          <w:color w:val="auto"/>
          <w:sz w:val="20"/>
          <w:szCs w:val="20"/>
        </w:rPr>
      </w:pPr>
      <w:r w:rsidRPr="00701439">
        <w:rPr>
          <w:rFonts w:asciiTheme="minorHAnsi" w:hAnsiTheme="minorHAnsi" w:cstheme="minorHAnsi"/>
          <w:color w:val="auto"/>
          <w:sz w:val="20"/>
          <w:szCs w:val="20"/>
        </w:rPr>
        <w:t>an adverse impact of £0.9m in respect of non-deductible expenses, principally exceptional project related costs (</w:t>
      </w:r>
      <w:r w:rsidR="00CB1949" w:rsidRPr="00701439">
        <w:rPr>
          <w:rFonts w:asciiTheme="minorHAnsi" w:hAnsiTheme="minorHAnsi" w:cstheme="minorHAnsi"/>
          <w:color w:val="auto"/>
          <w:sz w:val="20"/>
          <w:szCs w:val="20"/>
        </w:rPr>
        <w:t>FY’21</w:t>
      </w:r>
      <w:r w:rsidRPr="00701439">
        <w:rPr>
          <w:rFonts w:asciiTheme="minorHAnsi" w:hAnsiTheme="minorHAnsi" w:cstheme="minorHAnsi"/>
          <w:color w:val="auto"/>
          <w:sz w:val="20"/>
          <w:szCs w:val="20"/>
        </w:rPr>
        <w:t>: adverse impact of £0.</w:t>
      </w:r>
      <w:r w:rsidR="0048127A" w:rsidRPr="00701439">
        <w:rPr>
          <w:rFonts w:asciiTheme="minorHAnsi" w:hAnsiTheme="minorHAnsi" w:cstheme="minorHAnsi"/>
          <w:color w:val="auto"/>
          <w:sz w:val="20"/>
          <w:szCs w:val="20"/>
        </w:rPr>
        <w:t>5</w:t>
      </w:r>
      <w:r w:rsidRPr="00701439">
        <w:rPr>
          <w:rFonts w:asciiTheme="minorHAnsi" w:hAnsiTheme="minorHAnsi" w:cstheme="minorHAnsi"/>
          <w:color w:val="auto"/>
          <w:sz w:val="20"/>
          <w:szCs w:val="20"/>
        </w:rPr>
        <w:t>m</w:t>
      </w:r>
      <w:proofErr w:type="gramStart"/>
      <w:r w:rsidRPr="00701439">
        <w:rPr>
          <w:rFonts w:asciiTheme="minorHAnsi" w:hAnsiTheme="minorHAnsi" w:cstheme="minorHAnsi"/>
          <w:color w:val="auto"/>
          <w:sz w:val="20"/>
          <w:szCs w:val="20"/>
        </w:rPr>
        <w:t>)</w:t>
      </w:r>
      <w:r w:rsidR="004143E0">
        <w:rPr>
          <w:rFonts w:asciiTheme="minorHAnsi" w:hAnsiTheme="minorHAnsi" w:cstheme="minorHAnsi"/>
          <w:color w:val="auto"/>
          <w:sz w:val="20"/>
          <w:szCs w:val="20"/>
        </w:rPr>
        <w:t>;</w:t>
      </w:r>
      <w:proofErr w:type="gramEnd"/>
      <w:r w:rsidRPr="00701439">
        <w:rPr>
          <w:rFonts w:asciiTheme="minorHAnsi" w:hAnsiTheme="minorHAnsi" w:cstheme="minorHAnsi"/>
          <w:color w:val="auto"/>
          <w:sz w:val="20"/>
          <w:szCs w:val="20"/>
        </w:rPr>
        <w:t xml:space="preserve"> </w:t>
      </w:r>
    </w:p>
    <w:p w14:paraId="33930201" w14:textId="259D66A7" w:rsidR="008E2484" w:rsidRPr="00701439" w:rsidRDefault="008E2484" w:rsidP="00AC3C4B">
      <w:pPr>
        <w:pStyle w:val="bullettext"/>
        <w:numPr>
          <w:ilvl w:val="0"/>
          <w:numId w:val="37"/>
        </w:numPr>
        <w:jc w:val="both"/>
        <w:rPr>
          <w:rFonts w:asciiTheme="minorHAnsi" w:hAnsiTheme="minorHAnsi" w:cstheme="minorHAnsi"/>
          <w:color w:val="auto"/>
          <w:sz w:val="20"/>
          <w:szCs w:val="20"/>
        </w:rPr>
      </w:pPr>
      <w:r w:rsidRPr="00701439">
        <w:rPr>
          <w:rFonts w:asciiTheme="minorHAnsi" w:hAnsiTheme="minorHAnsi" w:cstheme="minorHAnsi"/>
          <w:color w:val="auto"/>
          <w:sz w:val="20"/>
          <w:szCs w:val="20"/>
        </w:rPr>
        <w:t>the beneficial impact of adjustments in respect of prior years of £3.6m (</w:t>
      </w:r>
      <w:r w:rsidR="00CB1949" w:rsidRPr="00701439">
        <w:rPr>
          <w:rFonts w:asciiTheme="minorHAnsi" w:hAnsiTheme="minorHAnsi" w:cstheme="minorHAnsi"/>
          <w:color w:val="auto"/>
          <w:sz w:val="20"/>
          <w:szCs w:val="20"/>
        </w:rPr>
        <w:t>FY’21</w:t>
      </w:r>
      <w:r w:rsidRPr="00701439">
        <w:rPr>
          <w:rFonts w:asciiTheme="minorHAnsi" w:hAnsiTheme="minorHAnsi" w:cstheme="minorHAnsi"/>
          <w:color w:val="auto"/>
          <w:sz w:val="20"/>
          <w:szCs w:val="20"/>
        </w:rPr>
        <w:t xml:space="preserve">: adverse impact of £0.5m) which comprise a release of £4.4m following the agreement of historic tax liabilities net of a tax charge of £0.8m in respect of prior year project costs for which tax deductions may not be available.  In 2021, the adverse impact of £0.5m related to adjustments to prior year deferred tax on share scheme </w:t>
      </w:r>
      <w:proofErr w:type="gramStart"/>
      <w:r w:rsidRPr="00701439">
        <w:rPr>
          <w:rFonts w:asciiTheme="minorHAnsi" w:hAnsiTheme="minorHAnsi" w:cstheme="minorHAnsi"/>
          <w:color w:val="auto"/>
          <w:sz w:val="20"/>
          <w:szCs w:val="20"/>
        </w:rPr>
        <w:t>awards</w:t>
      </w:r>
      <w:r w:rsidR="004143E0">
        <w:rPr>
          <w:rFonts w:asciiTheme="minorHAnsi" w:hAnsiTheme="minorHAnsi" w:cstheme="minorHAnsi"/>
          <w:color w:val="auto"/>
          <w:sz w:val="20"/>
          <w:szCs w:val="20"/>
        </w:rPr>
        <w:t>;</w:t>
      </w:r>
      <w:proofErr w:type="gramEnd"/>
    </w:p>
    <w:p w14:paraId="29C0B57C" w14:textId="345F9FBC" w:rsidR="008E2484" w:rsidRPr="00701439" w:rsidRDefault="008E2484" w:rsidP="00AC3C4B">
      <w:pPr>
        <w:pStyle w:val="bullettext"/>
        <w:numPr>
          <w:ilvl w:val="0"/>
          <w:numId w:val="37"/>
        </w:numPr>
        <w:jc w:val="both"/>
        <w:rPr>
          <w:rFonts w:asciiTheme="minorHAnsi" w:hAnsiTheme="minorHAnsi" w:cstheme="minorHAnsi"/>
          <w:color w:val="auto"/>
          <w:sz w:val="20"/>
          <w:szCs w:val="20"/>
        </w:rPr>
      </w:pPr>
      <w:r w:rsidRPr="00701439">
        <w:rPr>
          <w:rFonts w:asciiTheme="minorHAnsi" w:hAnsiTheme="minorHAnsi" w:cstheme="minorHAnsi"/>
          <w:color w:val="auto"/>
          <w:sz w:val="20"/>
          <w:szCs w:val="20"/>
        </w:rPr>
        <w:t xml:space="preserve">an adverse impact of </w:t>
      </w:r>
      <w:r w:rsidR="000E5AE0" w:rsidRPr="00701439">
        <w:rPr>
          <w:rFonts w:asciiTheme="minorHAnsi" w:hAnsiTheme="minorHAnsi" w:cstheme="minorHAnsi"/>
          <w:color w:val="auto"/>
          <w:sz w:val="20"/>
          <w:szCs w:val="20"/>
        </w:rPr>
        <w:t>£</w:t>
      </w:r>
      <w:r w:rsidRPr="00701439">
        <w:rPr>
          <w:rFonts w:asciiTheme="minorHAnsi" w:hAnsiTheme="minorHAnsi" w:cstheme="minorHAnsi"/>
          <w:color w:val="auto"/>
          <w:sz w:val="20"/>
          <w:szCs w:val="20"/>
        </w:rPr>
        <w:t>1.0m (</w:t>
      </w:r>
      <w:r w:rsidR="00CB1949" w:rsidRPr="00701439">
        <w:rPr>
          <w:rFonts w:asciiTheme="minorHAnsi" w:hAnsiTheme="minorHAnsi" w:cstheme="minorHAnsi"/>
          <w:color w:val="auto"/>
          <w:sz w:val="20"/>
          <w:szCs w:val="20"/>
        </w:rPr>
        <w:t>FY’21</w:t>
      </w:r>
      <w:r w:rsidRPr="00701439">
        <w:rPr>
          <w:rFonts w:asciiTheme="minorHAnsi" w:hAnsiTheme="minorHAnsi" w:cstheme="minorHAnsi"/>
          <w:color w:val="auto"/>
          <w:sz w:val="20"/>
          <w:szCs w:val="20"/>
        </w:rPr>
        <w:t xml:space="preserve">: beneficial impact of £7.8m) related to prior year transfer pricing adjustments between continuing and discontinued operations, as well as adjustments related to prior year tax losses of the discontinued operation which were surrendered as group relief to the continuing operation at a discounted price; and </w:t>
      </w:r>
    </w:p>
    <w:p w14:paraId="60FF16B5" w14:textId="77777777" w:rsidR="008E2484" w:rsidRPr="00701439" w:rsidRDefault="008E2484" w:rsidP="00AC3C4B">
      <w:pPr>
        <w:pStyle w:val="bullettext"/>
        <w:numPr>
          <w:ilvl w:val="0"/>
          <w:numId w:val="37"/>
        </w:numPr>
        <w:jc w:val="both"/>
        <w:rPr>
          <w:rFonts w:asciiTheme="minorHAnsi" w:hAnsiTheme="minorHAnsi" w:cstheme="minorHAnsi"/>
          <w:color w:val="auto"/>
          <w:sz w:val="20"/>
          <w:szCs w:val="20"/>
        </w:rPr>
      </w:pPr>
      <w:r w:rsidRPr="00701439">
        <w:rPr>
          <w:rFonts w:asciiTheme="minorHAnsi" w:hAnsiTheme="minorHAnsi" w:cstheme="minorHAnsi"/>
          <w:color w:val="auto"/>
          <w:sz w:val="20"/>
          <w:szCs w:val="20"/>
        </w:rPr>
        <w:t>in 2021, the beneficial impact of the release of the exceptional complaints provision in CCD following the implementation of the Scheme of Arrangement which was taxable in discontinued operations but which on consolidation was recognised in continuing operations.</w:t>
      </w:r>
    </w:p>
    <w:p w14:paraId="12615C75" w14:textId="77777777" w:rsidR="0054747F" w:rsidRDefault="0054747F" w:rsidP="00E534C5">
      <w:pPr>
        <w:pStyle w:val="NoSpacing"/>
        <w:jc w:val="both"/>
        <w:rPr>
          <w:b/>
          <w:color w:val="4747FF"/>
        </w:rPr>
      </w:pPr>
    </w:p>
    <w:p w14:paraId="2CDC202A" w14:textId="10C5E14F" w:rsidR="00F01EC8" w:rsidRPr="00701439" w:rsidRDefault="00F01EC8" w:rsidP="00E534C5">
      <w:pPr>
        <w:pStyle w:val="NoSpacing"/>
        <w:jc w:val="both"/>
        <w:rPr>
          <w:b/>
          <w:color w:val="4747FF"/>
        </w:rPr>
      </w:pPr>
      <w:r w:rsidRPr="00701439">
        <w:rPr>
          <w:b/>
          <w:color w:val="4747FF"/>
        </w:rPr>
        <w:t>Dividends</w:t>
      </w:r>
    </w:p>
    <w:p w14:paraId="13CAB391" w14:textId="77777777" w:rsidR="00F01EC8" w:rsidRPr="00701439" w:rsidRDefault="00F01EC8" w:rsidP="00E534C5">
      <w:pPr>
        <w:pStyle w:val="NoSpacing"/>
        <w:jc w:val="both"/>
        <w:rPr>
          <w:sz w:val="20"/>
          <w:szCs w:val="20"/>
        </w:rPr>
      </w:pPr>
    </w:p>
    <w:p w14:paraId="62578004" w14:textId="4128D033" w:rsidR="00F01EC8" w:rsidRPr="00701439" w:rsidRDefault="002A3A9F" w:rsidP="00E534C5">
      <w:pPr>
        <w:pStyle w:val="NoSpacing"/>
        <w:jc w:val="both"/>
        <w:rPr>
          <w:sz w:val="20"/>
          <w:szCs w:val="20"/>
        </w:rPr>
      </w:pPr>
      <w:r w:rsidRPr="00701439">
        <w:rPr>
          <w:sz w:val="20"/>
          <w:szCs w:val="20"/>
        </w:rPr>
        <w:t xml:space="preserve">The Board is proposing a final dividend with respect of FY’22 of </w:t>
      </w:r>
      <w:r w:rsidR="00835A6F" w:rsidRPr="00701439">
        <w:rPr>
          <w:sz w:val="20"/>
          <w:szCs w:val="20"/>
        </w:rPr>
        <w:t>10.3</w:t>
      </w:r>
      <w:r w:rsidRPr="00701439">
        <w:rPr>
          <w:sz w:val="20"/>
          <w:szCs w:val="20"/>
        </w:rPr>
        <w:t xml:space="preserve">p per share, reflecting the Group’s strong capital position and the Board’s confidence in the </w:t>
      </w:r>
      <w:r w:rsidR="00850EF4" w:rsidRPr="00701439">
        <w:rPr>
          <w:sz w:val="20"/>
          <w:szCs w:val="20"/>
        </w:rPr>
        <w:t xml:space="preserve">Group’s </w:t>
      </w:r>
      <w:r w:rsidRPr="00701439">
        <w:rPr>
          <w:sz w:val="20"/>
          <w:szCs w:val="20"/>
        </w:rPr>
        <w:t xml:space="preserve">outlook, equating to a total dividend payable of </w:t>
      </w:r>
      <w:r w:rsidR="00835A6F" w:rsidRPr="00701439">
        <w:rPr>
          <w:sz w:val="20"/>
          <w:szCs w:val="20"/>
        </w:rPr>
        <w:t>15.3</w:t>
      </w:r>
      <w:r w:rsidRPr="00701439">
        <w:rPr>
          <w:sz w:val="20"/>
          <w:szCs w:val="20"/>
        </w:rPr>
        <w:t xml:space="preserve">p per share and a pay-out ratio of adjusted continuing earnings of </w:t>
      </w:r>
      <w:r w:rsidR="00835A6F" w:rsidRPr="00701439">
        <w:rPr>
          <w:sz w:val="20"/>
          <w:szCs w:val="20"/>
        </w:rPr>
        <w:t>40</w:t>
      </w:r>
      <w:r w:rsidRPr="00701439">
        <w:rPr>
          <w:sz w:val="20"/>
          <w:szCs w:val="20"/>
        </w:rPr>
        <w:t xml:space="preserve">%. </w:t>
      </w:r>
      <w:r w:rsidR="00F344E1" w:rsidRPr="00701439">
        <w:rPr>
          <w:sz w:val="20"/>
          <w:szCs w:val="20"/>
        </w:rPr>
        <w:t>The dividend will be payable to those shareholders on the register as at close of business on 21 April 2023, with an ex-dividend date of 20 April 2023, and will be paid on 7 June 2023.</w:t>
      </w:r>
    </w:p>
    <w:p w14:paraId="19138D06" w14:textId="2B75A042" w:rsidR="001906E4" w:rsidRPr="00701439" w:rsidRDefault="001906E4" w:rsidP="00E534C5">
      <w:pPr>
        <w:pStyle w:val="NoSpacing"/>
        <w:jc w:val="both"/>
        <w:rPr>
          <w:sz w:val="20"/>
          <w:szCs w:val="20"/>
        </w:rPr>
      </w:pPr>
    </w:p>
    <w:p w14:paraId="3EF84DA4" w14:textId="61FE4E1E" w:rsidR="00F01EC8" w:rsidRPr="00701439" w:rsidRDefault="00F01EC8" w:rsidP="00E534C5">
      <w:pPr>
        <w:pStyle w:val="NoSpacing"/>
        <w:jc w:val="both"/>
        <w:rPr>
          <w:rStyle w:val="Strong"/>
          <w:color w:val="4747FF"/>
        </w:rPr>
      </w:pPr>
      <w:r w:rsidRPr="00701439">
        <w:rPr>
          <w:rStyle w:val="Strong"/>
          <w:color w:val="4747FF"/>
        </w:rPr>
        <w:t xml:space="preserve">Funding and </w:t>
      </w:r>
      <w:r w:rsidR="00680F6F" w:rsidRPr="00701439">
        <w:rPr>
          <w:rStyle w:val="Strong"/>
          <w:color w:val="4747FF"/>
        </w:rPr>
        <w:t>c</w:t>
      </w:r>
      <w:r w:rsidRPr="00701439">
        <w:rPr>
          <w:rStyle w:val="Strong"/>
          <w:color w:val="4747FF"/>
        </w:rPr>
        <w:t>apital</w:t>
      </w:r>
    </w:p>
    <w:p w14:paraId="56C76AC3" w14:textId="77777777" w:rsidR="00F01EC8" w:rsidRPr="00701439" w:rsidRDefault="00F01EC8" w:rsidP="00E534C5">
      <w:pPr>
        <w:pStyle w:val="NoSpacing"/>
        <w:jc w:val="both"/>
        <w:rPr>
          <w:sz w:val="20"/>
          <w:szCs w:val="20"/>
        </w:rPr>
      </w:pPr>
    </w:p>
    <w:p w14:paraId="3928F84A" w14:textId="704ED08E" w:rsidR="00AB33D1" w:rsidRPr="00701439" w:rsidRDefault="00AB33D1" w:rsidP="00E534C5">
      <w:pPr>
        <w:pStyle w:val="Body"/>
        <w:jc w:val="both"/>
        <w:rPr>
          <w:rFonts w:asciiTheme="minorHAnsi" w:hAnsiTheme="minorHAnsi" w:cs="Arial"/>
          <w:color w:val="auto"/>
          <w:sz w:val="20"/>
          <w:szCs w:val="20"/>
        </w:rPr>
      </w:pPr>
      <w:r w:rsidRPr="00701439">
        <w:rPr>
          <w:rFonts w:asciiTheme="minorHAnsi" w:hAnsiTheme="minorHAnsi" w:cs="Arial"/>
          <w:color w:val="auto"/>
          <w:sz w:val="20"/>
          <w:szCs w:val="20"/>
        </w:rPr>
        <w:t>The Group has strong capital and liquidity positions:</w:t>
      </w:r>
    </w:p>
    <w:p w14:paraId="73CA0ABE" w14:textId="77777777" w:rsidR="00AB33D1" w:rsidRPr="00701439" w:rsidRDefault="00AB33D1" w:rsidP="00E534C5">
      <w:pPr>
        <w:pStyle w:val="Body"/>
        <w:jc w:val="both"/>
        <w:rPr>
          <w:rFonts w:asciiTheme="minorHAnsi" w:hAnsiTheme="minorHAnsi" w:cs="Arial"/>
          <w:color w:val="auto"/>
          <w:sz w:val="20"/>
          <w:szCs w:val="20"/>
        </w:rPr>
      </w:pPr>
    </w:p>
    <w:p w14:paraId="4F698E9D" w14:textId="426EE674" w:rsidR="00081A4A" w:rsidRDefault="00081A4A" w:rsidP="00081A4A">
      <w:pPr>
        <w:pStyle w:val="Body"/>
        <w:numPr>
          <w:ilvl w:val="0"/>
          <w:numId w:val="23"/>
        </w:numPr>
        <w:jc w:val="both"/>
        <w:rPr>
          <w:rFonts w:asciiTheme="minorHAnsi" w:hAnsiTheme="minorHAnsi" w:cs="Arial"/>
          <w:color w:val="auto"/>
          <w:sz w:val="20"/>
          <w:szCs w:val="20"/>
        </w:rPr>
      </w:pPr>
      <w:r w:rsidRPr="00701439">
        <w:rPr>
          <w:rFonts w:asciiTheme="minorHAnsi" w:hAnsiTheme="minorHAnsi" w:cs="Arial"/>
          <w:color w:val="auto"/>
          <w:sz w:val="20"/>
          <w:szCs w:val="20"/>
        </w:rPr>
        <w:t xml:space="preserve">The Group is holding £421m of </w:t>
      </w:r>
      <w:r w:rsidR="00E772B1" w:rsidRPr="00701439">
        <w:rPr>
          <w:rFonts w:asciiTheme="minorHAnsi" w:hAnsiTheme="minorHAnsi" w:cs="Arial"/>
          <w:color w:val="auto"/>
          <w:sz w:val="20"/>
          <w:szCs w:val="20"/>
        </w:rPr>
        <w:t>high-quality</w:t>
      </w:r>
      <w:r w:rsidRPr="00701439">
        <w:rPr>
          <w:rFonts w:asciiTheme="minorHAnsi" w:hAnsiTheme="minorHAnsi" w:cs="Arial"/>
          <w:color w:val="auto"/>
          <w:sz w:val="20"/>
          <w:szCs w:val="20"/>
        </w:rPr>
        <w:t xml:space="preserve"> liquid resources with the Bank of England and has a Liquidity Coverage Ratio of 1,139%, amounting to £384m above the Group’s regulatory Liquidity Coverage Ratio requirement. </w:t>
      </w:r>
      <w:r w:rsidR="009C6ECA" w:rsidRPr="00701439">
        <w:rPr>
          <w:rFonts w:asciiTheme="minorHAnsi" w:hAnsiTheme="minorHAnsi" w:cs="Arial"/>
          <w:color w:val="auto"/>
          <w:sz w:val="20"/>
          <w:szCs w:val="20"/>
        </w:rPr>
        <w:t>Additionally, the Group</w:t>
      </w:r>
      <w:r w:rsidR="00E8750D" w:rsidRPr="00701439">
        <w:rPr>
          <w:rFonts w:asciiTheme="minorHAnsi" w:hAnsiTheme="minorHAnsi" w:cs="Arial"/>
          <w:color w:val="auto"/>
          <w:sz w:val="20"/>
          <w:szCs w:val="20"/>
        </w:rPr>
        <w:t xml:space="preserve"> has £50m of undrawn commitments </w:t>
      </w:r>
      <w:r w:rsidR="00A1324E" w:rsidRPr="00701439">
        <w:rPr>
          <w:rFonts w:asciiTheme="minorHAnsi" w:hAnsiTheme="minorHAnsi" w:cs="Arial"/>
          <w:color w:val="auto"/>
          <w:sz w:val="20"/>
          <w:szCs w:val="20"/>
        </w:rPr>
        <w:t>on its secured funding lines</w:t>
      </w:r>
      <w:r w:rsidR="00B22A62" w:rsidRPr="00701439">
        <w:rPr>
          <w:rFonts w:asciiTheme="minorHAnsi" w:hAnsiTheme="minorHAnsi" w:cs="Arial"/>
          <w:color w:val="auto"/>
          <w:sz w:val="20"/>
          <w:szCs w:val="20"/>
        </w:rPr>
        <w:t xml:space="preserve">, excluding any confidential and management buffers. </w:t>
      </w:r>
      <w:r w:rsidRPr="00701439">
        <w:rPr>
          <w:rFonts w:asciiTheme="minorHAnsi" w:hAnsiTheme="minorHAnsi" w:cs="Arial"/>
          <w:color w:val="auto"/>
          <w:sz w:val="20"/>
          <w:szCs w:val="20"/>
        </w:rPr>
        <w:t xml:space="preserve"> </w:t>
      </w:r>
    </w:p>
    <w:p w14:paraId="19DC0519" w14:textId="77777777" w:rsidR="00A4766D" w:rsidRDefault="00A4766D" w:rsidP="00A4766D">
      <w:pPr>
        <w:pStyle w:val="Body"/>
        <w:ind w:left="360"/>
        <w:jc w:val="both"/>
        <w:rPr>
          <w:rFonts w:asciiTheme="minorHAnsi" w:hAnsiTheme="minorHAnsi" w:cs="Arial"/>
          <w:color w:val="auto"/>
          <w:sz w:val="20"/>
          <w:szCs w:val="20"/>
        </w:rPr>
      </w:pPr>
    </w:p>
    <w:p w14:paraId="11EE7E69" w14:textId="77777777" w:rsidR="00A4766D" w:rsidRPr="00701439" w:rsidRDefault="00A4766D" w:rsidP="00A4766D">
      <w:pPr>
        <w:pStyle w:val="Body"/>
        <w:ind w:left="360"/>
        <w:jc w:val="both"/>
        <w:rPr>
          <w:rFonts w:asciiTheme="minorHAnsi" w:hAnsiTheme="minorHAnsi" w:cs="Arial"/>
          <w:color w:val="auto"/>
          <w:sz w:val="20"/>
          <w:szCs w:val="20"/>
        </w:rPr>
      </w:pPr>
    </w:p>
    <w:p w14:paraId="448B5F02" w14:textId="77777777" w:rsidR="00081A4A" w:rsidRPr="00701439" w:rsidRDefault="00081A4A" w:rsidP="00081A4A">
      <w:pPr>
        <w:pStyle w:val="Body"/>
        <w:ind w:left="720"/>
        <w:jc w:val="both"/>
        <w:rPr>
          <w:rFonts w:asciiTheme="minorHAnsi" w:hAnsiTheme="minorHAnsi" w:cs="Arial"/>
          <w:color w:val="auto"/>
          <w:sz w:val="20"/>
          <w:szCs w:val="20"/>
        </w:rPr>
      </w:pPr>
    </w:p>
    <w:p w14:paraId="45B90D2C" w14:textId="6BFC5B0C" w:rsidR="006573A7" w:rsidRPr="00701439" w:rsidRDefault="006573A7" w:rsidP="006573A7">
      <w:pPr>
        <w:pStyle w:val="Body"/>
        <w:numPr>
          <w:ilvl w:val="0"/>
          <w:numId w:val="23"/>
        </w:numPr>
        <w:jc w:val="both"/>
        <w:rPr>
          <w:rFonts w:asciiTheme="minorHAnsi" w:hAnsiTheme="minorHAnsi" w:cs="Arial"/>
          <w:color w:val="auto"/>
          <w:sz w:val="20"/>
          <w:szCs w:val="20"/>
        </w:rPr>
      </w:pPr>
      <w:r w:rsidRPr="00701439">
        <w:rPr>
          <w:rFonts w:asciiTheme="minorHAnsi" w:hAnsiTheme="minorHAnsi" w:cs="Arial"/>
          <w:color w:val="auto"/>
          <w:sz w:val="20"/>
          <w:szCs w:val="20"/>
        </w:rPr>
        <w:lastRenderedPageBreak/>
        <w:t xml:space="preserve">The Group's balance sheet position at the end of December remained robust, with regulatory </w:t>
      </w:r>
      <w:proofErr w:type="gramStart"/>
      <w:r w:rsidRPr="00701439">
        <w:rPr>
          <w:rFonts w:asciiTheme="minorHAnsi" w:hAnsiTheme="minorHAnsi" w:cs="Arial"/>
          <w:color w:val="auto"/>
          <w:sz w:val="20"/>
          <w:szCs w:val="20"/>
        </w:rPr>
        <w:t>capital</w:t>
      </w:r>
      <w:proofErr w:type="gramEnd"/>
      <w:r w:rsidRPr="00701439">
        <w:rPr>
          <w:rFonts w:asciiTheme="minorHAnsi" w:hAnsiTheme="minorHAnsi" w:cs="Arial"/>
          <w:color w:val="auto"/>
          <w:sz w:val="20"/>
          <w:szCs w:val="20"/>
        </w:rPr>
        <w:t xml:space="preserve"> </w:t>
      </w:r>
    </w:p>
    <w:p w14:paraId="285A2641" w14:textId="13214742" w:rsidR="00AB33D1" w:rsidRPr="00701439" w:rsidRDefault="006573A7" w:rsidP="00E534C5">
      <w:pPr>
        <w:pStyle w:val="Body"/>
        <w:ind w:left="709"/>
        <w:jc w:val="both"/>
        <w:rPr>
          <w:rFonts w:asciiTheme="minorHAnsi" w:hAnsiTheme="minorHAnsi" w:cs="Arial"/>
          <w:color w:val="auto"/>
          <w:sz w:val="20"/>
          <w:szCs w:val="20"/>
        </w:rPr>
      </w:pPr>
      <w:r w:rsidRPr="00701439">
        <w:rPr>
          <w:rFonts w:asciiTheme="minorHAnsi" w:hAnsiTheme="minorHAnsi" w:cs="Arial"/>
          <w:color w:val="auto"/>
          <w:sz w:val="20"/>
          <w:szCs w:val="20"/>
        </w:rPr>
        <w:t>of £6</w:t>
      </w:r>
      <w:r w:rsidR="00671739" w:rsidRPr="00701439">
        <w:rPr>
          <w:rFonts w:asciiTheme="minorHAnsi" w:hAnsiTheme="minorHAnsi" w:cs="Arial"/>
          <w:color w:val="auto"/>
          <w:sz w:val="20"/>
          <w:szCs w:val="20"/>
        </w:rPr>
        <w:t>7</w:t>
      </w:r>
      <w:r w:rsidR="00862800" w:rsidRPr="00701439">
        <w:rPr>
          <w:rFonts w:asciiTheme="minorHAnsi" w:hAnsiTheme="minorHAnsi" w:cs="Arial"/>
          <w:color w:val="auto"/>
          <w:sz w:val="20"/>
          <w:szCs w:val="20"/>
        </w:rPr>
        <w:t>9</w:t>
      </w:r>
      <w:r w:rsidRPr="00701439">
        <w:rPr>
          <w:rFonts w:asciiTheme="minorHAnsi" w:hAnsiTheme="minorHAnsi" w:cs="Arial"/>
          <w:color w:val="auto"/>
          <w:sz w:val="20"/>
          <w:szCs w:val="20"/>
        </w:rPr>
        <w:t xml:space="preserve">m, a CET1 ratio of </w:t>
      </w:r>
      <w:r w:rsidR="00081A4A" w:rsidRPr="00701439">
        <w:rPr>
          <w:rFonts w:asciiTheme="minorHAnsi" w:hAnsiTheme="minorHAnsi" w:cs="Arial"/>
          <w:color w:val="auto"/>
          <w:sz w:val="20"/>
          <w:szCs w:val="20"/>
        </w:rPr>
        <w:t>2</w:t>
      </w:r>
      <w:r w:rsidR="00C179C0" w:rsidRPr="00701439">
        <w:rPr>
          <w:rFonts w:asciiTheme="minorHAnsi" w:hAnsiTheme="minorHAnsi" w:cs="Arial"/>
          <w:color w:val="auto"/>
          <w:sz w:val="20"/>
          <w:szCs w:val="20"/>
        </w:rPr>
        <w:t>6</w:t>
      </w:r>
      <w:r w:rsidR="00081A4A" w:rsidRPr="00701439">
        <w:rPr>
          <w:rFonts w:asciiTheme="minorHAnsi" w:hAnsiTheme="minorHAnsi" w:cs="Arial"/>
          <w:color w:val="auto"/>
          <w:sz w:val="20"/>
          <w:szCs w:val="20"/>
        </w:rPr>
        <w:t>.</w:t>
      </w:r>
      <w:r w:rsidR="00671739" w:rsidRPr="00701439">
        <w:rPr>
          <w:rFonts w:asciiTheme="minorHAnsi" w:hAnsiTheme="minorHAnsi" w:cs="Arial"/>
          <w:color w:val="auto"/>
          <w:sz w:val="20"/>
          <w:szCs w:val="20"/>
        </w:rPr>
        <w:t>4</w:t>
      </w:r>
      <w:r w:rsidRPr="00701439">
        <w:rPr>
          <w:rFonts w:asciiTheme="minorHAnsi" w:hAnsiTheme="minorHAnsi" w:cs="Arial"/>
          <w:color w:val="auto"/>
          <w:sz w:val="20"/>
          <w:szCs w:val="20"/>
        </w:rPr>
        <w:t xml:space="preserve">% and a total capital ratio of </w:t>
      </w:r>
      <w:r w:rsidR="000C2C78" w:rsidRPr="00701439">
        <w:rPr>
          <w:rFonts w:asciiTheme="minorHAnsi" w:hAnsiTheme="minorHAnsi" w:cs="Arial"/>
          <w:color w:val="auto"/>
          <w:sz w:val="20"/>
          <w:szCs w:val="20"/>
        </w:rPr>
        <w:t>3</w:t>
      </w:r>
      <w:r w:rsidR="00C179C0" w:rsidRPr="00701439">
        <w:rPr>
          <w:rFonts w:asciiTheme="minorHAnsi" w:hAnsiTheme="minorHAnsi" w:cs="Arial"/>
          <w:color w:val="auto"/>
          <w:sz w:val="20"/>
          <w:szCs w:val="20"/>
        </w:rPr>
        <w:t>7.</w:t>
      </w:r>
      <w:r w:rsidR="00862800" w:rsidRPr="00701439">
        <w:rPr>
          <w:rFonts w:asciiTheme="minorHAnsi" w:hAnsiTheme="minorHAnsi" w:cs="Arial"/>
          <w:color w:val="auto"/>
          <w:sz w:val="20"/>
          <w:szCs w:val="20"/>
        </w:rPr>
        <w:t>5</w:t>
      </w:r>
      <w:r w:rsidRPr="00701439">
        <w:rPr>
          <w:rFonts w:asciiTheme="minorHAnsi" w:hAnsiTheme="minorHAnsi" w:cs="Arial"/>
          <w:color w:val="auto"/>
          <w:sz w:val="20"/>
          <w:szCs w:val="20"/>
        </w:rPr>
        <w:t>%, versus requirements of 13.8% and 21.8% respectively</w:t>
      </w:r>
      <w:r w:rsidR="009E48C2" w:rsidRPr="00701439">
        <w:rPr>
          <w:rStyle w:val="FootnoteReference"/>
          <w:rFonts w:asciiTheme="minorHAnsi" w:hAnsiTheme="minorHAnsi" w:cs="Arial"/>
          <w:color w:val="auto"/>
          <w:sz w:val="20"/>
          <w:szCs w:val="20"/>
        </w:rPr>
        <w:footnoteReference w:id="2"/>
      </w:r>
      <w:r w:rsidRPr="00701439">
        <w:rPr>
          <w:rFonts w:asciiTheme="minorHAnsi" w:hAnsiTheme="minorHAnsi" w:cs="Arial"/>
          <w:color w:val="auto"/>
          <w:sz w:val="20"/>
          <w:szCs w:val="20"/>
        </w:rPr>
        <w:t xml:space="preserve">. Total capital includes the Group's </w:t>
      </w:r>
      <w:r w:rsidR="00FC6FEE" w:rsidRPr="00701439">
        <w:rPr>
          <w:rFonts w:asciiTheme="minorHAnsi" w:hAnsiTheme="minorHAnsi" w:cs="Arial"/>
          <w:color w:val="auto"/>
          <w:sz w:val="20"/>
          <w:szCs w:val="20"/>
        </w:rPr>
        <w:t xml:space="preserve">£200m </w:t>
      </w:r>
      <w:r w:rsidRPr="00701439">
        <w:rPr>
          <w:rFonts w:asciiTheme="minorHAnsi" w:hAnsiTheme="minorHAnsi" w:cs="Arial"/>
          <w:color w:val="auto"/>
          <w:sz w:val="20"/>
          <w:szCs w:val="20"/>
        </w:rPr>
        <w:t>Tier 2 capital instrument.</w:t>
      </w:r>
    </w:p>
    <w:p w14:paraId="1B8027C9" w14:textId="77777777" w:rsidR="006573A7" w:rsidRPr="00701439" w:rsidRDefault="006573A7" w:rsidP="006573A7">
      <w:pPr>
        <w:pStyle w:val="Body"/>
        <w:ind w:left="709"/>
        <w:jc w:val="both"/>
        <w:rPr>
          <w:rFonts w:asciiTheme="minorHAnsi" w:hAnsiTheme="minorHAnsi" w:cs="Arial"/>
          <w:color w:val="auto"/>
          <w:sz w:val="20"/>
          <w:szCs w:val="20"/>
        </w:rPr>
      </w:pPr>
    </w:p>
    <w:p w14:paraId="7311D698" w14:textId="75CF50CD" w:rsidR="004A177F" w:rsidRPr="00701439" w:rsidRDefault="00AB33D1" w:rsidP="004A177F">
      <w:pPr>
        <w:pStyle w:val="Body"/>
        <w:jc w:val="both"/>
        <w:rPr>
          <w:rFonts w:asciiTheme="minorHAnsi" w:eastAsia="Calibri" w:hAnsiTheme="minorHAnsi" w:cs="Calibri"/>
          <w:color w:val="auto"/>
          <w:sz w:val="20"/>
          <w:szCs w:val="20"/>
        </w:rPr>
      </w:pPr>
      <w:r w:rsidRPr="00701439">
        <w:rPr>
          <w:rFonts w:asciiTheme="minorHAnsi" w:eastAsia="Calibri" w:hAnsiTheme="minorHAnsi" w:cs="Calibri"/>
          <w:color w:val="auto"/>
          <w:sz w:val="20"/>
          <w:szCs w:val="20"/>
        </w:rPr>
        <w:t>In 202</w:t>
      </w:r>
      <w:r w:rsidR="00643760" w:rsidRPr="00701439">
        <w:rPr>
          <w:rFonts w:asciiTheme="minorHAnsi" w:eastAsia="Calibri" w:hAnsiTheme="minorHAnsi" w:cs="Calibri"/>
          <w:color w:val="auto"/>
          <w:sz w:val="20"/>
          <w:szCs w:val="20"/>
        </w:rPr>
        <w:t>2</w:t>
      </w:r>
      <w:r w:rsidRPr="00701439">
        <w:rPr>
          <w:rFonts w:asciiTheme="minorHAnsi" w:eastAsia="Calibri" w:hAnsiTheme="minorHAnsi" w:cs="Calibri"/>
          <w:color w:val="auto"/>
          <w:sz w:val="20"/>
          <w:szCs w:val="20"/>
        </w:rPr>
        <w:t xml:space="preserve">, the Group </w:t>
      </w:r>
      <w:r w:rsidR="00316DB8" w:rsidRPr="00701439">
        <w:rPr>
          <w:rFonts w:asciiTheme="minorHAnsi" w:eastAsia="Calibri" w:hAnsiTheme="minorHAnsi" w:cs="Calibri"/>
          <w:color w:val="auto"/>
          <w:sz w:val="20"/>
          <w:szCs w:val="20"/>
        </w:rPr>
        <w:t>continued</w:t>
      </w:r>
      <w:r w:rsidRPr="00701439">
        <w:rPr>
          <w:rFonts w:asciiTheme="minorHAnsi" w:eastAsia="Calibri" w:hAnsiTheme="minorHAnsi" w:cs="Calibri"/>
          <w:color w:val="auto"/>
          <w:sz w:val="20"/>
          <w:szCs w:val="20"/>
        </w:rPr>
        <w:t xml:space="preserve"> to </w:t>
      </w:r>
      <w:r w:rsidR="004A177F" w:rsidRPr="00701439">
        <w:rPr>
          <w:rFonts w:asciiTheme="minorHAnsi" w:eastAsia="Calibri" w:hAnsiTheme="minorHAnsi" w:cs="Calibri"/>
          <w:color w:val="auto"/>
          <w:sz w:val="20"/>
          <w:szCs w:val="20"/>
        </w:rPr>
        <w:t>deliver on a number of its funding objectives: (</w:t>
      </w:r>
      <w:proofErr w:type="spellStart"/>
      <w:r w:rsidR="004A177F" w:rsidRPr="00701439">
        <w:rPr>
          <w:rFonts w:asciiTheme="minorHAnsi" w:eastAsia="Calibri" w:hAnsiTheme="minorHAnsi" w:cs="Calibri"/>
          <w:color w:val="auto"/>
          <w:sz w:val="20"/>
          <w:szCs w:val="20"/>
        </w:rPr>
        <w:t>i</w:t>
      </w:r>
      <w:proofErr w:type="spellEnd"/>
      <w:r w:rsidR="004A177F" w:rsidRPr="00701439">
        <w:rPr>
          <w:rFonts w:asciiTheme="minorHAnsi" w:eastAsia="Calibri" w:hAnsiTheme="minorHAnsi" w:cs="Calibri"/>
          <w:color w:val="auto"/>
          <w:sz w:val="20"/>
          <w:szCs w:val="20"/>
        </w:rPr>
        <w:t xml:space="preserve">) in line with the Group’s strategy to reduce its reliance on Revolving Credit Facilities (RCF) as a source of funds the Group took the decision to repay the RCF early on 30 March 2022 (the Group did not require the funding and did not plan to renew the facility on maturity); (ii) the </w:t>
      </w:r>
      <w:r w:rsidR="00D4650B" w:rsidRPr="00701439">
        <w:rPr>
          <w:rFonts w:asciiTheme="minorHAnsi" w:eastAsia="Calibri" w:hAnsiTheme="minorHAnsi" w:cs="Calibri"/>
          <w:color w:val="auto"/>
          <w:sz w:val="20"/>
          <w:szCs w:val="20"/>
        </w:rPr>
        <w:t>Group has placed all surplus funds on deposit with the Bank of England via Vanquis Ban</w:t>
      </w:r>
      <w:r w:rsidR="003C45BC" w:rsidRPr="00701439">
        <w:rPr>
          <w:rFonts w:asciiTheme="minorHAnsi" w:eastAsia="Calibri" w:hAnsiTheme="minorHAnsi" w:cs="Calibri"/>
          <w:color w:val="auto"/>
          <w:sz w:val="20"/>
          <w:szCs w:val="20"/>
        </w:rPr>
        <w:t>k</w:t>
      </w:r>
      <w:r w:rsidR="00D4650B" w:rsidRPr="00701439">
        <w:rPr>
          <w:rFonts w:asciiTheme="minorHAnsi" w:eastAsia="Calibri" w:hAnsiTheme="minorHAnsi" w:cs="Calibri"/>
          <w:color w:val="auto"/>
          <w:sz w:val="20"/>
          <w:szCs w:val="20"/>
        </w:rPr>
        <w:t xml:space="preserve">; (iii) </w:t>
      </w:r>
      <w:r w:rsidR="004A177F" w:rsidRPr="00701439">
        <w:rPr>
          <w:rFonts w:asciiTheme="minorHAnsi" w:eastAsia="Calibri" w:hAnsiTheme="minorHAnsi" w:cs="Calibri"/>
          <w:color w:val="auto"/>
          <w:sz w:val="20"/>
          <w:szCs w:val="20"/>
        </w:rPr>
        <w:t xml:space="preserve">the £70m loan from Vanquis Bank to </w:t>
      </w:r>
      <w:r w:rsidR="0091039F">
        <w:rPr>
          <w:rFonts w:asciiTheme="minorHAnsi" w:eastAsia="Calibri" w:hAnsiTheme="minorHAnsi" w:cs="Calibri"/>
          <w:color w:val="auto"/>
          <w:sz w:val="20"/>
          <w:szCs w:val="20"/>
        </w:rPr>
        <w:t>Vanquis Banking Group</w:t>
      </w:r>
      <w:r w:rsidR="004A177F" w:rsidRPr="00701439">
        <w:rPr>
          <w:rFonts w:asciiTheme="minorHAnsi" w:eastAsia="Calibri" w:hAnsiTheme="minorHAnsi" w:cs="Calibri"/>
          <w:color w:val="auto"/>
          <w:sz w:val="20"/>
          <w:szCs w:val="20"/>
        </w:rPr>
        <w:t xml:space="preserve"> plc </w:t>
      </w:r>
      <w:r w:rsidR="008D6E69" w:rsidRPr="00701439">
        <w:rPr>
          <w:rFonts w:asciiTheme="minorHAnsi" w:eastAsia="Calibri" w:hAnsiTheme="minorHAnsi" w:cs="Calibri"/>
          <w:color w:val="auto"/>
          <w:sz w:val="20"/>
          <w:szCs w:val="20"/>
        </w:rPr>
        <w:t>was</w:t>
      </w:r>
      <w:r w:rsidR="004A177F" w:rsidRPr="00701439">
        <w:rPr>
          <w:rFonts w:asciiTheme="minorHAnsi" w:eastAsia="Calibri" w:hAnsiTheme="minorHAnsi" w:cs="Calibri"/>
          <w:color w:val="auto"/>
          <w:sz w:val="20"/>
          <w:szCs w:val="20"/>
        </w:rPr>
        <w:t xml:space="preserve"> repaid early on 30 June; (</w:t>
      </w:r>
      <w:r w:rsidR="00D4650B" w:rsidRPr="00701439">
        <w:rPr>
          <w:rFonts w:asciiTheme="minorHAnsi" w:eastAsia="Calibri" w:hAnsiTheme="minorHAnsi" w:cs="Calibri"/>
          <w:color w:val="auto"/>
          <w:sz w:val="20"/>
          <w:szCs w:val="20"/>
        </w:rPr>
        <w:t>iv</w:t>
      </w:r>
      <w:r w:rsidR="004A177F" w:rsidRPr="00701439">
        <w:rPr>
          <w:rFonts w:asciiTheme="minorHAnsi" w:eastAsia="Calibri" w:hAnsiTheme="minorHAnsi" w:cs="Calibri"/>
          <w:color w:val="auto"/>
          <w:sz w:val="20"/>
          <w:szCs w:val="20"/>
        </w:rPr>
        <w:t>) Vanquis Bank extended a £70m loan to Moneybarn under the existing Large Exposure Limit on 30 June</w:t>
      </w:r>
      <w:r w:rsidR="00510E19" w:rsidRPr="00701439">
        <w:rPr>
          <w:rFonts w:asciiTheme="minorHAnsi" w:eastAsia="Calibri" w:hAnsiTheme="minorHAnsi" w:cs="Calibri"/>
          <w:color w:val="auto"/>
          <w:sz w:val="20"/>
          <w:szCs w:val="20"/>
        </w:rPr>
        <w:t xml:space="preserve"> 2022</w:t>
      </w:r>
      <w:r w:rsidR="004A177F" w:rsidRPr="00701439">
        <w:rPr>
          <w:rFonts w:asciiTheme="minorHAnsi" w:eastAsia="Calibri" w:hAnsiTheme="minorHAnsi" w:cs="Calibri"/>
          <w:color w:val="auto"/>
          <w:sz w:val="20"/>
          <w:szCs w:val="20"/>
        </w:rPr>
        <w:t xml:space="preserve"> (that </w:t>
      </w:r>
      <w:r w:rsidR="00897CAB" w:rsidRPr="00701439">
        <w:rPr>
          <w:rFonts w:asciiTheme="minorHAnsi" w:eastAsia="Calibri" w:hAnsiTheme="minorHAnsi" w:cs="Calibri"/>
          <w:color w:val="auto"/>
          <w:sz w:val="20"/>
          <w:szCs w:val="20"/>
        </w:rPr>
        <w:t>wa</w:t>
      </w:r>
      <w:r w:rsidR="004A177F" w:rsidRPr="00701439">
        <w:rPr>
          <w:rFonts w:asciiTheme="minorHAnsi" w:eastAsia="Calibri" w:hAnsiTheme="minorHAnsi" w:cs="Calibri"/>
          <w:color w:val="auto"/>
          <w:sz w:val="20"/>
          <w:szCs w:val="20"/>
        </w:rPr>
        <w:t>s not waiver dependent)</w:t>
      </w:r>
      <w:r w:rsidR="00897CAB" w:rsidRPr="00701439">
        <w:rPr>
          <w:rFonts w:asciiTheme="minorHAnsi" w:eastAsia="Calibri" w:hAnsiTheme="minorHAnsi" w:cs="Calibri"/>
          <w:color w:val="auto"/>
          <w:sz w:val="20"/>
          <w:szCs w:val="20"/>
        </w:rPr>
        <w:t xml:space="preserve">; </w:t>
      </w:r>
      <w:r w:rsidR="00F3420C" w:rsidRPr="00701439">
        <w:rPr>
          <w:rFonts w:asciiTheme="minorHAnsi" w:eastAsia="Calibri" w:hAnsiTheme="minorHAnsi" w:cs="Calibri"/>
          <w:color w:val="auto"/>
          <w:sz w:val="20"/>
          <w:szCs w:val="20"/>
        </w:rPr>
        <w:t xml:space="preserve">(v) completed the annual update of the Euro Medium Term Note (EMTN) programme in October 2022; </w:t>
      </w:r>
      <w:r w:rsidR="00D4650B" w:rsidRPr="00701439">
        <w:rPr>
          <w:rFonts w:asciiTheme="minorHAnsi" w:eastAsia="Calibri" w:hAnsiTheme="minorHAnsi" w:cs="Calibri"/>
          <w:color w:val="auto"/>
          <w:sz w:val="20"/>
          <w:szCs w:val="20"/>
        </w:rPr>
        <w:t xml:space="preserve">and </w:t>
      </w:r>
      <w:r w:rsidR="00897CAB" w:rsidRPr="00701439">
        <w:rPr>
          <w:rFonts w:asciiTheme="minorHAnsi" w:eastAsia="Calibri" w:hAnsiTheme="minorHAnsi" w:cs="Calibri"/>
          <w:color w:val="auto"/>
          <w:sz w:val="20"/>
          <w:szCs w:val="20"/>
        </w:rPr>
        <w:t>(v</w:t>
      </w:r>
      <w:r w:rsidR="00F3420C" w:rsidRPr="00701439">
        <w:rPr>
          <w:rFonts w:asciiTheme="minorHAnsi" w:eastAsia="Calibri" w:hAnsiTheme="minorHAnsi" w:cs="Calibri"/>
          <w:color w:val="auto"/>
          <w:sz w:val="20"/>
          <w:szCs w:val="20"/>
        </w:rPr>
        <w:t>i</w:t>
      </w:r>
      <w:r w:rsidR="00897CAB" w:rsidRPr="00701439">
        <w:rPr>
          <w:rFonts w:asciiTheme="minorHAnsi" w:eastAsia="Calibri" w:hAnsiTheme="minorHAnsi" w:cs="Calibri"/>
          <w:color w:val="auto"/>
          <w:sz w:val="20"/>
          <w:szCs w:val="20"/>
        </w:rPr>
        <w:t xml:space="preserve">) </w:t>
      </w:r>
      <w:r w:rsidR="004A177F" w:rsidRPr="00701439">
        <w:rPr>
          <w:rFonts w:asciiTheme="minorHAnsi" w:eastAsia="Calibri" w:hAnsiTheme="minorHAnsi" w:cs="Calibri"/>
          <w:color w:val="auto"/>
          <w:sz w:val="20"/>
          <w:szCs w:val="20"/>
        </w:rPr>
        <w:t xml:space="preserve">the Group </w:t>
      </w:r>
      <w:r w:rsidR="009C07BC" w:rsidRPr="00701439">
        <w:rPr>
          <w:rFonts w:asciiTheme="minorHAnsi" w:eastAsia="Calibri" w:hAnsiTheme="minorHAnsi" w:cs="Calibri"/>
          <w:color w:val="auto"/>
          <w:sz w:val="20"/>
          <w:szCs w:val="20"/>
        </w:rPr>
        <w:t>received approval</w:t>
      </w:r>
      <w:r w:rsidR="0072105B" w:rsidRPr="00701439">
        <w:rPr>
          <w:rFonts w:asciiTheme="minorHAnsi" w:eastAsia="Calibri" w:hAnsiTheme="minorHAnsi" w:cs="Calibri"/>
          <w:color w:val="auto"/>
          <w:sz w:val="20"/>
          <w:szCs w:val="20"/>
        </w:rPr>
        <w:t xml:space="preserve"> from the Prudential Regulation Authority (</w:t>
      </w:r>
      <w:r w:rsidR="009C07BC" w:rsidRPr="00701439">
        <w:rPr>
          <w:rFonts w:asciiTheme="minorHAnsi" w:eastAsia="Calibri" w:hAnsiTheme="minorHAnsi" w:cs="Calibri"/>
          <w:color w:val="auto"/>
          <w:sz w:val="20"/>
          <w:szCs w:val="20"/>
        </w:rPr>
        <w:t>PRA</w:t>
      </w:r>
      <w:r w:rsidR="0072105B" w:rsidRPr="00701439">
        <w:rPr>
          <w:rFonts w:asciiTheme="minorHAnsi" w:eastAsia="Calibri" w:hAnsiTheme="minorHAnsi" w:cs="Calibri"/>
          <w:color w:val="auto"/>
          <w:sz w:val="20"/>
          <w:szCs w:val="20"/>
        </w:rPr>
        <w:t>)</w:t>
      </w:r>
      <w:r w:rsidR="009C07BC" w:rsidRPr="00701439">
        <w:rPr>
          <w:rFonts w:asciiTheme="minorHAnsi" w:eastAsia="Calibri" w:hAnsiTheme="minorHAnsi" w:cs="Calibri"/>
          <w:color w:val="auto"/>
          <w:sz w:val="20"/>
          <w:szCs w:val="20"/>
        </w:rPr>
        <w:t xml:space="preserve"> </w:t>
      </w:r>
      <w:r w:rsidR="00A52891" w:rsidRPr="00701439">
        <w:rPr>
          <w:rFonts w:asciiTheme="minorHAnsi" w:eastAsia="Calibri" w:hAnsiTheme="minorHAnsi" w:cs="Calibri"/>
          <w:color w:val="auto"/>
          <w:sz w:val="20"/>
          <w:szCs w:val="20"/>
        </w:rPr>
        <w:t xml:space="preserve">for </w:t>
      </w:r>
      <w:r w:rsidR="004A177F" w:rsidRPr="00701439">
        <w:rPr>
          <w:rFonts w:asciiTheme="minorHAnsi" w:eastAsia="Calibri" w:hAnsiTheme="minorHAnsi" w:cs="Calibri"/>
          <w:color w:val="auto"/>
          <w:sz w:val="20"/>
          <w:szCs w:val="20"/>
        </w:rPr>
        <w:t xml:space="preserve">a Core UK Group </w:t>
      </w:r>
      <w:r w:rsidR="002148FC" w:rsidRPr="00701439">
        <w:rPr>
          <w:rFonts w:asciiTheme="minorHAnsi" w:eastAsia="Calibri" w:hAnsiTheme="minorHAnsi" w:cs="Calibri"/>
          <w:color w:val="auto"/>
          <w:sz w:val="20"/>
          <w:szCs w:val="20"/>
        </w:rPr>
        <w:t xml:space="preserve">large exposure </w:t>
      </w:r>
      <w:r w:rsidR="004A177F" w:rsidRPr="00701439">
        <w:rPr>
          <w:rFonts w:asciiTheme="minorHAnsi" w:eastAsia="Calibri" w:hAnsiTheme="minorHAnsi" w:cs="Calibri"/>
          <w:color w:val="auto"/>
          <w:sz w:val="20"/>
          <w:szCs w:val="20"/>
        </w:rPr>
        <w:t xml:space="preserve">waiver to allow the use of retail deposits held at Vanquis Bank to fund </w:t>
      </w:r>
      <w:r w:rsidR="009C07BC" w:rsidRPr="00701439">
        <w:rPr>
          <w:rFonts w:asciiTheme="minorHAnsi" w:eastAsia="Calibri" w:hAnsiTheme="minorHAnsi" w:cs="Calibri"/>
          <w:color w:val="auto"/>
          <w:sz w:val="20"/>
          <w:szCs w:val="20"/>
        </w:rPr>
        <w:t>Moneybarn No.1 Limite</w:t>
      </w:r>
      <w:r w:rsidR="0022361D" w:rsidRPr="00701439">
        <w:rPr>
          <w:rFonts w:asciiTheme="minorHAnsi" w:eastAsia="Calibri" w:hAnsiTheme="minorHAnsi" w:cs="Calibri"/>
          <w:color w:val="auto"/>
          <w:sz w:val="20"/>
          <w:szCs w:val="20"/>
        </w:rPr>
        <w:t>d</w:t>
      </w:r>
      <w:r w:rsidR="0072105B" w:rsidRPr="00701439">
        <w:rPr>
          <w:rFonts w:asciiTheme="minorHAnsi" w:eastAsia="Calibri" w:hAnsiTheme="minorHAnsi" w:cs="Calibri"/>
          <w:color w:val="auto"/>
          <w:sz w:val="20"/>
          <w:szCs w:val="20"/>
        </w:rPr>
        <w:t xml:space="preserve"> (see below).</w:t>
      </w:r>
      <w:r w:rsidR="004A177F" w:rsidRPr="00701439">
        <w:rPr>
          <w:rFonts w:asciiTheme="minorHAnsi" w:eastAsia="Calibri" w:hAnsiTheme="minorHAnsi" w:cs="Calibri"/>
          <w:color w:val="auto"/>
          <w:sz w:val="20"/>
          <w:szCs w:val="20"/>
        </w:rPr>
        <w:t xml:space="preserve"> </w:t>
      </w:r>
    </w:p>
    <w:p w14:paraId="0DB675BB" w14:textId="77777777" w:rsidR="0086263D" w:rsidRPr="00701439" w:rsidRDefault="0086263D" w:rsidP="004A177F">
      <w:pPr>
        <w:pStyle w:val="Body"/>
        <w:jc w:val="both"/>
        <w:rPr>
          <w:rFonts w:asciiTheme="minorHAnsi" w:eastAsia="Calibri" w:hAnsiTheme="minorHAnsi" w:cs="Calibri"/>
          <w:color w:val="auto"/>
          <w:sz w:val="20"/>
          <w:szCs w:val="20"/>
        </w:rPr>
      </w:pPr>
    </w:p>
    <w:p w14:paraId="1D04372C" w14:textId="1AE459DC" w:rsidR="002308E2" w:rsidRPr="00701439" w:rsidRDefault="002308E2" w:rsidP="0072105B">
      <w:pPr>
        <w:pStyle w:val="Body"/>
        <w:jc w:val="both"/>
        <w:rPr>
          <w:rFonts w:asciiTheme="minorHAnsi" w:eastAsia="Calibri" w:hAnsiTheme="minorHAnsi" w:cs="Calibri"/>
          <w:color w:val="auto"/>
          <w:sz w:val="20"/>
          <w:szCs w:val="20"/>
        </w:rPr>
      </w:pPr>
      <w:r w:rsidRPr="00701439">
        <w:rPr>
          <w:rFonts w:asciiTheme="minorHAnsi" w:eastAsia="Calibri" w:hAnsiTheme="minorHAnsi" w:cs="Calibri"/>
          <w:color w:val="auto"/>
          <w:sz w:val="20"/>
          <w:szCs w:val="20"/>
        </w:rPr>
        <w:t>On 1 November 2022, the Group received notice from the PRA that it ha</w:t>
      </w:r>
      <w:r w:rsidR="00672D94" w:rsidRPr="00701439">
        <w:rPr>
          <w:rFonts w:asciiTheme="minorHAnsi" w:eastAsia="Calibri" w:hAnsiTheme="minorHAnsi" w:cs="Calibri"/>
          <w:color w:val="auto"/>
          <w:sz w:val="20"/>
          <w:szCs w:val="20"/>
        </w:rPr>
        <w:t>d</w:t>
      </w:r>
      <w:r w:rsidRPr="00701439">
        <w:rPr>
          <w:rFonts w:asciiTheme="minorHAnsi" w:eastAsia="Calibri" w:hAnsiTheme="minorHAnsi" w:cs="Calibri"/>
          <w:color w:val="auto"/>
          <w:sz w:val="20"/>
          <w:szCs w:val="20"/>
        </w:rPr>
        <w:t xml:space="preserve"> approved the Group’s application for a Core UK Group large exposure waiver which will enable Moneybarn No.1 Limited, the Group’s vehicle finance subsidiary, to access retail deposit funding via Vanquis Bank with immediate effect. This enables the </w:t>
      </w:r>
      <w:r w:rsidR="00DF6E23" w:rsidRPr="00701439">
        <w:rPr>
          <w:rFonts w:asciiTheme="minorHAnsi" w:eastAsia="Calibri" w:hAnsiTheme="minorHAnsi" w:cs="Calibri"/>
          <w:color w:val="auto"/>
          <w:sz w:val="20"/>
          <w:szCs w:val="20"/>
        </w:rPr>
        <w:t xml:space="preserve">Group’s </w:t>
      </w:r>
      <w:r w:rsidRPr="00701439">
        <w:rPr>
          <w:rFonts w:asciiTheme="minorHAnsi" w:eastAsia="Calibri" w:hAnsiTheme="minorHAnsi" w:cs="Calibri"/>
          <w:color w:val="auto"/>
          <w:sz w:val="20"/>
          <w:szCs w:val="20"/>
        </w:rPr>
        <w:t>transition to a traditional bank funding model in which the Group’s funding will consist of</w:t>
      </w:r>
      <w:r w:rsidR="005471F5">
        <w:rPr>
          <w:rFonts w:asciiTheme="minorHAnsi" w:eastAsia="Calibri" w:hAnsiTheme="minorHAnsi" w:cs="Calibri"/>
          <w:color w:val="auto"/>
          <w:sz w:val="20"/>
          <w:szCs w:val="20"/>
        </w:rPr>
        <w:t>;</w:t>
      </w:r>
      <w:r w:rsidRPr="00701439">
        <w:rPr>
          <w:rFonts w:asciiTheme="minorHAnsi" w:eastAsia="Calibri" w:hAnsiTheme="minorHAnsi" w:cs="Calibri"/>
          <w:color w:val="auto"/>
          <w:sz w:val="20"/>
          <w:szCs w:val="20"/>
        </w:rPr>
        <w:t xml:space="preserve"> (</w:t>
      </w:r>
      <w:proofErr w:type="spellStart"/>
      <w:r w:rsidRPr="00701439">
        <w:rPr>
          <w:rFonts w:asciiTheme="minorHAnsi" w:eastAsia="Calibri" w:hAnsiTheme="minorHAnsi" w:cs="Calibri"/>
          <w:color w:val="auto"/>
          <w:sz w:val="20"/>
          <w:szCs w:val="20"/>
        </w:rPr>
        <w:t>i</w:t>
      </w:r>
      <w:proofErr w:type="spellEnd"/>
      <w:r w:rsidRPr="00701439">
        <w:rPr>
          <w:rFonts w:asciiTheme="minorHAnsi" w:eastAsia="Calibri" w:hAnsiTheme="minorHAnsi" w:cs="Calibri"/>
          <w:color w:val="auto"/>
          <w:sz w:val="20"/>
          <w:szCs w:val="20"/>
        </w:rPr>
        <w:t xml:space="preserve">) retail deposits; (ii) </w:t>
      </w:r>
      <w:proofErr w:type="spellStart"/>
      <w:r w:rsidRPr="00701439">
        <w:rPr>
          <w:rFonts w:asciiTheme="minorHAnsi" w:eastAsia="Calibri" w:hAnsiTheme="minorHAnsi" w:cs="Calibri"/>
          <w:color w:val="auto"/>
          <w:sz w:val="20"/>
          <w:szCs w:val="20"/>
        </w:rPr>
        <w:t>securitisation</w:t>
      </w:r>
      <w:proofErr w:type="spellEnd"/>
      <w:r w:rsidRPr="00701439">
        <w:rPr>
          <w:rFonts w:asciiTheme="minorHAnsi" w:eastAsia="Calibri" w:hAnsiTheme="minorHAnsi" w:cs="Calibri"/>
          <w:color w:val="auto"/>
          <w:sz w:val="20"/>
          <w:szCs w:val="20"/>
        </w:rPr>
        <w:t xml:space="preserve"> of the </w:t>
      </w:r>
      <w:r w:rsidR="009C4200" w:rsidRPr="00701439">
        <w:rPr>
          <w:rFonts w:asciiTheme="minorHAnsi" w:eastAsia="Calibri" w:hAnsiTheme="minorHAnsi" w:cs="Calibri"/>
          <w:color w:val="auto"/>
          <w:sz w:val="20"/>
          <w:szCs w:val="20"/>
        </w:rPr>
        <w:t xml:space="preserve">credit </w:t>
      </w:r>
      <w:r w:rsidRPr="00701439">
        <w:rPr>
          <w:rFonts w:asciiTheme="minorHAnsi" w:eastAsia="Calibri" w:hAnsiTheme="minorHAnsi" w:cs="Calibri"/>
          <w:color w:val="auto"/>
          <w:sz w:val="20"/>
          <w:szCs w:val="20"/>
        </w:rPr>
        <w:t>cards and vehicle finance book</w:t>
      </w:r>
      <w:r w:rsidR="00C37328" w:rsidRPr="00701439">
        <w:rPr>
          <w:rFonts w:asciiTheme="minorHAnsi" w:eastAsia="Calibri" w:hAnsiTheme="minorHAnsi" w:cs="Calibri"/>
          <w:color w:val="auto"/>
          <w:sz w:val="20"/>
          <w:szCs w:val="20"/>
        </w:rPr>
        <w:t>s</w:t>
      </w:r>
      <w:r w:rsidRPr="00701439">
        <w:rPr>
          <w:rFonts w:asciiTheme="minorHAnsi" w:eastAsia="Calibri" w:hAnsiTheme="minorHAnsi" w:cs="Calibri"/>
          <w:color w:val="auto"/>
          <w:sz w:val="20"/>
          <w:szCs w:val="20"/>
        </w:rPr>
        <w:t xml:space="preserve">; and (iii) liquidity and funding facilities at the Bank of England. The Group retains access to wholesale market funding and debt capital via its </w:t>
      </w:r>
      <w:r w:rsidR="00F3420C" w:rsidRPr="00701439">
        <w:rPr>
          <w:rFonts w:asciiTheme="minorHAnsi" w:eastAsia="Calibri" w:hAnsiTheme="minorHAnsi" w:cs="Calibri"/>
          <w:color w:val="auto"/>
          <w:sz w:val="20"/>
          <w:szCs w:val="20"/>
        </w:rPr>
        <w:t>EMTN</w:t>
      </w:r>
      <w:r w:rsidRPr="00701439">
        <w:rPr>
          <w:rFonts w:asciiTheme="minorHAnsi" w:eastAsia="Calibri" w:hAnsiTheme="minorHAnsi" w:cs="Calibri"/>
          <w:color w:val="auto"/>
          <w:sz w:val="20"/>
          <w:szCs w:val="20"/>
        </w:rPr>
        <w:t xml:space="preserve"> programme. Vanquis Bank expects to further diversify its retail deposit funding mix through more cost-effective </w:t>
      </w:r>
      <w:proofErr w:type="spellStart"/>
      <w:r w:rsidRPr="00701439">
        <w:rPr>
          <w:rFonts w:asciiTheme="minorHAnsi" w:eastAsia="Calibri" w:hAnsiTheme="minorHAnsi" w:cs="Calibri"/>
          <w:color w:val="auto"/>
          <w:sz w:val="20"/>
          <w:szCs w:val="20"/>
        </w:rPr>
        <w:t>behaviouralised</w:t>
      </w:r>
      <w:proofErr w:type="spellEnd"/>
      <w:r w:rsidRPr="00701439">
        <w:rPr>
          <w:rFonts w:asciiTheme="minorHAnsi" w:eastAsia="Calibri" w:hAnsiTheme="minorHAnsi" w:cs="Calibri"/>
          <w:color w:val="auto"/>
          <w:sz w:val="20"/>
          <w:szCs w:val="20"/>
        </w:rPr>
        <w:t xml:space="preserve"> deposits and ISAs.</w:t>
      </w:r>
    </w:p>
    <w:p w14:paraId="45C54A0F" w14:textId="77777777" w:rsidR="002308E2" w:rsidRPr="00701439" w:rsidRDefault="002308E2" w:rsidP="002308E2">
      <w:pPr>
        <w:jc w:val="both"/>
        <w:rPr>
          <w:rFonts w:ascii="Calibri" w:eastAsia="Calibri" w:hAnsi="Calibri" w:cs="Calibri"/>
        </w:rPr>
      </w:pPr>
    </w:p>
    <w:p w14:paraId="3CB6E855" w14:textId="1514A717" w:rsidR="002308E2" w:rsidRPr="00701439" w:rsidRDefault="002308E2" w:rsidP="00880C66">
      <w:pPr>
        <w:pStyle w:val="Body"/>
        <w:jc w:val="both"/>
        <w:rPr>
          <w:rFonts w:asciiTheme="minorHAnsi" w:eastAsia="Calibri" w:hAnsiTheme="minorHAnsi" w:cs="Calibri"/>
          <w:color w:val="auto"/>
          <w:sz w:val="20"/>
          <w:szCs w:val="20"/>
        </w:rPr>
      </w:pPr>
      <w:r w:rsidRPr="00701439">
        <w:rPr>
          <w:rFonts w:asciiTheme="minorHAnsi" w:eastAsia="Calibri" w:hAnsiTheme="minorHAnsi" w:cs="Calibri"/>
          <w:color w:val="auto"/>
          <w:sz w:val="20"/>
          <w:szCs w:val="20"/>
        </w:rPr>
        <w:t xml:space="preserve">Moneybarn No.1 Limited has been partially funded by the bond market historically and the large exposure waiver will allow the Group’s maturities in 2023, which amount to approximately £160m, to be refinanced using retail deposits as planned. This enables </w:t>
      </w:r>
      <w:r w:rsidR="00D95C8F" w:rsidRPr="00701439">
        <w:rPr>
          <w:rFonts w:asciiTheme="minorHAnsi" w:eastAsia="Calibri" w:hAnsiTheme="minorHAnsi" w:cs="Calibri"/>
          <w:color w:val="auto"/>
          <w:sz w:val="20"/>
          <w:szCs w:val="20"/>
        </w:rPr>
        <w:t>the transition</w:t>
      </w:r>
      <w:r w:rsidRPr="00701439">
        <w:rPr>
          <w:rFonts w:asciiTheme="minorHAnsi" w:eastAsia="Calibri" w:hAnsiTheme="minorHAnsi" w:cs="Calibri"/>
          <w:color w:val="auto"/>
          <w:sz w:val="20"/>
          <w:szCs w:val="20"/>
        </w:rPr>
        <w:t xml:space="preserve"> towards having a funding model which is predominantly retail deposit funded whilst maintaining the appropriate diversity of liquidity sources. </w:t>
      </w:r>
    </w:p>
    <w:p w14:paraId="7A86B615" w14:textId="77777777" w:rsidR="002308E2" w:rsidRPr="00701439" w:rsidRDefault="002308E2" w:rsidP="00E534C5">
      <w:pPr>
        <w:pStyle w:val="Body"/>
        <w:jc w:val="both"/>
        <w:rPr>
          <w:rFonts w:asciiTheme="minorHAnsi" w:eastAsia="Calibri" w:hAnsiTheme="minorHAnsi" w:cs="Calibri"/>
          <w:color w:val="auto"/>
          <w:sz w:val="20"/>
          <w:szCs w:val="20"/>
        </w:rPr>
      </w:pPr>
    </w:p>
    <w:p w14:paraId="2849657E" w14:textId="521FB706" w:rsidR="00AB33D1" w:rsidRPr="00701439" w:rsidRDefault="00AB33D1" w:rsidP="00E534C5">
      <w:pPr>
        <w:pStyle w:val="Body"/>
        <w:jc w:val="both"/>
        <w:rPr>
          <w:rFonts w:asciiTheme="minorHAnsi" w:eastAsia="Calibri" w:hAnsiTheme="minorHAnsi" w:cs="Calibri"/>
          <w:color w:val="auto"/>
          <w:sz w:val="20"/>
          <w:szCs w:val="20"/>
        </w:rPr>
      </w:pPr>
      <w:r w:rsidRPr="00701439">
        <w:rPr>
          <w:rFonts w:asciiTheme="minorHAnsi" w:eastAsia="Calibri" w:hAnsiTheme="minorHAnsi" w:cs="Calibri"/>
          <w:color w:val="auto"/>
          <w:sz w:val="20"/>
          <w:szCs w:val="20"/>
        </w:rPr>
        <w:t xml:space="preserve">The Group continues to adopt a prudent approach to managing its funding and liquidity resources within risk </w:t>
      </w:r>
      <w:proofErr w:type="gramStart"/>
      <w:r w:rsidRPr="00701439">
        <w:rPr>
          <w:rFonts w:asciiTheme="minorHAnsi" w:eastAsia="Calibri" w:hAnsiTheme="minorHAnsi" w:cs="Calibri"/>
          <w:color w:val="auto"/>
          <w:sz w:val="20"/>
          <w:szCs w:val="20"/>
        </w:rPr>
        <w:t>appetite, and</w:t>
      </w:r>
      <w:proofErr w:type="gramEnd"/>
      <w:r w:rsidRPr="00701439">
        <w:rPr>
          <w:rFonts w:asciiTheme="minorHAnsi" w:eastAsia="Calibri" w:hAnsiTheme="minorHAnsi" w:cs="Calibri"/>
          <w:color w:val="auto"/>
          <w:sz w:val="20"/>
          <w:szCs w:val="20"/>
        </w:rPr>
        <w:t xml:space="preserve"> will </w:t>
      </w:r>
      <w:r w:rsidR="00DB09EE" w:rsidRPr="00701439">
        <w:rPr>
          <w:rFonts w:asciiTheme="minorHAnsi" w:eastAsia="Calibri" w:hAnsiTheme="minorHAnsi" w:cs="Calibri"/>
          <w:color w:val="auto"/>
          <w:sz w:val="20"/>
          <w:szCs w:val="20"/>
        </w:rPr>
        <w:t xml:space="preserve">continue to </w:t>
      </w:r>
      <w:proofErr w:type="spellStart"/>
      <w:r w:rsidR="00140E67" w:rsidRPr="00701439">
        <w:rPr>
          <w:rFonts w:asciiTheme="minorHAnsi" w:eastAsia="Calibri" w:hAnsiTheme="minorHAnsi" w:cs="Calibri"/>
          <w:color w:val="auto"/>
          <w:sz w:val="20"/>
          <w:szCs w:val="20"/>
        </w:rPr>
        <w:t>optimise</w:t>
      </w:r>
      <w:proofErr w:type="spellEnd"/>
      <w:r w:rsidRPr="00701439">
        <w:rPr>
          <w:rFonts w:asciiTheme="minorHAnsi" w:eastAsia="Calibri" w:hAnsiTheme="minorHAnsi" w:cs="Calibri"/>
          <w:color w:val="auto"/>
          <w:sz w:val="20"/>
          <w:szCs w:val="20"/>
        </w:rPr>
        <w:t xml:space="preserve"> these resources when new opportunities become available to the Group.</w:t>
      </w:r>
    </w:p>
    <w:p w14:paraId="25BD3181" w14:textId="6620F0E9" w:rsidR="00CB5DE8" w:rsidRPr="00701439" w:rsidRDefault="00CB5DE8" w:rsidP="00E534C5">
      <w:pPr>
        <w:pStyle w:val="Body"/>
        <w:jc w:val="both"/>
        <w:rPr>
          <w:rFonts w:asciiTheme="minorHAnsi" w:eastAsia="Calibri" w:hAnsiTheme="minorHAnsi" w:cs="Calibri"/>
          <w:color w:val="auto"/>
          <w:sz w:val="20"/>
          <w:szCs w:val="20"/>
        </w:rPr>
      </w:pPr>
    </w:p>
    <w:p w14:paraId="0B1D6E67" w14:textId="45580B30" w:rsidR="000377BA" w:rsidRPr="00701439" w:rsidRDefault="000377BA" w:rsidP="000377BA">
      <w:pPr>
        <w:pStyle w:val="Body"/>
        <w:jc w:val="both"/>
        <w:rPr>
          <w:rFonts w:asciiTheme="minorHAnsi" w:eastAsia="Calibri" w:hAnsiTheme="minorHAnsi" w:cs="Calibri"/>
          <w:color w:val="auto"/>
          <w:sz w:val="20"/>
          <w:szCs w:val="20"/>
        </w:rPr>
      </w:pPr>
      <w:proofErr w:type="gramStart"/>
      <w:r w:rsidRPr="00701439">
        <w:rPr>
          <w:rFonts w:asciiTheme="minorHAnsi" w:eastAsia="Calibri" w:hAnsiTheme="minorHAnsi" w:cs="Calibri"/>
          <w:color w:val="auto"/>
          <w:sz w:val="20"/>
          <w:szCs w:val="20"/>
        </w:rPr>
        <w:t>At</w:t>
      </w:r>
      <w:proofErr w:type="gramEnd"/>
      <w:r w:rsidRPr="00701439">
        <w:rPr>
          <w:rFonts w:asciiTheme="minorHAnsi" w:eastAsia="Calibri" w:hAnsiTheme="minorHAnsi" w:cs="Calibri"/>
          <w:color w:val="auto"/>
          <w:sz w:val="20"/>
          <w:szCs w:val="20"/>
        </w:rPr>
        <w:t xml:space="preserve"> 31 December 202</w:t>
      </w:r>
      <w:r w:rsidR="00FC29D3" w:rsidRPr="00701439">
        <w:rPr>
          <w:rFonts w:asciiTheme="minorHAnsi" w:eastAsia="Calibri" w:hAnsiTheme="minorHAnsi" w:cs="Calibri"/>
          <w:color w:val="auto"/>
          <w:sz w:val="20"/>
          <w:szCs w:val="20"/>
        </w:rPr>
        <w:t>2</w:t>
      </w:r>
      <w:r w:rsidRPr="00701439">
        <w:rPr>
          <w:rFonts w:asciiTheme="minorHAnsi" w:eastAsia="Calibri" w:hAnsiTheme="minorHAnsi" w:cs="Calibri"/>
          <w:color w:val="auto"/>
          <w:sz w:val="20"/>
          <w:szCs w:val="20"/>
        </w:rPr>
        <w:t xml:space="preserve">, the Group’s CET1 ratio was </w:t>
      </w:r>
      <w:r w:rsidR="00FC29D3" w:rsidRPr="00701439">
        <w:rPr>
          <w:rFonts w:asciiTheme="minorHAnsi" w:eastAsia="Calibri" w:hAnsiTheme="minorHAnsi" w:cs="Calibri"/>
          <w:color w:val="auto"/>
          <w:sz w:val="20"/>
          <w:szCs w:val="20"/>
        </w:rPr>
        <w:t>2</w:t>
      </w:r>
      <w:r w:rsidR="009C380D" w:rsidRPr="00701439">
        <w:rPr>
          <w:rFonts w:asciiTheme="minorHAnsi" w:eastAsia="Calibri" w:hAnsiTheme="minorHAnsi" w:cs="Calibri"/>
          <w:color w:val="auto"/>
          <w:sz w:val="20"/>
          <w:szCs w:val="20"/>
        </w:rPr>
        <w:t>6.</w:t>
      </w:r>
      <w:r w:rsidR="00967D0B" w:rsidRPr="00701439">
        <w:rPr>
          <w:rFonts w:asciiTheme="minorHAnsi" w:eastAsia="Calibri" w:hAnsiTheme="minorHAnsi" w:cs="Calibri"/>
          <w:color w:val="auto"/>
          <w:sz w:val="20"/>
          <w:szCs w:val="20"/>
        </w:rPr>
        <w:t>4</w:t>
      </w:r>
      <w:r w:rsidRPr="00701439">
        <w:rPr>
          <w:rFonts w:asciiTheme="minorHAnsi" w:eastAsia="Calibri" w:hAnsiTheme="minorHAnsi" w:cs="Calibri"/>
          <w:color w:val="auto"/>
          <w:sz w:val="20"/>
          <w:szCs w:val="20"/>
        </w:rPr>
        <w:t>% (FY’2</w:t>
      </w:r>
      <w:r w:rsidR="00FC29D3" w:rsidRPr="00701439">
        <w:rPr>
          <w:rFonts w:asciiTheme="minorHAnsi" w:eastAsia="Calibri" w:hAnsiTheme="minorHAnsi" w:cs="Calibri"/>
          <w:color w:val="auto"/>
          <w:sz w:val="20"/>
          <w:szCs w:val="20"/>
        </w:rPr>
        <w:t>1</w:t>
      </w:r>
      <w:r w:rsidRPr="00701439">
        <w:rPr>
          <w:rFonts w:asciiTheme="minorHAnsi" w:eastAsia="Calibri" w:hAnsiTheme="minorHAnsi" w:cs="Calibri"/>
          <w:color w:val="auto"/>
          <w:sz w:val="20"/>
          <w:szCs w:val="20"/>
        </w:rPr>
        <w:t xml:space="preserve">: 29.1%) and the Total Capital Ratio was </w:t>
      </w:r>
      <w:r w:rsidR="00FC29D3" w:rsidRPr="00701439">
        <w:rPr>
          <w:rFonts w:asciiTheme="minorHAnsi" w:eastAsia="Calibri" w:hAnsiTheme="minorHAnsi" w:cs="Calibri"/>
          <w:color w:val="auto"/>
          <w:sz w:val="20"/>
          <w:szCs w:val="20"/>
        </w:rPr>
        <w:t>3</w:t>
      </w:r>
      <w:r w:rsidR="009C380D" w:rsidRPr="00701439">
        <w:rPr>
          <w:rFonts w:asciiTheme="minorHAnsi" w:eastAsia="Calibri" w:hAnsiTheme="minorHAnsi" w:cs="Calibri"/>
          <w:color w:val="auto"/>
          <w:sz w:val="20"/>
          <w:szCs w:val="20"/>
        </w:rPr>
        <w:t>7.</w:t>
      </w:r>
      <w:r w:rsidR="00DF0FF6" w:rsidRPr="00701439">
        <w:rPr>
          <w:rFonts w:asciiTheme="minorHAnsi" w:eastAsia="Calibri" w:hAnsiTheme="minorHAnsi" w:cs="Calibri"/>
          <w:color w:val="auto"/>
          <w:sz w:val="20"/>
          <w:szCs w:val="20"/>
        </w:rPr>
        <w:t>5</w:t>
      </w:r>
      <w:r w:rsidRPr="00701439">
        <w:rPr>
          <w:rFonts w:asciiTheme="minorHAnsi" w:eastAsia="Calibri" w:hAnsiTheme="minorHAnsi" w:cs="Calibri"/>
          <w:color w:val="auto"/>
          <w:sz w:val="20"/>
          <w:szCs w:val="20"/>
        </w:rPr>
        <w:t>% (FY’2</w:t>
      </w:r>
      <w:r w:rsidR="00FC29D3" w:rsidRPr="00701439">
        <w:rPr>
          <w:rFonts w:asciiTheme="minorHAnsi" w:eastAsia="Calibri" w:hAnsiTheme="minorHAnsi" w:cs="Calibri"/>
          <w:color w:val="auto"/>
          <w:sz w:val="20"/>
          <w:szCs w:val="20"/>
        </w:rPr>
        <w:t>1</w:t>
      </w:r>
      <w:r w:rsidRPr="00701439">
        <w:rPr>
          <w:rFonts w:asciiTheme="minorHAnsi" w:eastAsia="Calibri" w:hAnsiTheme="minorHAnsi" w:cs="Calibri"/>
          <w:color w:val="auto"/>
          <w:sz w:val="20"/>
          <w:szCs w:val="20"/>
        </w:rPr>
        <w:t>: 40.6%). CET1 decreased from £507m to £</w:t>
      </w:r>
      <w:r w:rsidR="00B52B33" w:rsidRPr="00701439">
        <w:rPr>
          <w:rFonts w:asciiTheme="minorHAnsi" w:eastAsia="Calibri" w:hAnsiTheme="minorHAnsi" w:cs="Calibri"/>
          <w:color w:val="auto"/>
          <w:sz w:val="20"/>
          <w:szCs w:val="20"/>
        </w:rPr>
        <w:t>4</w:t>
      </w:r>
      <w:r w:rsidR="00222E0E" w:rsidRPr="00701439">
        <w:rPr>
          <w:rFonts w:asciiTheme="minorHAnsi" w:eastAsia="Calibri" w:hAnsiTheme="minorHAnsi" w:cs="Calibri"/>
          <w:color w:val="auto"/>
          <w:sz w:val="20"/>
          <w:szCs w:val="20"/>
        </w:rPr>
        <w:t>79</w:t>
      </w:r>
      <w:r w:rsidRPr="00701439">
        <w:rPr>
          <w:rFonts w:asciiTheme="minorHAnsi" w:eastAsia="Calibri" w:hAnsiTheme="minorHAnsi" w:cs="Calibri"/>
          <w:color w:val="auto"/>
          <w:sz w:val="20"/>
          <w:szCs w:val="20"/>
        </w:rPr>
        <w:t>m during 202</w:t>
      </w:r>
      <w:r w:rsidR="00B52B33" w:rsidRPr="00701439">
        <w:rPr>
          <w:rFonts w:asciiTheme="minorHAnsi" w:eastAsia="Calibri" w:hAnsiTheme="minorHAnsi" w:cs="Calibri"/>
          <w:color w:val="auto"/>
          <w:sz w:val="20"/>
          <w:szCs w:val="20"/>
        </w:rPr>
        <w:t>2</w:t>
      </w:r>
      <w:r w:rsidRPr="00701439">
        <w:rPr>
          <w:rFonts w:asciiTheme="minorHAnsi" w:eastAsia="Calibri" w:hAnsiTheme="minorHAnsi" w:cs="Calibri"/>
          <w:color w:val="auto"/>
          <w:sz w:val="20"/>
          <w:szCs w:val="20"/>
        </w:rPr>
        <w:t xml:space="preserve"> </w:t>
      </w:r>
      <w:r w:rsidR="00CF6982" w:rsidRPr="00701439">
        <w:rPr>
          <w:rFonts w:asciiTheme="minorHAnsi" w:eastAsia="Calibri" w:hAnsiTheme="minorHAnsi" w:cs="Calibri"/>
          <w:color w:val="auto"/>
          <w:sz w:val="20"/>
          <w:szCs w:val="20"/>
        </w:rPr>
        <w:t>and</w:t>
      </w:r>
      <w:r w:rsidRPr="00701439">
        <w:rPr>
          <w:rFonts w:asciiTheme="minorHAnsi" w:eastAsia="Calibri" w:hAnsiTheme="minorHAnsi" w:cs="Calibri"/>
          <w:color w:val="auto"/>
          <w:sz w:val="20"/>
          <w:szCs w:val="20"/>
        </w:rPr>
        <w:t xml:space="preserve"> total </w:t>
      </w:r>
      <w:r w:rsidR="00CF6982" w:rsidRPr="00701439">
        <w:rPr>
          <w:rFonts w:asciiTheme="minorHAnsi" w:eastAsia="Calibri" w:hAnsiTheme="minorHAnsi" w:cs="Calibri"/>
          <w:color w:val="auto"/>
          <w:sz w:val="20"/>
          <w:szCs w:val="20"/>
        </w:rPr>
        <w:t>own funds decreased</w:t>
      </w:r>
      <w:r w:rsidRPr="00701439">
        <w:rPr>
          <w:rFonts w:asciiTheme="minorHAnsi" w:eastAsia="Calibri" w:hAnsiTheme="minorHAnsi" w:cs="Calibri"/>
          <w:color w:val="auto"/>
          <w:sz w:val="20"/>
          <w:szCs w:val="20"/>
        </w:rPr>
        <w:t xml:space="preserve"> from £707m </w:t>
      </w:r>
      <w:r w:rsidR="00CF6982" w:rsidRPr="00701439">
        <w:rPr>
          <w:rFonts w:asciiTheme="minorHAnsi" w:eastAsia="Calibri" w:hAnsiTheme="minorHAnsi" w:cs="Calibri"/>
          <w:color w:val="auto"/>
          <w:sz w:val="20"/>
          <w:szCs w:val="20"/>
        </w:rPr>
        <w:t>to £6</w:t>
      </w:r>
      <w:r w:rsidR="00967D0B" w:rsidRPr="00701439">
        <w:rPr>
          <w:rFonts w:asciiTheme="minorHAnsi" w:eastAsia="Calibri" w:hAnsiTheme="minorHAnsi" w:cs="Calibri"/>
          <w:color w:val="auto"/>
          <w:sz w:val="20"/>
          <w:szCs w:val="20"/>
        </w:rPr>
        <w:t>7</w:t>
      </w:r>
      <w:r w:rsidR="00DF0FF6" w:rsidRPr="00701439">
        <w:rPr>
          <w:rFonts w:asciiTheme="minorHAnsi" w:eastAsia="Calibri" w:hAnsiTheme="minorHAnsi" w:cs="Calibri"/>
          <w:color w:val="auto"/>
          <w:sz w:val="20"/>
          <w:szCs w:val="20"/>
        </w:rPr>
        <w:t>9</w:t>
      </w:r>
      <w:r w:rsidR="00CF6982" w:rsidRPr="00701439">
        <w:rPr>
          <w:rFonts w:asciiTheme="minorHAnsi" w:eastAsia="Calibri" w:hAnsiTheme="minorHAnsi" w:cs="Calibri"/>
          <w:color w:val="auto"/>
          <w:sz w:val="20"/>
          <w:szCs w:val="20"/>
        </w:rPr>
        <w:t>m</w:t>
      </w:r>
      <w:r w:rsidRPr="00701439">
        <w:rPr>
          <w:rFonts w:asciiTheme="minorHAnsi" w:eastAsia="Calibri" w:hAnsiTheme="minorHAnsi" w:cs="Calibri"/>
          <w:color w:val="auto"/>
          <w:sz w:val="20"/>
          <w:szCs w:val="20"/>
        </w:rPr>
        <w:t>. The continuing operations of the Group were CET1 generative in 202</w:t>
      </w:r>
      <w:r w:rsidR="00A0561D" w:rsidRPr="00701439">
        <w:rPr>
          <w:rFonts w:asciiTheme="minorHAnsi" w:eastAsia="Calibri" w:hAnsiTheme="minorHAnsi" w:cs="Calibri"/>
          <w:color w:val="auto"/>
          <w:sz w:val="20"/>
          <w:szCs w:val="20"/>
        </w:rPr>
        <w:t>2</w:t>
      </w:r>
      <w:r w:rsidRPr="00701439">
        <w:rPr>
          <w:rFonts w:asciiTheme="minorHAnsi" w:eastAsia="Calibri" w:hAnsiTheme="minorHAnsi" w:cs="Calibri"/>
          <w:color w:val="auto"/>
          <w:sz w:val="20"/>
          <w:szCs w:val="20"/>
        </w:rPr>
        <w:t>. The regulatory capital headroom above the minimum regulatory requirement of 2</w:t>
      </w:r>
      <w:r w:rsidR="003862E0" w:rsidRPr="00701439">
        <w:rPr>
          <w:rFonts w:asciiTheme="minorHAnsi" w:eastAsia="Calibri" w:hAnsiTheme="minorHAnsi" w:cs="Calibri"/>
          <w:color w:val="auto"/>
          <w:sz w:val="20"/>
          <w:szCs w:val="20"/>
        </w:rPr>
        <w:t>1</w:t>
      </w:r>
      <w:r w:rsidRPr="00701439">
        <w:rPr>
          <w:rFonts w:asciiTheme="minorHAnsi" w:eastAsia="Calibri" w:hAnsiTheme="minorHAnsi" w:cs="Calibri"/>
          <w:color w:val="auto"/>
          <w:sz w:val="20"/>
          <w:szCs w:val="20"/>
        </w:rPr>
        <w:t>.8% was £</w:t>
      </w:r>
      <w:r w:rsidR="003862E0" w:rsidRPr="00701439">
        <w:rPr>
          <w:rFonts w:asciiTheme="minorHAnsi" w:eastAsia="Calibri" w:hAnsiTheme="minorHAnsi" w:cs="Calibri"/>
          <w:color w:val="auto"/>
          <w:sz w:val="20"/>
          <w:szCs w:val="20"/>
        </w:rPr>
        <w:t>2</w:t>
      </w:r>
      <w:r w:rsidR="00E95DC1" w:rsidRPr="00701439">
        <w:rPr>
          <w:rFonts w:asciiTheme="minorHAnsi" w:eastAsia="Calibri" w:hAnsiTheme="minorHAnsi" w:cs="Calibri"/>
          <w:color w:val="auto"/>
          <w:sz w:val="20"/>
          <w:szCs w:val="20"/>
        </w:rPr>
        <w:t>8</w:t>
      </w:r>
      <w:r w:rsidR="00222E0E" w:rsidRPr="00701439">
        <w:rPr>
          <w:rFonts w:asciiTheme="minorHAnsi" w:eastAsia="Calibri" w:hAnsiTheme="minorHAnsi" w:cs="Calibri"/>
          <w:color w:val="auto"/>
          <w:sz w:val="20"/>
          <w:szCs w:val="20"/>
        </w:rPr>
        <w:t>4</w:t>
      </w:r>
      <w:r w:rsidRPr="00701439">
        <w:rPr>
          <w:rFonts w:asciiTheme="minorHAnsi" w:eastAsia="Calibri" w:hAnsiTheme="minorHAnsi" w:cs="Calibri"/>
          <w:color w:val="auto"/>
          <w:sz w:val="20"/>
          <w:szCs w:val="20"/>
        </w:rPr>
        <w:t>m at the period end</w:t>
      </w:r>
      <w:r w:rsidR="0029727F" w:rsidRPr="00701439">
        <w:rPr>
          <w:rFonts w:asciiTheme="minorHAnsi" w:eastAsia="Calibri" w:hAnsiTheme="minorHAnsi" w:cs="Calibri"/>
          <w:color w:val="auto"/>
          <w:sz w:val="20"/>
          <w:szCs w:val="20"/>
        </w:rPr>
        <w:t xml:space="preserve"> pre the C-SREP release of capital</w:t>
      </w:r>
      <w:r w:rsidRPr="00701439">
        <w:rPr>
          <w:rFonts w:asciiTheme="minorHAnsi" w:eastAsia="Calibri" w:hAnsiTheme="minorHAnsi" w:cs="Calibri"/>
          <w:color w:val="auto"/>
          <w:sz w:val="20"/>
          <w:szCs w:val="20"/>
        </w:rPr>
        <w:t xml:space="preserve">. The </w:t>
      </w:r>
      <w:r w:rsidR="003862E0" w:rsidRPr="00701439">
        <w:rPr>
          <w:rFonts w:asciiTheme="minorHAnsi" w:eastAsia="Calibri" w:hAnsiTheme="minorHAnsi" w:cs="Calibri"/>
          <w:color w:val="auto"/>
          <w:sz w:val="20"/>
          <w:szCs w:val="20"/>
        </w:rPr>
        <w:t>de</w:t>
      </w:r>
      <w:r w:rsidRPr="00701439">
        <w:rPr>
          <w:rFonts w:asciiTheme="minorHAnsi" w:eastAsia="Calibri" w:hAnsiTheme="minorHAnsi" w:cs="Calibri"/>
          <w:color w:val="auto"/>
          <w:sz w:val="20"/>
          <w:szCs w:val="20"/>
        </w:rPr>
        <w:t>crease in headroom from £</w:t>
      </w:r>
      <w:r w:rsidR="003862E0" w:rsidRPr="00701439">
        <w:rPr>
          <w:rFonts w:asciiTheme="minorHAnsi" w:eastAsia="Calibri" w:hAnsiTheme="minorHAnsi" w:cs="Calibri"/>
          <w:color w:val="auto"/>
          <w:sz w:val="20"/>
          <w:szCs w:val="20"/>
        </w:rPr>
        <w:t>344</w:t>
      </w:r>
      <w:r w:rsidRPr="00701439">
        <w:rPr>
          <w:rFonts w:asciiTheme="minorHAnsi" w:eastAsia="Calibri" w:hAnsiTheme="minorHAnsi" w:cs="Calibri"/>
          <w:color w:val="auto"/>
          <w:sz w:val="20"/>
          <w:szCs w:val="20"/>
        </w:rPr>
        <w:t xml:space="preserve">m </w:t>
      </w:r>
      <w:proofErr w:type="gramStart"/>
      <w:r w:rsidRPr="00701439">
        <w:rPr>
          <w:rFonts w:asciiTheme="minorHAnsi" w:eastAsia="Calibri" w:hAnsiTheme="minorHAnsi" w:cs="Calibri"/>
          <w:color w:val="auto"/>
          <w:sz w:val="20"/>
          <w:szCs w:val="20"/>
        </w:rPr>
        <w:t>at</w:t>
      </w:r>
      <w:proofErr w:type="gramEnd"/>
      <w:r w:rsidRPr="00701439">
        <w:rPr>
          <w:rFonts w:asciiTheme="minorHAnsi" w:eastAsia="Calibri" w:hAnsiTheme="minorHAnsi" w:cs="Calibri"/>
          <w:color w:val="auto"/>
          <w:sz w:val="20"/>
          <w:szCs w:val="20"/>
        </w:rPr>
        <w:t xml:space="preserve"> 31 December 202</w:t>
      </w:r>
      <w:r w:rsidR="003862E0" w:rsidRPr="00701439">
        <w:rPr>
          <w:rFonts w:asciiTheme="minorHAnsi" w:eastAsia="Calibri" w:hAnsiTheme="minorHAnsi" w:cs="Calibri"/>
          <w:color w:val="auto"/>
          <w:sz w:val="20"/>
          <w:szCs w:val="20"/>
        </w:rPr>
        <w:t>1</w:t>
      </w:r>
      <w:r w:rsidRPr="00701439">
        <w:rPr>
          <w:rFonts w:asciiTheme="minorHAnsi" w:eastAsia="Calibri" w:hAnsiTheme="minorHAnsi" w:cs="Calibri"/>
          <w:color w:val="auto"/>
          <w:sz w:val="20"/>
          <w:szCs w:val="20"/>
        </w:rPr>
        <w:t xml:space="preserve"> (versus the </w:t>
      </w:r>
      <w:r w:rsidR="00E56FD5" w:rsidRPr="00701439">
        <w:rPr>
          <w:rFonts w:asciiTheme="minorHAnsi" w:eastAsia="Calibri" w:hAnsiTheme="minorHAnsi" w:cs="Calibri"/>
          <w:color w:val="auto"/>
          <w:sz w:val="20"/>
          <w:szCs w:val="20"/>
        </w:rPr>
        <w:t>TCR and combined buffer</w:t>
      </w:r>
      <w:r w:rsidRPr="00701439">
        <w:rPr>
          <w:rFonts w:asciiTheme="minorHAnsi" w:eastAsia="Calibri" w:hAnsiTheme="minorHAnsi" w:cs="Calibri"/>
          <w:color w:val="auto"/>
          <w:sz w:val="20"/>
          <w:szCs w:val="20"/>
        </w:rPr>
        <w:t>) predominantly reflects</w:t>
      </w:r>
      <w:r w:rsidR="005471F5">
        <w:rPr>
          <w:rFonts w:asciiTheme="minorHAnsi" w:eastAsia="Calibri" w:hAnsiTheme="minorHAnsi" w:cs="Calibri"/>
          <w:color w:val="auto"/>
          <w:sz w:val="20"/>
          <w:szCs w:val="20"/>
        </w:rPr>
        <w:t>;</w:t>
      </w:r>
      <w:r w:rsidR="003862E0" w:rsidRPr="00701439">
        <w:rPr>
          <w:rFonts w:asciiTheme="minorHAnsi" w:eastAsia="Calibri" w:hAnsiTheme="minorHAnsi" w:cs="Calibri"/>
          <w:color w:val="auto"/>
          <w:sz w:val="20"/>
          <w:szCs w:val="20"/>
        </w:rPr>
        <w:t xml:space="preserve"> </w:t>
      </w:r>
      <w:r w:rsidR="00BB74C7" w:rsidRPr="00701439">
        <w:rPr>
          <w:rFonts w:asciiTheme="minorHAnsi" w:eastAsia="Calibri" w:hAnsiTheme="minorHAnsi" w:cs="Calibri"/>
          <w:color w:val="auto"/>
          <w:sz w:val="20"/>
          <w:szCs w:val="20"/>
        </w:rPr>
        <w:t>(</w:t>
      </w:r>
      <w:proofErr w:type="spellStart"/>
      <w:r w:rsidR="00BB74C7" w:rsidRPr="00701439">
        <w:rPr>
          <w:rFonts w:asciiTheme="minorHAnsi" w:eastAsia="Calibri" w:hAnsiTheme="minorHAnsi" w:cs="Calibri"/>
          <w:color w:val="auto"/>
          <w:sz w:val="20"/>
          <w:szCs w:val="20"/>
        </w:rPr>
        <w:t>i</w:t>
      </w:r>
      <w:proofErr w:type="spellEnd"/>
      <w:r w:rsidR="00BB74C7" w:rsidRPr="00701439">
        <w:rPr>
          <w:rFonts w:asciiTheme="minorHAnsi" w:eastAsia="Calibri" w:hAnsiTheme="minorHAnsi" w:cs="Calibri"/>
          <w:color w:val="auto"/>
          <w:sz w:val="20"/>
          <w:szCs w:val="20"/>
        </w:rPr>
        <w:t>)</w:t>
      </w:r>
      <w:r w:rsidR="003862E0" w:rsidRPr="00701439">
        <w:rPr>
          <w:rFonts w:asciiTheme="minorHAnsi" w:eastAsia="Calibri" w:hAnsiTheme="minorHAnsi" w:cs="Calibri"/>
          <w:color w:val="auto"/>
          <w:sz w:val="20"/>
          <w:szCs w:val="20"/>
        </w:rPr>
        <w:t xml:space="preserve"> the scheduled further unwind of the IFRS 9 transitional relief in regulatory capital</w:t>
      </w:r>
      <w:r w:rsidR="00BB74C7" w:rsidRPr="00701439">
        <w:rPr>
          <w:rFonts w:asciiTheme="minorHAnsi" w:eastAsia="Calibri" w:hAnsiTheme="minorHAnsi" w:cs="Calibri"/>
          <w:color w:val="auto"/>
          <w:sz w:val="20"/>
          <w:szCs w:val="20"/>
        </w:rPr>
        <w:t xml:space="preserve">; and (ii) </w:t>
      </w:r>
      <w:r w:rsidR="008E0C07" w:rsidRPr="00701439">
        <w:rPr>
          <w:rFonts w:asciiTheme="minorHAnsi" w:eastAsia="Calibri" w:hAnsiTheme="minorHAnsi" w:cs="Calibri"/>
          <w:color w:val="auto"/>
          <w:sz w:val="20"/>
          <w:szCs w:val="20"/>
        </w:rPr>
        <w:t>higher risk-weighted exposures</w:t>
      </w:r>
      <w:r w:rsidR="00036BF1" w:rsidRPr="00701439">
        <w:rPr>
          <w:rFonts w:asciiTheme="minorHAnsi" w:eastAsia="Calibri" w:hAnsiTheme="minorHAnsi" w:cs="Calibri"/>
          <w:color w:val="auto"/>
          <w:sz w:val="20"/>
          <w:szCs w:val="20"/>
        </w:rPr>
        <w:t xml:space="preserve"> in respect of customer receivables. </w:t>
      </w:r>
      <w:r w:rsidR="00704F3E" w:rsidRPr="00701439">
        <w:rPr>
          <w:rFonts w:asciiTheme="minorHAnsi" w:eastAsia="Calibri" w:hAnsiTheme="minorHAnsi" w:cs="Calibri"/>
          <w:color w:val="auto"/>
          <w:sz w:val="20"/>
          <w:szCs w:val="20"/>
        </w:rPr>
        <w:t>T</w:t>
      </w:r>
      <w:r w:rsidR="00EA6B21" w:rsidRPr="00701439">
        <w:rPr>
          <w:rFonts w:asciiTheme="minorHAnsi" w:eastAsia="Calibri" w:hAnsiTheme="minorHAnsi" w:cs="Calibri"/>
          <w:color w:val="auto"/>
          <w:sz w:val="20"/>
          <w:szCs w:val="20"/>
        </w:rPr>
        <w:t xml:space="preserve">hese </w:t>
      </w:r>
      <w:r w:rsidR="006F6D3A" w:rsidRPr="00701439">
        <w:rPr>
          <w:rFonts w:asciiTheme="minorHAnsi" w:eastAsia="Calibri" w:hAnsiTheme="minorHAnsi" w:cs="Calibri"/>
          <w:color w:val="auto"/>
          <w:sz w:val="20"/>
          <w:szCs w:val="20"/>
        </w:rPr>
        <w:t xml:space="preserve">items are partly offset by </w:t>
      </w:r>
      <w:r w:rsidRPr="00701439">
        <w:rPr>
          <w:rFonts w:asciiTheme="minorHAnsi" w:eastAsia="Calibri" w:hAnsiTheme="minorHAnsi" w:cs="Calibri"/>
          <w:color w:val="auto"/>
          <w:sz w:val="20"/>
          <w:szCs w:val="20"/>
        </w:rPr>
        <w:t>the underlying profit excluding discontinued operations</w:t>
      </w:r>
      <w:r w:rsidR="00AB2786" w:rsidRPr="00701439">
        <w:rPr>
          <w:rFonts w:asciiTheme="minorHAnsi" w:eastAsia="Calibri" w:hAnsiTheme="minorHAnsi" w:cs="Calibri"/>
          <w:color w:val="auto"/>
          <w:sz w:val="20"/>
          <w:szCs w:val="20"/>
        </w:rPr>
        <w:t>.</w:t>
      </w:r>
      <w:r w:rsidRPr="00701439">
        <w:rPr>
          <w:rFonts w:asciiTheme="minorHAnsi" w:eastAsia="Calibri" w:hAnsiTheme="minorHAnsi" w:cs="Calibri"/>
          <w:color w:val="auto"/>
          <w:sz w:val="20"/>
          <w:szCs w:val="20"/>
        </w:rPr>
        <w:t xml:space="preserve"> </w:t>
      </w:r>
    </w:p>
    <w:p w14:paraId="03210C89" w14:textId="77777777" w:rsidR="000377BA" w:rsidRPr="00701439" w:rsidRDefault="000377BA" w:rsidP="000377BA">
      <w:pPr>
        <w:pStyle w:val="Body"/>
        <w:jc w:val="both"/>
        <w:rPr>
          <w:rFonts w:asciiTheme="minorHAnsi" w:eastAsia="Calibri" w:hAnsiTheme="minorHAnsi" w:cs="Calibri"/>
          <w:color w:val="auto"/>
          <w:sz w:val="20"/>
          <w:szCs w:val="20"/>
        </w:rPr>
      </w:pPr>
    </w:p>
    <w:p w14:paraId="25EA9034" w14:textId="18E7C4B3" w:rsidR="000377BA" w:rsidRDefault="000377BA" w:rsidP="000377BA">
      <w:pPr>
        <w:jc w:val="both"/>
        <w:rPr>
          <w:rFonts w:asciiTheme="minorHAnsi" w:hAnsiTheme="minorHAnsi" w:cs="Arial"/>
          <w:sz w:val="20"/>
          <w:szCs w:val="20"/>
          <w:lang w:val="en-US"/>
        </w:rPr>
      </w:pPr>
      <w:r w:rsidRPr="00701439">
        <w:rPr>
          <w:rFonts w:asciiTheme="minorHAnsi" w:hAnsiTheme="minorHAnsi" w:cs="Arial"/>
          <w:sz w:val="20"/>
          <w:szCs w:val="20"/>
        </w:rPr>
        <w:t xml:space="preserve">As previously reported, the Group has elected to phase in the impact of adopting IFRS 9 over the five-year period ending 31 December 2022 by applying add back factors of 95%, 85%, 70%, 50% and 25% for years one to five, respectively, to the initial IFRS 9 transition adjustment. This is in addition to any subsequent increase in expected credit losses (ECL) in the non-credit-impaired book from transition to the end of the reporting period. The PRA ratified additional capital mitigation proposed by the Basel Committee, in response to Covid-19, with these measures coming into force from 27 June 2020. The new measures allow for the impact on regulatory capital of any increase in ECL in the non-credit impaired book arising from 1 January 2020 to be phased in over the </w:t>
      </w:r>
      <w:proofErr w:type="gramStart"/>
      <w:r w:rsidRPr="00701439">
        <w:rPr>
          <w:rFonts w:asciiTheme="minorHAnsi" w:hAnsiTheme="minorHAnsi" w:cs="Arial"/>
          <w:sz w:val="20"/>
          <w:szCs w:val="20"/>
        </w:rPr>
        <w:t>five year</w:t>
      </w:r>
      <w:proofErr w:type="gramEnd"/>
      <w:r w:rsidRPr="00701439">
        <w:rPr>
          <w:rFonts w:asciiTheme="minorHAnsi" w:hAnsiTheme="minorHAnsi" w:cs="Arial"/>
          <w:sz w:val="20"/>
          <w:szCs w:val="20"/>
        </w:rPr>
        <w:t xml:space="preserve"> period to 31 December 2024 (FY’20: 100%, 2021: 100%, 2022: 75%, 2023: 50%, 2024: 25%). </w:t>
      </w:r>
      <w:r w:rsidRPr="00701439">
        <w:rPr>
          <w:rFonts w:asciiTheme="minorHAnsi" w:hAnsiTheme="minorHAnsi" w:cs="Arial"/>
          <w:sz w:val="20"/>
          <w:szCs w:val="20"/>
          <w:lang w:val="en-US"/>
        </w:rPr>
        <w:t xml:space="preserve">The impact of the IFRS 9 transitional arrangements on CET1 as </w:t>
      </w:r>
      <w:proofErr w:type="gramStart"/>
      <w:r w:rsidRPr="00701439">
        <w:rPr>
          <w:rFonts w:asciiTheme="minorHAnsi" w:hAnsiTheme="minorHAnsi" w:cs="Arial"/>
          <w:sz w:val="20"/>
          <w:szCs w:val="20"/>
          <w:lang w:val="en-US"/>
        </w:rPr>
        <w:t>at</w:t>
      </w:r>
      <w:proofErr w:type="gramEnd"/>
      <w:r w:rsidRPr="00701439">
        <w:rPr>
          <w:rFonts w:asciiTheme="minorHAnsi" w:hAnsiTheme="minorHAnsi" w:cs="Arial"/>
          <w:sz w:val="20"/>
          <w:szCs w:val="20"/>
          <w:lang w:val="en-US"/>
        </w:rPr>
        <w:t xml:space="preserve"> 31 December 202</w:t>
      </w:r>
      <w:r w:rsidR="002F3780" w:rsidRPr="00701439">
        <w:rPr>
          <w:rFonts w:asciiTheme="minorHAnsi" w:hAnsiTheme="minorHAnsi" w:cs="Arial"/>
          <w:sz w:val="20"/>
          <w:szCs w:val="20"/>
          <w:lang w:val="en-US"/>
        </w:rPr>
        <w:t>2</w:t>
      </w:r>
      <w:r w:rsidRPr="00701439">
        <w:rPr>
          <w:rFonts w:asciiTheme="minorHAnsi" w:hAnsiTheme="minorHAnsi" w:cs="Arial"/>
          <w:sz w:val="20"/>
          <w:szCs w:val="20"/>
          <w:lang w:val="en-US"/>
        </w:rPr>
        <w:t xml:space="preserve"> was £</w:t>
      </w:r>
      <w:r w:rsidR="002D6010" w:rsidRPr="00701439">
        <w:rPr>
          <w:rFonts w:asciiTheme="minorHAnsi" w:hAnsiTheme="minorHAnsi" w:cs="Arial"/>
          <w:sz w:val="20"/>
          <w:szCs w:val="20"/>
          <w:lang w:val="en-US"/>
        </w:rPr>
        <w:t>54</w:t>
      </w:r>
      <w:r w:rsidRPr="00701439">
        <w:rPr>
          <w:rFonts w:asciiTheme="minorHAnsi" w:hAnsiTheme="minorHAnsi" w:cs="Arial"/>
          <w:sz w:val="20"/>
          <w:szCs w:val="20"/>
          <w:lang w:val="en-US"/>
        </w:rPr>
        <w:t>m.</w:t>
      </w:r>
    </w:p>
    <w:p w14:paraId="6333108A" w14:textId="77777777" w:rsidR="004D531C" w:rsidRDefault="004D531C" w:rsidP="000377BA">
      <w:pPr>
        <w:jc w:val="both"/>
        <w:rPr>
          <w:rFonts w:asciiTheme="minorHAnsi" w:eastAsia="Calibri" w:hAnsiTheme="minorHAnsi" w:cs="Arial"/>
          <w:sz w:val="20"/>
          <w:szCs w:val="20"/>
          <w:lang w:val="en-US"/>
        </w:rPr>
      </w:pPr>
    </w:p>
    <w:p w14:paraId="00C8C87A" w14:textId="77777777" w:rsidR="004D531C" w:rsidRDefault="00E12496" w:rsidP="00E12496">
      <w:pPr>
        <w:pStyle w:val="Body"/>
        <w:jc w:val="both"/>
        <w:rPr>
          <w:rFonts w:asciiTheme="minorHAnsi" w:eastAsia="Calibri" w:hAnsiTheme="minorHAnsi" w:cs="Calibri"/>
          <w:sz w:val="20"/>
          <w:szCs w:val="20"/>
          <w:lang w:val="en-GB"/>
        </w:rPr>
      </w:pPr>
      <w:r w:rsidRPr="00701439">
        <w:rPr>
          <w:rFonts w:asciiTheme="minorHAnsi" w:eastAsia="Calibri" w:hAnsiTheme="minorHAnsi" w:cs="Calibri"/>
          <w:sz w:val="20"/>
          <w:szCs w:val="20"/>
          <w:lang w:val="en-GB"/>
        </w:rPr>
        <w:t xml:space="preserve">The Group has in place a Capital Principal Risk Policy, which sets out the framework in which the Group aims to maintain a secure funding and capital structure and establishes defined capital risk appetite. Adherence to the policy ensures that the Group maintains minimum capital levels and that the capital held at business division levels is adequate to support the businesses’ underlying requirements and is sufficient to support growth in that business. Internal capital is allocated to business lines and risk categories, calibrated to maximise return on equity while remaining within the risk appetite. </w:t>
      </w:r>
    </w:p>
    <w:p w14:paraId="0518260E" w14:textId="77777777" w:rsidR="004D531C" w:rsidRDefault="004D531C" w:rsidP="00E12496">
      <w:pPr>
        <w:pStyle w:val="Body"/>
        <w:jc w:val="both"/>
        <w:rPr>
          <w:rFonts w:asciiTheme="minorHAnsi" w:eastAsia="Calibri" w:hAnsiTheme="minorHAnsi" w:cs="Calibri"/>
          <w:sz w:val="20"/>
          <w:szCs w:val="20"/>
          <w:lang w:val="en-GB"/>
        </w:rPr>
      </w:pPr>
    </w:p>
    <w:p w14:paraId="525ADAA0" w14:textId="77777777" w:rsidR="004D531C" w:rsidRDefault="004D531C" w:rsidP="00E12496">
      <w:pPr>
        <w:pStyle w:val="Body"/>
        <w:jc w:val="both"/>
        <w:rPr>
          <w:rFonts w:asciiTheme="minorHAnsi" w:eastAsia="Calibri" w:hAnsiTheme="minorHAnsi" w:cs="Calibri"/>
          <w:sz w:val="20"/>
          <w:szCs w:val="20"/>
          <w:lang w:val="en-GB"/>
        </w:rPr>
      </w:pPr>
    </w:p>
    <w:p w14:paraId="7701B280" w14:textId="0A78AB93" w:rsidR="00E12496" w:rsidRPr="00701439" w:rsidRDefault="00E12496" w:rsidP="00E12496">
      <w:pPr>
        <w:pStyle w:val="Body"/>
        <w:jc w:val="both"/>
        <w:rPr>
          <w:rFonts w:asciiTheme="minorHAnsi" w:eastAsia="Calibri" w:hAnsiTheme="minorHAnsi" w:cs="Calibri"/>
          <w:sz w:val="20"/>
          <w:szCs w:val="20"/>
          <w:lang w:val="en-GB"/>
        </w:rPr>
      </w:pPr>
      <w:r w:rsidRPr="00701439">
        <w:rPr>
          <w:rFonts w:asciiTheme="minorHAnsi" w:eastAsia="Calibri" w:hAnsiTheme="minorHAnsi" w:cs="Calibri"/>
          <w:sz w:val="20"/>
          <w:szCs w:val="20"/>
          <w:lang w:val="en-GB"/>
        </w:rPr>
        <w:lastRenderedPageBreak/>
        <w:t>The distribution of dividends is aligned with the Group’s growth targets, whilst continuing to meet the required capital levels in line with regulatory requirements and internal risk appetite.</w:t>
      </w:r>
      <w:r w:rsidRPr="00701439">
        <w:t xml:space="preserve"> </w:t>
      </w:r>
      <w:r w:rsidRPr="00701439">
        <w:rPr>
          <w:rFonts w:asciiTheme="minorHAnsi" w:eastAsia="Calibri" w:hAnsiTheme="minorHAnsi" w:cs="Calibri"/>
          <w:sz w:val="20"/>
          <w:szCs w:val="20"/>
          <w:lang w:val="en-GB"/>
        </w:rPr>
        <w:t>The policy requires subsidiaries, including Vanquis Bank, to maintain sufficient capital to meet regulatory requirements, manage for 12 months growth and investment whilst maintaining a management buffer. Thereafter and where applicable Vanquis Bank is required to distribute a dividend to the Group.</w:t>
      </w:r>
    </w:p>
    <w:p w14:paraId="00B53F8F" w14:textId="3C24B64B" w:rsidR="009A4692" w:rsidRDefault="009A4692" w:rsidP="00E534C5">
      <w:pPr>
        <w:pStyle w:val="NoSpacing"/>
        <w:jc w:val="both"/>
        <w:rPr>
          <w:rStyle w:val="Strong"/>
          <w:sz w:val="20"/>
          <w:szCs w:val="20"/>
        </w:rPr>
      </w:pPr>
      <w:bookmarkStart w:id="14" w:name="_Hlk98307553"/>
    </w:p>
    <w:bookmarkEnd w:id="14"/>
    <w:p w14:paraId="190CCBE5" w14:textId="2EB27FCE" w:rsidR="000071DB" w:rsidRPr="00701439" w:rsidRDefault="000071DB" w:rsidP="00E534C5">
      <w:pPr>
        <w:pStyle w:val="NoSpacing"/>
        <w:jc w:val="both"/>
        <w:rPr>
          <w:b/>
          <w:bCs/>
          <w:color w:val="4747FF"/>
        </w:rPr>
      </w:pPr>
      <w:r w:rsidRPr="00701439">
        <w:rPr>
          <w:b/>
          <w:bCs/>
          <w:color w:val="4747FF"/>
        </w:rPr>
        <w:t>Principal Risks and Uncertainties</w:t>
      </w:r>
    </w:p>
    <w:p w14:paraId="1AF6DDE5" w14:textId="77777777" w:rsidR="000071DB" w:rsidRPr="00701439" w:rsidRDefault="000071DB" w:rsidP="00E534C5">
      <w:pPr>
        <w:pStyle w:val="NoSpacing"/>
        <w:rPr>
          <w:b/>
          <w:bCs/>
          <w:sz w:val="20"/>
          <w:szCs w:val="20"/>
        </w:rPr>
      </w:pPr>
    </w:p>
    <w:p w14:paraId="29057685" w14:textId="38783D1D" w:rsidR="00CC288B" w:rsidRPr="00701439" w:rsidRDefault="00CC288B" w:rsidP="0002541E">
      <w:pPr>
        <w:pStyle w:val="NoSpacing"/>
        <w:jc w:val="both"/>
        <w:rPr>
          <w:bCs/>
          <w:sz w:val="20"/>
          <w:szCs w:val="20"/>
        </w:rPr>
      </w:pPr>
      <w:r w:rsidRPr="00701439">
        <w:rPr>
          <w:bCs/>
          <w:sz w:val="20"/>
          <w:szCs w:val="20"/>
        </w:rPr>
        <w:t>Group Principal Risks</w:t>
      </w:r>
      <w:r w:rsidR="001969FA" w:rsidRPr="00701439">
        <w:rPr>
          <w:bCs/>
          <w:sz w:val="20"/>
          <w:szCs w:val="20"/>
        </w:rPr>
        <w:t xml:space="preserve"> </w:t>
      </w:r>
      <w:r w:rsidRPr="00701439">
        <w:rPr>
          <w:bCs/>
          <w:sz w:val="20"/>
          <w:szCs w:val="20"/>
        </w:rPr>
        <w:t>are those risks most critical to the alignment of the Group Strategy. Principal risk categories and associated risk appetite statements are reviewed and approved by the Board on an annual basis, effectively defining Vanquis Banking Group’s overall risk appetite.</w:t>
      </w:r>
    </w:p>
    <w:p w14:paraId="51A089C2" w14:textId="77777777" w:rsidR="00CC288B" w:rsidRPr="00701439" w:rsidRDefault="00CC288B" w:rsidP="0002541E">
      <w:pPr>
        <w:pStyle w:val="NoSpacing"/>
        <w:jc w:val="both"/>
        <w:rPr>
          <w:bCs/>
          <w:sz w:val="20"/>
          <w:szCs w:val="20"/>
        </w:rPr>
      </w:pPr>
    </w:p>
    <w:p w14:paraId="053BC5B9" w14:textId="77777777" w:rsidR="00CC288B" w:rsidRPr="00701439" w:rsidRDefault="00CC288B" w:rsidP="0002541E">
      <w:pPr>
        <w:pStyle w:val="NoSpacing"/>
        <w:jc w:val="both"/>
        <w:rPr>
          <w:bCs/>
          <w:sz w:val="20"/>
          <w:szCs w:val="20"/>
          <w:u w:val="single"/>
        </w:rPr>
      </w:pPr>
      <w:r w:rsidRPr="00701439">
        <w:rPr>
          <w:bCs/>
          <w:sz w:val="20"/>
          <w:szCs w:val="20"/>
          <w:u w:val="single"/>
        </w:rPr>
        <w:t>Capital Risk</w:t>
      </w:r>
    </w:p>
    <w:p w14:paraId="611CFD88" w14:textId="38797060" w:rsidR="00CC288B" w:rsidRPr="00701439" w:rsidRDefault="00CC288B" w:rsidP="0002541E">
      <w:pPr>
        <w:pStyle w:val="NoSpacing"/>
        <w:jc w:val="both"/>
        <w:rPr>
          <w:bCs/>
          <w:sz w:val="20"/>
          <w:szCs w:val="20"/>
        </w:rPr>
      </w:pPr>
      <w:r w:rsidRPr="00701439">
        <w:rPr>
          <w:bCs/>
          <w:sz w:val="20"/>
          <w:szCs w:val="20"/>
        </w:rPr>
        <w:t xml:space="preserve">This is defined as the risk that the Group fails to maintain the minimum regulatory capital requirements and a management buffer on a consolidated basis to cover risk exposures and withstand a severe stress as identified as part of the Internal Capital Adequacy Assessment Process (ICAAP). The Group and Bank operate within a defined capital risk appetite, with thresholds reported to and monitored by Group Boards. Additional metrics and thresholds have been developed for the Group and Vanquis Bank. All thresholds have been calibrated above the Recovery &amp; Resolution Plan (RRP) triggers </w:t>
      </w:r>
      <w:proofErr w:type="gramStart"/>
      <w:r w:rsidRPr="00701439">
        <w:rPr>
          <w:bCs/>
          <w:sz w:val="20"/>
          <w:szCs w:val="20"/>
        </w:rPr>
        <w:t>in order to</w:t>
      </w:r>
      <w:proofErr w:type="gramEnd"/>
      <w:r w:rsidRPr="00701439">
        <w:rPr>
          <w:bCs/>
          <w:sz w:val="20"/>
          <w:szCs w:val="20"/>
        </w:rPr>
        <w:t xml:space="preserve"> provide advance warning of threshold breaches. </w:t>
      </w:r>
    </w:p>
    <w:p w14:paraId="30373482" w14:textId="77777777" w:rsidR="00CC288B" w:rsidRPr="00701439" w:rsidRDefault="00CC288B" w:rsidP="0002541E">
      <w:pPr>
        <w:pStyle w:val="NoSpacing"/>
        <w:jc w:val="both"/>
        <w:rPr>
          <w:bCs/>
          <w:sz w:val="20"/>
          <w:szCs w:val="20"/>
        </w:rPr>
      </w:pPr>
    </w:p>
    <w:p w14:paraId="2693479D" w14:textId="77777777" w:rsidR="00CC288B" w:rsidRPr="00701439" w:rsidRDefault="00CC288B" w:rsidP="0002541E">
      <w:pPr>
        <w:pStyle w:val="NoSpacing"/>
        <w:jc w:val="both"/>
        <w:rPr>
          <w:bCs/>
          <w:sz w:val="20"/>
          <w:szCs w:val="20"/>
          <w:u w:val="single"/>
        </w:rPr>
      </w:pPr>
      <w:r w:rsidRPr="00701439">
        <w:rPr>
          <w:bCs/>
          <w:sz w:val="20"/>
          <w:szCs w:val="20"/>
          <w:u w:val="single"/>
        </w:rPr>
        <w:t>Funding and Liquidity Risk</w:t>
      </w:r>
    </w:p>
    <w:p w14:paraId="7B2F24D4" w14:textId="77777777" w:rsidR="00CC288B" w:rsidRPr="00701439" w:rsidRDefault="00CC288B" w:rsidP="0002541E">
      <w:pPr>
        <w:pStyle w:val="NoSpacing"/>
        <w:jc w:val="both"/>
        <w:rPr>
          <w:bCs/>
          <w:sz w:val="20"/>
          <w:szCs w:val="20"/>
        </w:rPr>
      </w:pPr>
      <w:r w:rsidRPr="00701439">
        <w:rPr>
          <w:bCs/>
          <w:sz w:val="20"/>
          <w:szCs w:val="20"/>
        </w:rPr>
        <w:t>This is defined as the risk that the Group has insufficient financial resources to meet its obligations (cash or collateral requirements) as they fall due, resulting in the failure to meet regulatory liquidity requirements, or is only able to secure such resources at excessive cost. The Group’s current funding strategy seeks to maintain a secure funding structure by maintaining access to the liquid retail deposits market and committed facilities to meet the Group’s liquidity and funding requirements. The Group maintains access to diversified sources of funding comprising: (</w:t>
      </w:r>
      <w:proofErr w:type="spellStart"/>
      <w:r w:rsidRPr="00701439">
        <w:rPr>
          <w:bCs/>
          <w:sz w:val="20"/>
          <w:szCs w:val="20"/>
        </w:rPr>
        <w:t>i</w:t>
      </w:r>
      <w:proofErr w:type="spellEnd"/>
      <w:r w:rsidRPr="00701439">
        <w:rPr>
          <w:bCs/>
          <w:sz w:val="20"/>
          <w:szCs w:val="20"/>
        </w:rPr>
        <w:t>) retail deposits; (ii) securitisation of the cards and vehicle finance books; (iii) liquidity and funding facilities at the Bank of England; and (iv) access to wholesale market funding and debt capital via its EMTN programme.</w:t>
      </w:r>
    </w:p>
    <w:p w14:paraId="7F877E06" w14:textId="77777777" w:rsidR="00CC288B" w:rsidRPr="00701439" w:rsidRDefault="00CC288B" w:rsidP="0002541E">
      <w:pPr>
        <w:pStyle w:val="NoSpacing"/>
        <w:jc w:val="both"/>
        <w:rPr>
          <w:bCs/>
          <w:sz w:val="20"/>
          <w:szCs w:val="20"/>
        </w:rPr>
      </w:pPr>
    </w:p>
    <w:p w14:paraId="0BFAA3EB" w14:textId="25D8E96B" w:rsidR="00CC288B" w:rsidRPr="00701439" w:rsidRDefault="00CC288B" w:rsidP="0002541E">
      <w:pPr>
        <w:pStyle w:val="NoSpacing"/>
        <w:jc w:val="both"/>
        <w:rPr>
          <w:bCs/>
          <w:sz w:val="20"/>
          <w:szCs w:val="20"/>
          <w:u w:val="single"/>
        </w:rPr>
      </w:pPr>
      <w:r w:rsidRPr="00701439">
        <w:rPr>
          <w:bCs/>
          <w:sz w:val="20"/>
          <w:szCs w:val="20"/>
          <w:u w:val="single"/>
        </w:rPr>
        <w:t>Market</w:t>
      </w:r>
      <w:r w:rsidR="00347AA9" w:rsidRPr="00701439">
        <w:rPr>
          <w:bCs/>
          <w:sz w:val="20"/>
          <w:szCs w:val="20"/>
          <w:u w:val="single"/>
        </w:rPr>
        <w:t xml:space="preserve"> Interest Rate Risk in the Banking Book</w:t>
      </w:r>
      <w:r w:rsidRPr="00701439">
        <w:rPr>
          <w:bCs/>
          <w:sz w:val="20"/>
          <w:szCs w:val="20"/>
          <w:u w:val="single"/>
        </w:rPr>
        <w:t xml:space="preserve"> (IRRBB) Risk</w:t>
      </w:r>
    </w:p>
    <w:p w14:paraId="296F2C0A" w14:textId="63CFC7E3" w:rsidR="00CC288B" w:rsidRPr="00701439" w:rsidRDefault="00CC288B" w:rsidP="0002541E">
      <w:pPr>
        <w:pStyle w:val="NoSpacing"/>
        <w:jc w:val="both"/>
        <w:rPr>
          <w:bCs/>
          <w:sz w:val="20"/>
          <w:szCs w:val="20"/>
        </w:rPr>
      </w:pPr>
      <w:r w:rsidRPr="00701439">
        <w:rPr>
          <w:bCs/>
          <w:sz w:val="20"/>
          <w:szCs w:val="20"/>
        </w:rPr>
        <w:t>This is defined as the risk that the net value of, or net income arising from</w:t>
      </w:r>
      <w:r w:rsidR="00F86E82" w:rsidRPr="00701439">
        <w:rPr>
          <w:bCs/>
          <w:sz w:val="20"/>
          <w:szCs w:val="20"/>
        </w:rPr>
        <w:t>,</w:t>
      </w:r>
      <w:r w:rsidRPr="00701439">
        <w:rPr>
          <w:bCs/>
          <w:sz w:val="20"/>
          <w:szCs w:val="20"/>
        </w:rPr>
        <w:t xml:space="preserve"> assets and liabilities is impacted </w:t>
      </w:r>
      <w:proofErr w:type="gramStart"/>
      <w:r w:rsidRPr="00701439">
        <w:rPr>
          <w:bCs/>
          <w:sz w:val="20"/>
          <w:szCs w:val="20"/>
        </w:rPr>
        <w:t>as a result of</w:t>
      </w:r>
      <w:proofErr w:type="gramEnd"/>
      <w:r w:rsidRPr="00701439">
        <w:rPr>
          <w:bCs/>
          <w:sz w:val="20"/>
          <w:szCs w:val="20"/>
        </w:rPr>
        <w:t xml:space="preserve"> changes in market prices or rates</w:t>
      </w:r>
      <w:r w:rsidR="00D66769" w:rsidRPr="00701439">
        <w:rPr>
          <w:bCs/>
          <w:sz w:val="20"/>
          <w:szCs w:val="20"/>
        </w:rPr>
        <w:t>,</w:t>
      </w:r>
      <w:r w:rsidRPr="00701439">
        <w:rPr>
          <w:bCs/>
          <w:sz w:val="20"/>
          <w:szCs w:val="20"/>
        </w:rPr>
        <w:t xml:space="preserve"> specifically interest rates, currency rates or equity prices. The Group’s corporate policies do not permit it to undertake position taking or trading books of this type and therefore it does not do so.</w:t>
      </w:r>
    </w:p>
    <w:p w14:paraId="28F941EB" w14:textId="77777777" w:rsidR="00CC288B" w:rsidRPr="00701439" w:rsidRDefault="00CC288B" w:rsidP="0002541E">
      <w:pPr>
        <w:pStyle w:val="NoSpacing"/>
        <w:jc w:val="both"/>
        <w:rPr>
          <w:bCs/>
          <w:sz w:val="20"/>
          <w:szCs w:val="20"/>
        </w:rPr>
      </w:pPr>
    </w:p>
    <w:p w14:paraId="4A30086A" w14:textId="77777777" w:rsidR="00CC288B" w:rsidRPr="00701439" w:rsidRDefault="00CC288B" w:rsidP="0002541E">
      <w:pPr>
        <w:pStyle w:val="NoSpacing"/>
        <w:jc w:val="both"/>
        <w:rPr>
          <w:bCs/>
          <w:sz w:val="20"/>
          <w:szCs w:val="20"/>
          <w:u w:val="single"/>
        </w:rPr>
      </w:pPr>
      <w:r w:rsidRPr="00701439">
        <w:rPr>
          <w:bCs/>
          <w:sz w:val="20"/>
          <w:szCs w:val="20"/>
          <w:u w:val="single"/>
        </w:rPr>
        <w:t>Credit Risk</w:t>
      </w:r>
    </w:p>
    <w:p w14:paraId="2FBFAA0B" w14:textId="77777777" w:rsidR="00CC288B" w:rsidRPr="00701439" w:rsidRDefault="00CC288B" w:rsidP="0002541E">
      <w:pPr>
        <w:pStyle w:val="NoSpacing"/>
        <w:jc w:val="both"/>
        <w:rPr>
          <w:bCs/>
          <w:sz w:val="20"/>
          <w:szCs w:val="20"/>
        </w:rPr>
      </w:pPr>
      <w:r w:rsidRPr="00701439">
        <w:rPr>
          <w:bCs/>
          <w:sz w:val="20"/>
          <w:szCs w:val="20"/>
        </w:rPr>
        <w:t xml:space="preserve">This is defined as the risk of unexpected credit losses arising through either adverse macroeconomic factors or parties with whom the Group has contracted failing to meet their financial obligations. Credit Risk appetite has been refreshed with metrics and thresholds grouped by product lines to enable more focused monitoring and management action to remain within appetite on a timely basis. Regular reporting is in place which allows daily monitoring of new business quality, collections performance and concentration analysis. Extensive work has been undertaken to enhance credit worthiness and affordability procedures.  </w:t>
      </w:r>
    </w:p>
    <w:p w14:paraId="67F0BB71" w14:textId="77777777" w:rsidR="00CC288B" w:rsidRPr="00701439" w:rsidRDefault="00CC288B" w:rsidP="0002541E">
      <w:pPr>
        <w:pStyle w:val="NoSpacing"/>
        <w:jc w:val="both"/>
        <w:rPr>
          <w:bCs/>
          <w:sz w:val="20"/>
          <w:szCs w:val="20"/>
          <w:u w:val="single"/>
        </w:rPr>
      </w:pPr>
    </w:p>
    <w:p w14:paraId="1953C8C0" w14:textId="77777777" w:rsidR="00CC288B" w:rsidRPr="00701439" w:rsidRDefault="00CC288B" w:rsidP="0002541E">
      <w:pPr>
        <w:pStyle w:val="NoSpacing"/>
        <w:jc w:val="both"/>
        <w:rPr>
          <w:bCs/>
          <w:sz w:val="20"/>
          <w:szCs w:val="20"/>
          <w:u w:val="single"/>
        </w:rPr>
      </w:pPr>
      <w:r w:rsidRPr="00701439">
        <w:rPr>
          <w:bCs/>
          <w:sz w:val="20"/>
          <w:szCs w:val="20"/>
          <w:u w:val="single"/>
        </w:rPr>
        <w:t xml:space="preserve">Strategic Execution Risk </w:t>
      </w:r>
    </w:p>
    <w:p w14:paraId="3E493A67" w14:textId="2A100A41" w:rsidR="00CC288B" w:rsidRPr="00701439" w:rsidRDefault="00CC288B" w:rsidP="0002541E">
      <w:pPr>
        <w:pStyle w:val="NoSpacing"/>
        <w:jc w:val="both"/>
        <w:rPr>
          <w:bCs/>
          <w:sz w:val="20"/>
          <w:szCs w:val="20"/>
        </w:rPr>
      </w:pPr>
      <w:r w:rsidRPr="00701439">
        <w:rPr>
          <w:bCs/>
          <w:sz w:val="20"/>
          <w:szCs w:val="20"/>
        </w:rPr>
        <w:t xml:space="preserve">This is defined as the risk of making and/or executing poor strategic decisions related to acquisitions, products, distribution, etc. </w:t>
      </w:r>
      <w:proofErr w:type="gramStart"/>
      <w:r w:rsidRPr="00701439">
        <w:rPr>
          <w:bCs/>
          <w:sz w:val="20"/>
          <w:szCs w:val="20"/>
        </w:rPr>
        <w:t>as a result of</w:t>
      </w:r>
      <w:proofErr w:type="gramEnd"/>
      <w:r w:rsidRPr="00701439">
        <w:rPr>
          <w:bCs/>
          <w:sz w:val="20"/>
          <w:szCs w:val="20"/>
        </w:rPr>
        <w:t xml:space="preserve"> ineffective governance arrangements, processes and controls. In January 2022 we created an aligned board structure across Vanquis Banking Group and Vanquis Bank designed to make us more efficient and provide better, more coordinated customer service. Board </w:t>
      </w:r>
      <w:r w:rsidR="00481915" w:rsidRPr="00701439">
        <w:rPr>
          <w:bCs/>
          <w:sz w:val="20"/>
          <w:szCs w:val="20"/>
        </w:rPr>
        <w:t>G</w:t>
      </w:r>
      <w:r w:rsidRPr="00701439">
        <w:rPr>
          <w:bCs/>
          <w:sz w:val="20"/>
          <w:szCs w:val="20"/>
        </w:rPr>
        <w:t xml:space="preserve">overnance </w:t>
      </w:r>
      <w:r w:rsidR="0059293A" w:rsidRPr="00701439">
        <w:rPr>
          <w:bCs/>
          <w:sz w:val="20"/>
          <w:szCs w:val="20"/>
        </w:rPr>
        <w:t>M</w:t>
      </w:r>
      <w:r w:rsidRPr="00701439">
        <w:rPr>
          <w:bCs/>
          <w:sz w:val="20"/>
          <w:szCs w:val="20"/>
        </w:rPr>
        <w:t>anual and Delegated Authorities Ma</w:t>
      </w:r>
      <w:r w:rsidR="00023CA0" w:rsidRPr="00701439">
        <w:rPr>
          <w:bCs/>
          <w:sz w:val="20"/>
          <w:szCs w:val="20"/>
        </w:rPr>
        <w:t>trix</w:t>
      </w:r>
      <w:r w:rsidRPr="00701439">
        <w:rPr>
          <w:bCs/>
          <w:sz w:val="20"/>
          <w:szCs w:val="20"/>
        </w:rPr>
        <w:t xml:space="preserve"> (DAM) are in place to provide a framework for key decision making at all levels across the Group. Executive Director scorecards are in place with reward incentives based on a combination of financial and non-financial measures. </w:t>
      </w:r>
    </w:p>
    <w:p w14:paraId="1A52544B" w14:textId="77777777" w:rsidR="00CC288B" w:rsidRPr="00701439" w:rsidRDefault="00CC288B" w:rsidP="0002541E">
      <w:pPr>
        <w:pStyle w:val="NoSpacing"/>
        <w:jc w:val="both"/>
        <w:rPr>
          <w:bCs/>
          <w:sz w:val="20"/>
          <w:szCs w:val="20"/>
        </w:rPr>
      </w:pPr>
    </w:p>
    <w:p w14:paraId="111A2044" w14:textId="1ED3FE8B" w:rsidR="00CC288B" w:rsidRPr="00701439" w:rsidRDefault="00CC288B" w:rsidP="0002541E">
      <w:pPr>
        <w:pStyle w:val="NoSpacing"/>
        <w:jc w:val="both"/>
        <w:rPr>
          <w:bCs/>
          <w:sz w:val="20"/>
          <w:szCs w:val="20"/>
          <w:u w:val="single"/>
        </w:rPr>
      </w:pPr>
      <w:r w:rsidRPr="00701439">
        <w:rPr>
          <w:bCs/>
          <w:sz w:val="20"/>
          <w:szCs w:val="20"/>
          <w:u w:val="single"/>
        </w:rPr>
        <w:t>Climate Risk</w:t>
      </w:r>
    </w:p>
    <w:p w14:paraId="32549ACF" w14:textId="77777777" w:rsidR="00CC288B" w:rsidRPr="00701439" w:rsidRDefault="00CC288B" w:rsidP="0002541E">
      <w:pPr>
        <w:pStyle w:val="NoSpacing"/>
        <w:jc w:val="both"/>
        <w:rPr>
          <w:bCs/>
          <w:sz w:val="20"/>
          <w:szCs w:val="20"/>
        </w:rPr>
      </w:pPr>
      <w:r w:rsidRPr="00701439">
        <w:rPr>
          <w:bCs/>
          <w:sz w:val="20"/>
          <w:szCs w:val="20"/>
        </w:rPr>
        <w:t xml:space="preserve">This is defined as the physical risk of the impacts of climate change and the business risk posed to the Group and its counterparties related to non-compliance costs and financial loss associated with the process of adjusting to a low carbon economy. The Group continues to develop an approach to Climate risk management through the Climate Risk Committee and risk management activities to identify the physical and transition climate related risks that have implications for the Group’s business model and stakeholders. </w:t>
      </w:r>
    </w:p>
    <w:p w14:paraId="5B2935F8" w14:textId="77777777" w:rsidR="00CC288B" w:rsidRPr="00701439" w:rsidRDefault="00CC288B" w:rsidP="0002541E">
      <w:pPr>
        <w:pStyle w:val="NoSpacing"/>
        <w:jc w:val="both"/>
        <w:rPr>
          <w:bCs/>
          <w:sz w:val="20"/>
          <w:szCs w:val="20"/>
        </w:rPr>
      </w:pPr>
    </w:p>
    <w:p w14:paraId="62D7FBAA" w14:textId="77777777" w:rsidR="004D531C" w:rsidRDefault="004D531C" w:rsidP="0002541E">
      <w:pPr>
        <w:pStyle w:val="NoSpacing"/>
        <w:jc w:val="both"/>
        <w:rPr>
          <w:bCs/>
          <w:sz w:val="20"/>
          <w:szCs w:val="20"/>
          <w:u w:val="single"/>
        </w:rPr>
      </w:pPr>
    </w:p>
    <w:p w14:paraId="01444B38" w14:textId="77777777" w:rsidR="004D531C" w:rsidRDefault="004D531C" w:rsidP="0002541E">
      <w:pPr>
        <w:pStyle w:val="NoSpacing"/>
        <w:jc w:val="both"/>
        <w:rPr>
          <w:bCs/>
          <w:sz w:val="20"/>
          <w:szCs w:val="20"/>
          <w:u w:val="single"/>
        </w:rPr>
      </w:pPr>
    </w:p>
    <w:p w14:paraId="57085DCF" w14:textId="77777777" w:rsidR="00CC288B" w:rsidRPr="00701439" w:rsidRDefault="00CC288B" w:rsidP="0002541E">
      <w:pPr>
        <w:pStyle w:val="NoSpacing"/>
        <w:jc w:val="both"/>
        <w:rPr>
          <w:bCs/>
          <w:sz w:val="20"/>
          <w:szCs w:val="20"/>
          <w:u w:val="single"/>
        </w:rPr>
      </w:pPr>
      <w:r w:rsidRPr="00701439">
        <w:rPr>
          <w:bCs/>
          <w:sz w:val="20"/>
          <w:szCs w:val="20"/>
          <w:u w:val="single"/>
        </w:rPr>
        <w:lastRenderedPageBreak/>
        <w:t>Legal and Governance Risk</w:t>
      </w:r>
    </w:p>
    <w:p w14:paraId="7703AB8F" w14:textId="77777777" w:rsidR="00CC288B" w:rsidRPr="00701439" w:rsidRDefault="00CC288B">
      <w:pPr>
        <w:pStyle w:val="NoSpacing"/>
        <w:jc w:val="both"/>
        <w:rPr>
          <w:bCs/>
          <w:sz w:val="20"/>
          <w:szCs w:val="20"/>
        </w:rPr>
      </w:pPr>
      <w:r w:rsidRPr="00701439">
        <w:rPr>
          <w:bCs/>
          <w:sz w:val="20"/>
          <w:szCs w:val="20"/>
        </w:rPr>
        <w:t xml:space="preserve">This is defined as the risk that the Group is exposed to financial loss, fines, </w:t>
      </w:r>
      <w:proofErr w:type="gramStart"/>
      <w:r w:rsidRPr="00701439">
        <w:rPr>
          <w:bCs/>
          <w:sz w:val="20"/>
          <w:szCs w:val="20"/>
        </w:rPr>
        <w:t>censure</w:t>
      </w:r>
      <w:proofErr w:type="gramEnd"/>
      <w:r w:rsidRPr="00701439">
        <w:rPr>
          <w:bCs/>
          <w:sz w:val="20"/>
          <w:szCs w:val="20"/>
        </w:rPr>
        <w:t xml:space="preserve"> or enforcement action due to failing to comply with legal and governance requirements as a result of ineffective arrangements, processes and controls. The Group operates in a highly regulated environment and in a sector where its customers are more vulnerable and need careful management. At all levels, the Group has worked hard to build and maintain positive relationships with our key regulators. Any regulatory actions are managed and monitored closely to ensure these are delivered fully and within the spirit of any feedback received.</w:t>
      </w:r>
    </w:p>
    <w:p w14:paraId="7555C48F" w14:textId="77777777" w:rsidR="003E623A" w:rsidRPr="00701439" w:rsidRDefault="003E623A" w:rsidP="0002541E">
      <w:pPr>
        <w:pStyle w:val="NoSpacing"/>
        <w:jc w:val="both"/>
        <w:rPr>
          <w:bCs/>
          <w:sz w:val="20"/>
          <w:szCs w:val="20"/>
        </w:rPr>
      </w:pPr>
    </w:p>
    <w:p w14:paraId="17CAED33" w14:textId="77777777" w:rsidR="00CC288B" w:rsidRPr="00701439" w:rsidRDefault="00CC288B" w:rsidP="0002541E">
      <w:pPr>
        <w:pStyle w:val="NoSpacing"/>
        <w:jc w:val="both"/>
        <w:rPr>
          <w:bCs/>
          <w:sz w:val="20"/>
          <w:szCs w:val="20"/>
          <w:u w:val="single"/>
        </w:rPr>
      </w:pPr>
      <w:r w:rsidRPr="00701439">
        <w:rPr>
          <w:bCs/>
          <w:sz w:val="20"/>
          <w:szCs w:val="20"/>
          <w:u w:val="single"/>
        </w:rPr>
        <w:t xml:space="preserve">Financial Crime Risk </w:t>
      </w:r>
    </w:p>
    <w:p w14:paraId="5EFA7918" w14:textId="299658CD" w:rsidR="00CC288B" w:rsidRPr="00701439" w:rsidRDefault="00CC288B" w:rsidP="0002541E">
      <w:pPr>
        <w:pStyle w:val="NoSpacing"/>
        <w:jc w:val="both"/>
        <w:rPr>
          <w:bCs/>
          <w:sz w:val="20"/>
          <w:szCs w:val="20"/>
        </w:rPr>
      </w:pPr>
      <w:r w:rsidRPr="00701439">
        <w:rPr>
          <w:bCs/>
          <w:sz w:val="20"/>
          <w:szCs w:val="20"/>
        </w:rPr>
        <w:t>This is defined as the risk that the Group’s products and services are used to facilitate financial crime against the Group, customers or third parties. The Group operate</w:t>
      </w:r>
      <w:r w:rsidR="00AC1312" w:rsidRPr="00701439">
        <w:rPr>
          <w:bCs/>
          <w:sz w:val="20"/>
          <w:szCs w:val="20"/>
        </w:rPr>
        <w:t>s</w:t>
      </w:r>
      <w:r w:rsidRPr="00701439">
        <w:rPr>
          <w:bCs/>
          <w:sz w:val="20"/>
          <w:szCs w:val="20"/>
        </w:rPr>
        <w:t xml:space="preserve"> a strong and risk-proportionate set of systems and controls to detect and prevent financial crime. The Group is committed to complying with applicable legislation for the management of Financial Crime Risk, ensuring that it meets the minimum requirements and expectations of the regulatory bodies and those set by legislation for managing Financial Crime Risk effectively.</w:t>
      </w:r>
    </w:p>
    <w:p w14:paraId="2858AFDA" w14:textId="77777777" w:rsidR="00CC288B" w:rsidRPr="00701439" w:rsidRDefault="00CC288B" w:rsidP="0002541E">
      <w:pPr>
        <w:pStyle w:val="NoSpacing"/>
        <w:jc w:val="both"/>
        <w:rPr>
          <w:bCs/>
          <w:sz w:val="20"/>
          <w:szCs w:val="20"/>
        </w:rPr>
      </w:pPr>
    </w:p>
    <w:p w14:paraId="6D5F0E84" w14:textId="77777777" w:rsidR="00CC288B" w:rsidRPr="00701439" w:rsidRDefault="00CC288B" w:rsidP="0002541E">
      <w:pPr>
        <w:pStyle w:val="NoSpacing"/>
        <w:jc w:val="both"/>
        <w:rPr>
          <w:bCs/>
          <w:sz w:val="20"/>
          <w:szCs w:val="20"/>
          <w:u w:val="single"/>
        </w:rPr>
      </w:pPr>
      <w:r w:rsidRPr="00701439">
        <w:rPr>
          <w:bCs/>
          <w:sz w:val="20"/>
          <w:szCs w:val="20"/>
          <w:u w:val="single"/>
        </w:rPr>
        <w:t xml:space="preserve">Conduct and Regulatory Risk </w:t>
      </w:r>
    </w:p>
    <w:p w14:paraId="72BCD35D" w14:textId="074CA6D5" w:rsidR="00CC288B" w:rsidRPr="00701439" w:rsidRDefault="00CC288B" w:rsidP="0002541E">
      <w:pPr>
        <w:pStyle w:val="NoSpacing"/>
        <w:jc w:val="both"/>
        <w:rPr>
          <w:bCs/>
          <w:sz w:val="20"/>
          <w:szCs w:val="20"/>
        </w:rPr>
      </w:pPr>
      <w:r w:rsidRPr="00701439">
        <w:rPr>
          <w:bCs/>
          <w:sz w:val="20"/>
          <w:szCs w:val="20"/>
        </w:rPr>
        <w:t xml:space="preserve">Conduct Risk is defined as the risk of customer detriment due to poor design, distribution and execution of products and services or other activities which could lead to unfair customer outcomes or regulatory censure. Regulatory Risk is defined as the risk that the Group is exposed to financial loss, fines, </w:t>
      </w:r>
      <w:proofErr w:type="gramStart"/>
      <w:r w:rsidRPr="00701439">
        <w:rPr>
          <w:bCs/>
          <w:sz w:val="20"/>
          <w:szCs w:val="20"/>
        </w:rPr>
        <w:t>censure</w:t>
      </w:r>
      <w:proofErr w:type="gramEnd"/>
      <w:r w:rsidRPr="00701439">
        <w:rPr>
          <w:bCs/>
          <w:sz w:val="20"/>
          <w:szCs w:val="20"/>
        </w:rPr>
        <w:t xml:space="preserve"> or enforcement action due to failing to comply with laws or regulations (including handbooks, codes of conduct, statutory and regulatory guidance).  Conduct and Regulatory risk remains a key focus for the Group with detailed risk appetite statements, </w:t>
      </w:r>
      <w:proofErr w:type="gramStart"/>
      <w:r w:rsidRPr="00701439">
        <w:rPr>
          <w:bCs/>
          <w:sz w:val="20"/>
          <w:szCs w:val="20"/>
        </w:rPr>
        <w:t>metrics</w:t>
      </w:r>
      <w:proofErr w:type="gramEnd"/>
      <w:r w:rsidRPr="00701439">
        <w:rPr>
          <w:bCs/>
          <w:sz w:val="20"/>
          <w:szCs w:val="20"/>
        </w:rPr>
        <w:t xml:space="preserve"> and thresholds in place in relation to the fair treatment and management of our customers. Conduct Risk frameworks and governance have been enhanced which clearly identify intended customer outcomes and the associated monitoring, testing, data sources and management information required. </w:t>
      </w:r>
    </w:p>
    <w:p w14:paraId="510588E6" w14:textId="77777777" w:rsidR="00CC288B" w:rsidRPr="00701439" w:rsidRDefault="00CC288B" w:rsidP="0002541E">
      <w:pPr>
        <w:pStyle w:val="NoSpacing"/>
        <w:jc w:val="both"/>
        <w:rPr>
          <w:bCs/>
          <w:sz w:val="20"/>
          <w:szCs w:val="20"/>
        </w:rPr>
      </w:pPr>
    </w:p>
    <w:p w14:paraId="2FC0FEF2" w14:textId="77777777" w:rsidR="00CC288B" w:rsidRPr="00701439" w:rsidRDefault="00CC288B" w:rsidP="0002541E">
      <w:pPr>
        <w:pStyle w:val="NoSpacing"/>
        <w:jc w:val="both"/>
        <w:rPr>
          <w:bCs/>
          <w:sz w:val="20"/>
          <w:szCs w:val="20"/>
          <w:u w:val="single"/>
        </w:rPr>
      </w:pPr>
      <w:r w:rsidRPr="00701439">
        <w:rPr>
          <w:bCs/>
          <w:sz w:val="20"/>
          <w:szCs w:val="20"/>
          <w:u w:val="single"/>
        </w:rPr>
        <w:t xml:space="preserve">People Risk </w:t>
      </w:r>
    </w:p>
    <w:p w14:paraId="1A015A51" w14:textId="77777777" w:rsidR="00CC288B" w:rsidRPr="00701439" w:rsidRDefault="00CC288B" w:rsidP="0002541E">
      <w:pPr>
        <w:pStyle w:val="NoSpacing"/>
        <w:jc w:val="both"/>
        <w:rPr>
          <w:bCs/>
          <w:sz w:val="20"/>
          <w:szCs w:val="20"/>
        </w:rPr>
      </w:pPr>
      <w:r w:rsidRPr="00701439">
        <w:rPr>
          <w:bCs/>
          <w:sz w:val="20"/>
          <w:szCs w:val="20"/>
        </w:rPr>
        <w:t xml:space="preserve">This is defined as the risk that we have insufficient operational capacity and colleagues with the right skills in meeting our financial, customer and regulatory responsibilities. In managing our people risk, we ensure we have adequate controls across the whole colleague life cycle covering the onboarding, </w:t>
      </w:r>
      <w:proofErr w:type="gramStart"/>
      <w:r w:rsidRPr="00701439">
        <w:rPr>
          <w:bCs/>
          <w:sz w:val="20"/>
          <w:szCs w:val="20"/>
        </w:rPr>
        <w:t>development</w:t>
      </w:r>
      <w:proofErr w:type="gramEnd"/>
      <w:r w:rsidRPr="00701439">
        <w:rPr>
          <w:bCs/>
          <w:sz w:val="20"/>
          <w:szCs w:val="20"/>
        </w:rPr>
        <w:t xml:space="preserve"> and management of our colleagues.  This extends to ensuring we have sufficient operational capacity and colleagues with the right skills in meeting our financial, customer and regulatory responsibilities.</w:t>
      </w:r>
    </w:p>
    <w:p w14:paraId="32E83E30" w14:textId="77777777" w:rsidR="00CC288B" w:rsidRPr="00701439" w:rsidRDefault="00CC288B" w:rsidP="0002541E">
      <w:pPr>
        <w:pStyle w:val="NoSpacing"/>
        <w:jc w:val="both"/>
        <w:rPr>
          <w:bCs/>
          <w:sz w:val="20"/>
          <w:szCs w:val="20"/>
        </w:rPr>
      </w:pPr>
    </w:p>
    <w:p w14:paraId="12A67CD3" w14:textId="77777777" w:rsidR="00CC288B" w:rsidRPr="00701439" w:rsidRDefault="00CC288B" w:rsidP="0002541E">
      <w:pPr>
        <w:pStyle w:val="NoSpacing"/>
        <w:jc w:val="both"/>
        <w:rPr>
          <w:bCs/>
          <w:sz w:val="20"/>
          <w:szCs w:val="20"/>
        </w:rPr>
      </w:pPr>
      <w:r w:rsidRPr="00701439">
        <w:rPr>
          <w:bCs/>
          <w:sz w:val="20"/>
          <w:szCs w:val="20"/>
          <w:u w:val="single"/>
        </w:rPr>
        <w:t xml:space="preserve">Technology and Information Security Risk </w:t>
      </w:r>
    </w:p>
    <w:p w14:paraId="180F65C6" w14:textId="77777777" w:rsidR="00CC288B" w:rsidRPr="00701439" w:rsidRDefault="00CC288B" w:rsidP="0002541E">
      <w:pPr>
        <w:pStyle w:val="NoSpacing"/>
        <w:jc w:val="both"/>
        <w:rPr>
          <w:bCs/>
          <w:sz w:val="20"/>
          <w:szCs w:val="20"/>
        </w:rPr>
      </w:pPr>
      <w:r w:rsidRPr="00701439">
        <w:rPr>
          <w:bCs/>
          <w:sz w:val="20"/>
          <w:szCs w:val="20"/>
        </w:rPr>
        <w:t>This is defined as the risk arising from compromised or inadequate technology, security and data that could affect the confidentiality, integrity or availability of the Group’s data or systems. This risk is managed in conjunction with Operational Risk with additional and particular focus on cyber and technology infrastructure. Extensive work within the First Line Controls Review programme is on track and there is sufficient oversight in place to ensure early detection of further potential delay.</w:t>
      </w:r>
    </w:p>
    <w:p w14:paraId="621102A1" w14:textId="77777777" w:rsidR="00CC288B" w:rsidRPr="00701439" w:rsidRDefault="00CC288B" w:rsidP="0002541E">
      <w:pPr>
        <w:pStyle w:val="NoSpacing"/>
        <w:jc w:val="both"/>
        <w:rPr>
          <w:bCs/>
          <w:sz w:val="20"/>
          <w:szCs w:val="20"/>
        </w:rPr>
      </w:pPr>
    </w:p>
    <w:p w14:paraId="419ECEED" w14:textId="77777777" w:rsidR="00CC288B" w:rsidRPr="00701439" w:rsidRDefault="00CC288B" w:rsidP="0002541E">
      <w:pPr>
        <w:pStyle w:val="NoSpacing"/>
        <w:jc w:val="both"/>
        <w:rPr>
          <w:bCs/>
          <w:sz w:val="20"/>
          <w:szCs w:val="20"/>
          <w:u w:val="single"/>
        </w:rPr>
      </w:pPr>
      <w:r w:rsidRPr="00701439">
        <w:rPr>
          <w:bCs/>
          <w:sz w:val="20"/>
          <w:szCs w:val="20"/>
          <w:u w:val="single"/>
        </w:rPr>
        <w:t>Operational Risk</w:t>
      </w:r>
    </w:p>
    <w:p w14:paraId="04753E48" w14:textId="77777777" w:rsidR="00CC288B" w:rsidRPr="00701439" w:rsidRDefault="00CC288B" w:rsidP="0002541E">
      <w:pPr>
        <w:pStyle w:val="NoSpacing"/>
        <w:jc w:val="both"/>
        <w:rPr>
          <w:bCs/>
          <w:sz w:val="20"/>
          <w:szCs w:val="20"/>
        </w:rPr>
      </w:pPr>
      <w:r w:rsidRPr="00701439">
        <w:rPr>
          <w:bCs/>
          <w:sz w:val="20"/>
          <w:szCs w:val="20"/>
        </w:rPr>
        <w:t xml:space="preserve">This is defined as the risk of loss resulting from inadequate or failed internal processes, </w:t>
      </w:r>
      <w:proofErr w:type="gramStart"/>
      <w:r w:rsidRPr="00701439">
        <w:rPr>
          <w:bCs/>
          <w:sz w:val="20"/>
          <w:szCs w:val="20"/>
        </w:rPr>
        <w:t>people</w:t>
      </w:r>
      <w:proofErr w:type="gramEnd"/>
      <w:r w:rsidRPr="00701439">
        <w:rPr>
          <w:bCs/>
          <w:sz w:val="20"/>
          <w:szCs w:val="20"/>
        </w:rPr>
        <w:t xml:space="preserve"> and systems or from external events. The three lines of defence model throughout the Group ensures there are clear lines of accountability between management who own the risks, oversight by the risk function and independent assurance provided by Internal Audit.</w:t>
      </w:r>
      <w:r w:rsidRPr="00701439">
        <w:rPr>
          <w:bCs/>
          <w:i/>
          <w:sz w:val="20"/>
          <w:szCs w:val="20"/>
        </w:rPr>
        <w:t xml:space="preserve"> </w:t>
      </w:r>
    </w:p>
    <w:p w14:paraId="3F379939" w14:textId="77777777" w:rsidR="00CC288B" w:rsidRPr="00701439" w:rsidRDefault="00CC288B" w:rsidP="0002541E">
      <w:pPr>
        <w:pStyle w:val="NoSpacing"/>
        <w:jc w:val="both"/>
        <w:rPr>
          <w:bCs/>
          <w:sz w:val="20"/>
          <w:szCs w:val="20"/>
        </w:rPr>
      </w:pPr>
    </w:p>
    <w:p w14:paraId="52FDFB45" w14:textId="77777777" w:rsidR="00CC288B" w:rsidRPr="00701439" w:rsidRDefault="00CC288B" w:rsidP="0002541E">
      <w:pPr>
        <w:pStyle w:val="NoSpacing"/>
        <w:jc w:val="both"/>
        <w:rPr>
          <w:bCs/>
          <w:sz w:val="20"/>
          <w:szCs w:val="20"/>
          <w:u w:val="single"/>
        </w:rPr>
      </w:pPr>
      <w:r w:rsidRPr="00701439">
        <w:rPr>
          <w:bCs/>
          <w:sz w:val="20"/>
          <w:szCs w:val="20"/>
          <w:u w:val="single"/>
        </w:rPr>
        <w:t>Model Risk</w:t>
      </w:r>
    </w:p>
    <w:p w14:paraId="749D5E8E" w14:textId="3FEC6D1D" w:rsidR="00CC288B" w:rsidRPr="00701439" w:rsidRDefault="00CC288B" w:rsidP="0002541E">
      <w:pPr>
        <w:pStyle w:val="NoSpacing"/>
        <w:jc w:val="both"/>
        <w:rPr>
          <w:bCs/>
          <w:i/>
          <w:sz w:val="20"/>
          <w:szCs w:val="20"/>
        </w:rPr>
      </w:pPr>
      <w:r w:rsidRPr="00701439">
        <w:rPr>
          <w:bCs/>
          <w:sz w:val="20"/>
          <w:szCs w:val="20"/>
        </w:rPr>
        <w:t xml:space="preserve">This is defined as the risk of financial losses where models fail to perform as expected due to poor governance (including design and operation). A Group model risk management framework and model risk policy is embedded with a model inventory in place to ensure periodic review and strict change control. Critical IFRS9 models within </w:t>
      </w:r>
      <w:r w:rsidR="000F5D54" w:rsidRPr="00701439">
        <w:rPr>
          <w:bCs/>
          <w:sz w:val="20"/>
          <w:szCs w:val="20"/>
        </w:rPr>
        <w:t>credit cards</w:t>
      </w:r>
      <w:r w:rsidRPr="00701439">
        <w:rPr>
          <w:bCs/>
          <w:sz w:val="20"/>
          <w:szCs w:val="20"/>
        </w:rPr>
        <w:t xml:space="preserve"> and </w:t>
      </w:r>
      <w:r w:rsidR="00C076BB" w:rsidRPr="00701439">
        <w:rPr>
          <w:bCs/>
          <w:sz w:val="20"/>
          <w:szCs w:val="20"/>
        </w:rPr>
        <w:t>vehicle finance</w:t>
      </w:r>
      <w:r w:rsidRPr="00701439">
        <w:rPr>
          <w:bCs/>
          <w:sz w:val="20"/>
          <w:szCs w:val="20"/>
        </w:rPr>
        <w:t xml:space="preserve"> have been externally validated.</w:t>
      </w:r>
    </w:p>
    <w:p w14:paraId="54415B48" w14:textId="77777777" w:rsidR="00CC288B" w:rsidRPr="00701439" w:rsidRDefault="00CC288B" w:rsidP="00CC288B">
      <w:pPr>
        <w:pStyle w:val="NoSpacing"/>
        <w:rPr>
          <w:bCs/>
          <w:sz w:val="20"/>
          <w:szCs w:val="20"/>
        </w:rPr>
      </w:pPr>
    </w:p>
    <w:p w14:paraId="08749AE2" w14:textId="7C668825" w:rsidR="00607E22" w:rsidRPr="00701439" w:rsidRDefault="00607E22" w:rsidP="00E534C5">
      <w:pPr>
        <w:pStyle w:val="NoSpacing"/>
        <w:jc w:val="both"/>
        <w:rPr>
          <w:bCs/>
          <w:sz w:val="20"/>
          <w:szCs w:val="20"/>
        </w:rPr>
      </w:pPr>
    </w:p>
    <w:p w14:paraId="0481EE8D" w14:textId="07A95B7C" w:rsidR="00607E22" w:rsidRPr="00701439" w:rsidRDefault="00607E22">
      <w:pPr>
        <w:rPr>
          <w:rFonts w:asciiTheme="minorHAnsi" w:eastAsiaTheme="minorHAnsi" w:hAnsiTheme="minorHAnsi" w:cstheme="minorBidi"/>
          <w:bCs/>
          <w:sz w:val="20"/>
          <w:szCs w:val="20"/>
          <w:lang w:eastAsia="en-US"/>
        </w:rPr>
      </w:pPr>
      <w:r w:rsidRPr="00701439">
        <w:rPr>
          <w:bCs/>
          <w:sz w:val="20"/>
          <w:szCs w:val="20"/>
        </w:rPr>
        <w:br w:type="page"/>
      </w:r>
    </w:p>
    <w:p w14:paraId="0E1001EE" w14:textId="77777777" w:rsidR="00607E22" w:rsidRPr="00701439" w:rsidRDefault="00607E22" w:rsidP="00607E22">
      <w:pPr>
        <w:jc w:val="both"/>
        <w:rPr>
          <w:rFonts w:asciiTheme="minorHAnsi" w:hAnsiTheme="minorHAnsi" w:cs="Arial"/>
          <w:b/>
          <w:color w:val="4747FF"/>
          <w:sz w:val="22"/>
          <w:szCs w:val="22"/>
        </w:rPr>
      </w:pPr>
      <w:r w:rsidRPr="00701439">
        <w:rPr>
          <w:rFonts w:asciiTheme="minorHAnsi" w:hAnsiTheme="minorHAnsi" w:cs="Arial"/>
          <w:b/>
          <w:color w:val="4747FF"/>
          <w:sz w:val="22"/>
          <w:szCs w:val="22"/>
        </w:rPr>
        <w:lastRenderedPageBreak/>
        <w:t xml:space="preserve">Consolidated financial </w:t>
      </w:r>
      <w:proofErr w:type="gramStart"/>
      <w:r w:rsidRPr="00701439">
        <w:rPr>
          <w:rFonts w:asciiTheme="minorHAnsi" w:hAnsiTheme="minorHAnsi" w:cs="Arial"/>
          <w:b/>
          <w:color w:val="4747FF"/>
          <w:sz w:val="22"/>
          <w:szCs w:val="22"/>
        </w:rPr>
        <w:t>statements</w:t>
      </w:r>
      <w:proofErr w:type="gramEnd"/>
    </w:p>
    <w:p w14:paraId="1726B685" w14:textId="77777777" w:rsidR="00607E22" w:rsidRPr="00701439" w:rsidRDefault="00607E22" w:rsidP="00607E22">
      <w:pPr>
        <w:jc w:val="both"/>
        <w:rPr>
          <w:rFonts w:asciiTheme="minorHAnsi" w:hAnsiTheme="minorHAnsi" w:cs="Arial"/>
          <w:b/>
          <w:sz w:val="20"/>
          <w:szCs w:val="20"/>
          <w:u w:val="single"/>
        </w:rPr>
      </w:pPr>
    </w:p>
    <w:p w14:paraId="1F59E36D" w14:textId="77777777" w:rsidR="00A3021A" w:rsidRPr="00701439" w:rsidRDefault="00A3021A" w:rsidP="00A3021A">
      <w:pPr>
        <w:rPr>
          <w:rFonts w:asciiTheme="minorHAnsi" w:hAnsiTheme="minorHAnsi" w:cs="Arial"/>
          <w:b/>
          <w:color w:val="4747FF"/>
          <w:sz w:val="22"/>
          <w:szCs w:val="22"/>
        </w:rPr>
      </w:pPr>
      <w:r w:rsidRPr="00701439">
        <w:rPr>
          <w:rFonts w:asciiTheme="minorHAnsi" w:hAnsiTheme="minorHAnsi" w:cs="Arial"/>
          <w:b/>
          <w:color w:val="4747FF"/>
          <w:sz w:val="22"/>
          <w:szCs w:val="22"/>
        </w:rPr>
        <w:t xml:space="preserve">Consolidated income statement for the year ended 31 </w:t>
      </w:r>
      <w:proofErr w:type="gramStart"/>
      <w:r w:rsidRPr="00701439">
        <w:rPr>
          <w:rFonts w:asciiTheme="minorHAnsi" w:hAnsiTheme="minorHAnsi" w:cs="Arial"/>
          <w:b/>
          <w:color w:val="4747FF"/>
          <w:sz w:val="22"/>
          <w:szCs w:val="22"/>
        </w:rPr>
        <w:t>December</w:t>
      </w:r>
      <w:proofErr w:type="gramEnd"/>
    </w:p>
    <w:p w14:paraId="5676902F" w14:textId="77777777" w:rsidR="00A3021A" w:rsidRPr="00701439" w:rsidRDefault="00A3021A" w:rsidP="00A3021A">
      <w:pPr>
        <w:rPr>
          <w:rFonts w:asciiTheme="minorHAnsi" w:hAnsiTheme="minorHAnsi" w:cs="Arial"/>
          <w:b/>
          <w:sz w:val="20"/>
          <w:szCs w:val="20"/>
        </w:rPr>
      </w:pPr>
    </w:p>
    <w:tbl>
      <w:tblPr>
        <w:tblW w:w="9923" w:type="dxa"/>
        <w:tblLayout w:type="fixed"/>
        <w:tblLook w:val="0000" w:firstRow="0" w:lastRow="0" w:firstColumn="0" w:lastColumn="0" w:noHBand="0" w:noVBand="0"/>
      </w:tblPr>
      <w:tblGrid>
        <w:gridCol w:w="6938"/>
        <w:gridCol w:w="125"/>
        <w:gridCol w:w="506"/>
        <w:gridCol w:w="1177"/>
        <w:gridCol w:w="1177"/>
      </w:tblGrid>
      <w:tr w:rsidR="00A3021A" w:rsidRPr="00701439" w14:paraId="1CEAAB7B" w14:textId="77777777">
        <w:tc>
          <w:tcPr>
            <w:tcW w:w="6938" w:type="dxa"/>
          </w:tcPr>
          <w:p w14:paraId="1D862EC6" w14:textId="77777777" w:rsidR="00A3021A" w:rsidRPr="00701439" w:rsidRDefault="00A3021A">
            <w:pPr>
              <w:rPr>
                <w:rFonts w:asciiTheme="minorHAnsi" w:hAnsiTheme="minorHAnsi" w:cs="Arial"/>
                <w:sz w:val="20"/>
                <w:szCs w:val="20"/>
              </w:rPr>
            </w:pPr>
          </w:p>
        </w:tc>
        <w:tc>
          <w:tcPr>
            <w:tcW w:w="631" w:type="dxa"/>
            <w:gridSpan w:val="2"/>
          </w:tcPr>
          <w:p w14:paraId="3FBD1149"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Note</w:t>
            </w:r>
          </w:p>
        </w:tc>
        <w:tc>
          <w:tcPr>
            <w:tcW w:w="1177" w:type="dxa"/>
          </w:tcPr>
          <w:p w14:paraId="534CEF91"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2022 </w:t>
            </w:r>
          </w:p>
        </w:tc>
        <w:tc>
          <w:tcPr>
            <w:tcW w:w="1177" w:type="dxa"/>
          </w:tcPr>
          <w:p w14:paraId="498F638B"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2021</w:t>
            </w:r>
          </w:p>
        </w:tc>
      </w:tr>
      <w:tr w:rsidR="00A3021A" w:rsidRPr="00701439" w14:paraId="497E05D7" w14:textId="77777777">
        <w:tc>
          <w:tcPr>
            <w:tcW w:w="6938" w:type="dxa"/>
          </w:tcPr>
          <w:p w14:paraId="71C15B4E" w14:textId="77777777" w:rsidR="00A3021A" w:rsidRPr="00701439" w:rsidRDefault="00A3021A">
            <w:pPr>
              <w:rPr>
                <w:rFonts w:asciiTheme="minorHAnsi" w:hAnsiTheme="minorHAnsi" w:cs="Arial"/>
                <w:b/>
                <w:sz w:val="20"/>
                <w:szCs w:val="20"/>
              </w:rPr>
            </w:pPr>
            <w:r w:rsidRPr="00701439">
              <w:rPr>
                <w:rFonts w:asciiTheme="minorHAnsi" w:hAnsiTheme="minorHAnsi" w:cs="Arial"/>
                <w:b/>
                <w:sz w:val="20"/>
                <w:szCs w:val="20"/>
              </w:rPr>
              <w:t>Continuing operations</w:t>
            </w:r>
          </w:p>
        </w:tc>
        <w:tc>
          <w:tcPr>
            <w:tcW w:w="631" w:type="dxa"/>
            <w:gridSpan w:val="2"/>
          </w:tcPr>
          <w:p w14:paraId="21D8C66F" w14:textId="77777777" w:rsidR="00A3021A" w:rsidRPr="00701439" w:rsidRDefault="00A3021A">
            <w:pPr>
              <w:jc w:val="right"/>
              <w:rPr>
                <w:rFonts w:asciiTheme="minorHAnsi" w:hAnsiTheme="minorHAnsi" w:cs="Arial"/>
                <w:sz w:val="20"/>
                <w:szCs w:val="20"/>
              </w:rPr>
            </w:pPr>
          </w:p>
        </w:tc>
        <w:tc>
          <w:tcPr>
            <w:tcW w:w="1177" w:type="dxa"/>
            <w:tcBorders>
              <w:top w:val="nil"/>
              <w:left w:val="nil"/>
              <w:right w:val="nil"/>
            </w:tcBorders>
          </w:tcPr>
          <w:p w14:paraId="144156FC"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£m </w:t>
            </w:r>
          </w:p>
        </w:tc>
        <w:tc>
          <w:tcPr>
            <w:tcW w:w="1177" w:type="dxa"/>
            <w:tcBorders>
              <w:top w:val="nil"/>
              <w:left w:val="nil"/>
              <w:right w:val="nil"/>
            </w:tcBorders>
          </w:tcPr>
          <w:p w14:paraId="29B2C00A"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£m </w:t>
            </w:r>
          </w:p>
        </w:tc>
      </w:tr>
      <w:tr w:rsidR="00A3021A" w:rsidRPr="00701439" w14:paraId="75D664D5" w14:textId="77777777">
        <w:tc>
          <w:tcPr>
            <w:tcW w:w="6938" w:type="dxa"/>
            <w:vAlign w:val="bottom"/>
          </w:tcPr>
          <w:p w14:paraId="02B2EA84"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Interest income</w:t>
            </w:r>
          </w:p>
        </w:tc>
        <w:tc>
          <w:tcPr>
            <w:tcW w:w="631" w:type="dxa"/>
            <w:gridSpan w:val="2"/>
            <w:vAlign w:val="bottom"/>
          </w:tcPr>
          <w:p w14:paraId="24DB8287"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3</w:t>
            </w:r>
          </w:p>
        </w:tc>
        <w:tc>
          <w:tcPr>
            <w:tcW w:w="1177" w:type="dxa"/>
            <w:tcBorders>
              <w:top w:val="nil"/>
              <w:left w:val="nil"/>
              <w:right w:val="nil"/>
            </w:tcBorders>
            <w:vAlign w:val="bottom"/>
          </w:tcPr>
          <w:p w14:paraId="142B2DD8"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486.9</w:t>
            </w:r>
          </w:p>
        </w:tc>
        <w:tc>
          <w:tcPr>
            <w:tcW w:w="1177" w:type="dxa"/>
            <w:tcBorders>
              <w:top w:val="nil"/>
              <w:left w:val="nil"/>
              <w:right w:val="nil"/>
            </w:tcBorders>
            <w:shd w:val="clear" w:color="auto" w:fill="auto"/>
            <w:vAlign w:val="bottom"/>
          </w:tcPr>
          <w:p w14:paraId="578A75CF"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473.9</w:t>
            </w:r>
          </w:p>
        </w:tc>
      </w:tr>
      <w:tr w:rsidR="00A3021A" w:rsidRPr="00701439" w14:paraId="544F90AE" w14:textId="77777777">
        <w:tc>
          <w:tcPr>
            <w:tcW w:w="6938" w:type="dxa"/>
            <w:vAlign w:val="bottom"/>
          </w:tcPr>
          <w:p w14:paraId="3CE72907"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Interest expense</w:t>
            </w:r>
          </w:p>
        </w:tc>
        <w:tc>
          <w:tcPr>
            <w:tcW w:w="631" w:type="dxa"/>
            <w:gridSpan w:val="2"/>
            <w:vAlign w:val="bottom"/>
          </w:tcPr>
          <w:p w14:paraId="0B1DCFE2" w14:textId="77777777" w:rsidR="00A3021A" w:rsidRPr="00701439" w:rsidRDefault="00A3021A">
            <w:pPr>
              <w:jc w:val="right"/>
              <w:rPr>
                <w:rFonts w:asciiTheme="minorHAnsi" w:hAnsiTheme="minorHAnsi" w:cs="Arial"/>
                <w:sz w:val="20"/>
                <w:szCs w:val="20"/>
              </w:rPr>
            </w:pPr>
          </w:p>
        </w:tc>
        <w:tc>
          <w:tcPr>
            <w:tcW w:w="1177" w:type="dxa"/>
            <w:tcBorders>
              <w:top w:val="nil"/>
              <w:left w:val="nil"/>
              <w:bottom w:val="single" w:sz="4" w:space="0" w:color="auto"/>
              <w:right w:val="nil"/>
            </w:tcBorders>
            <w:vAlign w:val="bottom"/>
          </w:tcPr>
          <w:p w14:paraId="11BCB884" w14:textId="4E2E1FD1"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(5</w:t>
            </w:r>
            <w:r w:rsidR="00632592" w:rsidRPr="00701439">
              <w:rPr>
                <w:rFonts w:asciiTheme="minorHAnsi" w:hAnsiTheme="minorHAnsi" w:cs="Arial"/>
                <w:sz w:val="20"/>
                <w:szCs w:val="20"/>
              </w:rPr>
              <w:t>8.8</w:t>
            </w:r>
            <w:r w:rsidRPr="00701439">
              <w:rPr>
                <w:rFonts w:asciiTheme="minorHAnsi" w:hAnsiTheme="minorHAnsi" w:cs="Arial"/>
                <w:sz w:val="20"/>
                <w:szCs w:val="20"/>
              </w:rPr>
              <w:t>)</w:t>
            </w:r>
          </w:p>
        </w:tc>
        <w:tc>
          <w:tcPr>
            <w:tcW w:w="1177" w:type="dxa"/>
            <w:tcBorders>
              <w:top w:val="nil"/>
              <w:left w:val="nil"/>
              <w:bottom w:val="single" w:sz="4" w:space="0" w:color="auto"/>
              <w:right w:val="nil"/>
            </w:tcBorders>
            <w:shd w:val="clear" w:color="auto" w:fill="auto"/>
            <w:vAlign w:val="bottom"/>
          </w:tcPr>
          <w:p w14:paraId="0FFF6843"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(53.0)</w:t>
            </w:r>
          </w:p>
        </w:tc>
      </w:tr>
      <w:tr w:rsidR="00A3021A" w:rsidRPr="00701439" w14:paraId="583A38ED" w14:textId="77777777">
        <w:tc>
          <w:tcPr>
            <w:tcW w:w="6938" w:type="dxa"/>
            <w:vAlign w:val="bottom"/>
          </w:tcPr>
          <w:p w14:paraId="0B6E41D9" w14:textId="77777777" w:rsidR="00A3021A" w:rsidRPr="00701439" w:rsidRDefault="00A3021A">
            <w:pPr>
              <w:rPr>
                <w:rFonts w:asciiTheme="minorHAnsi" w:hAnsiTheme="minorHAnsi" w:cs="Arial"/>
                <w:b/>
                <w:bCs/>
                <w:sz w:val="20"/>
                <w:szCs w:val="20"/>
              </w:rPr>
            </w:pPr>
            <w:r w:rsidRPr="00701439">
              <w:rPr>
                <w:rFonts w:asciiTheme="minorHAnsi" w:hAnsiTheme="minorHAnsi" w:cs="Arial"/>
                <w:b/>
                <w:bCs/>
                <w:sz w:val="20"/>
                <w:szCs w:val="20"/>
              </w:rPr>
              <w:t>Net interest income</w:t>
            </w:r>
          </w:p>
        </w:tc>
        <w:tc>
          <w:tcPr>
            <w:tcW w:w="631" w:type="dxa"/>
            <w:gridSpan w:val="2"/>
            <w:vAlign w:val="bottom"/>
          </w:tcPr>
          <w:p w14:paraId="1FE0E51F" w14:textId="77777777" w:rsidR="00A3021A" w:rsidRPr="00701439" w:rsidRDefault="00A3021A">
            <w:pPr>
              <w:jc w:val="right"/>
              <w:rPr>
                <w:rFonts w:asciiTheme="minorHAnsi" w:hAnsiTheme="minorHAnsi" w:cs="Arial"/>
                <w:sz w:val="20"/>
                <w:szCs w:val="20"/>
              </w:rPr>
            </w:pPr>
          </w:p>
        </w:tc>
        <w:tc>
          <w:tcPr>
            <w:tcW w:w="1177" w:type="dxa"/>
            <w:tcBorders>
              <w:top w:val="single" w:sz="4" w:space="0" w:color="auto"/>
              <w:left w:val="nil"/>
              <w:bottom w:val="single" w:sz="4" w:space="0" w:color="auto"/>
              <w:right w:val="nil"/>
            </w:tcBorders>
            <w:vAlign w:val="bottom"/>
          </w:tcPr>
          <w:p w14:paraId="11C28E16" w14:textId="5A876313" w:rsidR="00A3021A" w:rsidRPr="00701439" w:rsidRDefault="00A141C0">
            <w:pPr>
              <w:jc w:val="right"/>
              <w:rPr>
                <w:rFonts w:asciiTheme="minorHAnsi" w:hAnsiTheme="minorHAnsi" w:cs="Arial"/>
                <w:sz w:val="20"/>
                <w:szCs w:val="20"/>
              </w:rPr>
            </w:pPr>
            <w:r w:rsidRPr="00701439">
              <w:rPr>
                <w:rFonts w:asciiTheme="minorHAnsi" w:hAnsiTheme="minorHAnsi" w:cs="Arial"/>
                <w:sz w:val="20"/>
                <w:szCs w:val="20"/>
              </w:rPr>
              <w:t>428.1</w:t>
            </w:r>
          </w:p>
        </w:tc>
        <w:tc>
          <w:tcPr>
            <w:tcW w:w="1177" w:type="dxa"/>
            <w:tcBorders>
              <w:top w:val="single" w:sz="4" w:space="0" w:color="auto"/>
              <w:left w:val="nil"/>
              <w:bottom w:val="single" w:sz="4" w:space="0" w:color="auto"/>
              <w:right w:val="nil"/>
            </w:tcBorders>
            <w:shd w:val="clear" w:color="auto" w:fill="auto"/>
            <w:vAlign w:val="bottom"/>
          </w:tcPr>
          <w:p w14:paraId="6FD1A1D4"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420.9</w:t>
            </w:r>
          </w:p>
        </w:tc>
      </w:tr>
      <w:tr w:rsidR="00A3021A" w:rsidRPr="00701439" w14:paraId="0314D1D3" w14:textId="77777777">
        <w:tc>
          <w:tcPr>
            <w:tcW w:w="6938" w:type="dxa"/>
            <w:vAlign w:val="bottom"/>
          </w:tcPr>
          <w:p w14:paraId="4CA6C020" w14:textId="2C44B1D3" w:rsidR="00A3021A" w:rsidRPr="00701439" w:rsidRDefault="00A3021A">
            <w:pPr>
              <w:rPr>
                <w:rFonts w:asciiTheme="minorHAnsi" w:hAnsiTheme="minorHAnsi" w:cs="Arial"/>
                <w:sz w:val="20"/>
                <w:szCs w:val="20"/>
              </w:rPr>
            </w:pPr>
            <w:r w:rsidRPr="00701439">
              <w:rPr>
                <w:rFonts w:asciiTheme="minorHAnsi" w:hAnsiTheme="minorHAnsi" w:cs="Arial"/>
                <w:sz w:val="20"/>
                <w:szCs w:val="20"/>
              </w:rPr>
              <w:t>Fee and commission income</w:t>
            </w:r>
          </w:p>
        </w:tc>
        <w:tc>
          <w:tcPr>
            <w:tcW w:w="631" w:type="dxa"/>
            <w:gridSpan w:val="2"/>
            <w:vAlign w:val="bottom"/>
          </w:tcPr>
          <w:p w14:paraId="34257846" w14:textId="776B3362" w:rsidR="00A3021A" w:rsidRPr="00701439" w:rsidRDefault="00AC7F8F">
            <w:pPr>
              <w:jc w:val="right"/>
              <w:rPr>
                <w:rFonts w:asciiTheme="minorHAnsi" w:hAnsiTheme="minorHAnsi" w:cs="Arial"/>
                <w:sz w:val="20"/>
                <w:szCs w:val="20"/>
              </w:rPr>
            </w:pPr>
            <w:r w:rsidRPr="00701439">
              <w:rPr>
                <w:rFonts w:asciiTheme="minorHAnsi" w:hAnsiTheme="minorHAnsi" w:cs="Arial"/>
                <w:sz w:val="20"/>
                <w:szCs w:val="20"/>
              </w:rPr>
              <w:t>3</w:t>
            </w:r>
          </w:p>
        </w:tc>
        <w:tc>
          <w:tcPr>
            <w:tcW w:w="1177" w:type="dxa"/>
            <w:tcBorders>
              <w:top w:val="single" w:sz="4" w:space="0" w:color="auto"/>
              <w:left w:val="nil"/>
              <w:right w:val="nil"/>
            </w:tcBorders>
            <w:vAlign w:val="bottom"/>
          </w:tcPr>
          <w:p w14:paraId="1C83D772"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47.0</w:t>
            </w:r>
          </w:p>
        </w:tc>
        <w:tc>
          <w:tcPr>
            <w:tcW w:w="1177" w:type="dxa"/>
            <w:tcBorders>
              <w:top w:val="single" w:sz="4" w:space="0" w:color="auto"/>
              <w:left w:val="nil"/>
              <w:right w:val="nil"/>
            </w:tcBorders>
            <w:shd w:val="clear" w:color="auto" w:fill="auto"/>
            <w:vAlign w:val="bottom"/>
          </w:tcPr>
          <w:p w14:paraId="08ECE4DE"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60.3</w:t>
            </w:r>
          </w:p>
        </w:tc>
      </w:tr>
      <w:tr w:rsidR="00A3021A" w:rsidRPr="00701439" w14:paraId="181147F5" w14:textId="77777777">
        <w:tc>
          <w:tcPr>
            <w:tcW w:w="6938" w:type="dxa"/>
            <w:vAlign w:val="bottom"/>
          </w:tcPr>
          <w:p w14:paraId="50C22F78" w14:textId="16F35B27" w:rsidR="00A3021A" w:rsidRPr="00701439" w:rsidRDefault="00A3021A">
            <w:pPr>
              <w:rPr>
                <w:rFonts w:asciiTheme="minorHAnsi" w:hAnsiTheme="minorHAnsi" w:cs="Arial"/>
                <w:sz w:val="20"/>
                <w:szCs w:val="20"/>
              </w:rPr>
            </w:pPr>
            <w:r w:rsidRPr="00701439">
              <w:rPr>
                <w:rFonts w:asciiTheme="minorHAnsi" w:hAnsiTheme="minorHAnsi" w:cs="Arial"/>
                <w:sz w:val="20"/>
                <w:szCs w:val="20"/>
              </w:rPr>
              <w:t>Fee and commission expense</w:t>
            </w:r>
          </w:p>
        </w:tc>
        <w:tc>
          <w:tcPr>
            <w:tcW w:w="631" w:type="dxa"/>
            <w:gridSpan w:val="2"/>
            <w:vAlign w:val="bottom"/>
          </w:tcPr>
          <w:p w14:paraId="44A3E1B1" w14:textId="77777777" w:rsidR="00A3021A" w:rsidRPr="00701439" w:rsidRDefault="00A3021A">
            <w:pPr>
              <w:jc w:val="right"/>
              <w:rPr>
                <w:rFonts w:asciiTheme="minorHAnsi" w:hAnsiTheme="minorHAnsi" w:cs="Arial"/>
                <w:sz w:val="20"/>
                <w:szCs w:val="20"/>
              </w:rPr>
            </w:pPr>
          </w:p>
        </w:tc>
        <w:tc>
          <w:tcPr>
            <w:tcW w:w="1177" w:type="dxa"/>
            <w:tcBorders>
              <w:left w:val="nil"/>
              <w:bottom w:val="single" w:sz="4" w:space="0" w:color="auto"/>
              <w:right w:val="nil"/>
            </w:tcBorders>
            <w:vAlign w:val="bottom"/>
          </w:tcPr>
          <w:p w14:paraId="5E161EA3"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(2.8)</w:t>
            </w:r>
          </w:p>
        </w:tc>
        <w:tc>
          <w:tcPr>
            <w:tcW w:w="1177" w:type="dxa"/>
            <w:tcBorders>
              <w:left w:val="nil"/>
              <w:bottom w:val="single" w:sz="4" w:space="0" w:color="auto"/>
              <w:right w:val="nil"/>
            </w:tcBorders>
            <w:shd w:val="clear" w:color="auto" w:fill="auto"/>
            <w:vAlign w:val="bottom"/>
          </w:tcPr>
          <w:p w14:paraId="11A23D2B"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(2.9)</w:t>
            </w:r>
          </w:p>
        </w:tc>
      </w:tr>
      <w:tr w:rsidR="00A3021A" w:rsidRPr="00701439" w14:paraId="17FDEF91" w14:textId="77777777">
        <w:trPr>
          <w:trHeight w:val="195"/>
        </w:trPr>
        <w:tc>
          <w:tcPr>
            <w:tcW w:w="6938" w:type="dxa"/>
            <w:vAlign w:val="bottom"/>
          </w:tcPr>
          <w:p w14:paraId="6A02315B" w14:textId="77777777" w:rsidR="00A3021A" w:rsidRPr="00701439" w:rsidRDefault="00A3021A">
            <w:pPr>
              <w:rPr>
                <w:rFonts w:asciiTheme="minorHAnsi" w:hAnsiTheme="minorHAnsi" w:cs="Arial"/>
                <w:b/>
                <w:bCs/>
                <w:sz w:val="20"/>
                <w:szCs w:val="20"/>
              </w:rPr>
            </w:pPr>
            <w:r w:rsidRPr="00701439">
              <w:rPr>
                <w:rFonts w:asciiTheme="minorHAnsi" w:hAnsiTheme="minorHAnsi" w:cs="Arial"/>
                <w:b/>
                <w:bCs/>
                <w:sz w:val="20"/>
                <w:szCs w:val="20"/>
              </w:rPr>
              <w:t>Net fee and commission income</w:t>
            </w:r>
          </w:p>
        </w:tc>
        <w:tc>
          <w:tcPr>
            <w:tcW w:w="631" w:type="dxa"/>
            <w:gridSpan w:val="2"/>
            <w:vAlign w:val="bottom"/>
          </w:tcPr>
          <w:p w14:paraId="712C6877" w14:textId="77777777" w:rsidR="00A3021A" w:rsidRPr="00701439" w:rsidRDefault="00A3021A">
            <w:pPr>
              <w:jc w:val="right"/>
              <w:rPr>
                <w:rFonts w:asciiTheme="minorHAnsi" w:hAnsiTheme="minorHAnsi" w:cs="Arial"/>
                <w:sz w:val="20"/>
                <w:szCs w:val="20"/>
              </w:rPr>
            </w:pPr>
          </w:p>
        </w:tc>
        <w:tc>
          <w:tcPr>
            <w:tcW w:w="1177" w:type="dxa"/>
            <w:tcBorders>
              <w:top w:val="single" w:sz="4" w:space="0" w:color="auto"/>
              <w:left w:val="nil"/>
              <w:bottom w:val="single" w:sz="4" w:space="0" w:color="auto"/>
              <w:right w:val="nil"/>
            </w:tcBorders>
            <w:vAlign w:val="bottom"/>
          </w:tcPr>
          <w:p w14:paraId="4FB09976"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44.2</w:t>
            </w:r>
          </w:p>
        </w:tc>
        <w:tc>
          <w:tcPr>
            <w:tcW w:w="1177" w:type="dxa"/>
            <w:tcBorders>
              <w:top w:val="single" w:sz="4" w:space="0" w:color="auto"/>
              <w:left w:val="nil"/>
              <w:bottom w:val="single" w:sz="4" w:space="0" w:color="auto"/>
              <w:right w:val="nil"/>
            </w:tcBorders>
            <w:shd w:val="clear" w:color="auto" w:fill="auto"/>
            <w:vAlign w:val="bottom"/>
          </w:tcPr>
          <w:p w14:paraId="44FC2400"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57.4</w:t>
            </w:r>
          </w:p>
        </w:tc>
      </w:tr>
      <w:tr w:rsidR="00A3021A" w:rsidRPr="00701439" w14:paraId="4E6D0BE5" w14:textId="77777777">
        <w:trPr>
          <w:trHeight w:val="195"/>
        </w:trPr>
        <w:tc>
          <w:tcPr>
            <w:tcW w:w="6938" w:type="dxa"/>
            <w:vAlign w:val="bottom"/>
          </w:tcPr>
          <w:p w14:paraId="03DC3FCF" w14:textId="0B35EAE2" w:rsidR="00A3021A" w:rsidRPr="00701439" w:rsidRDefault="00A3021A">
            <w:pPr>
              <w:rPr>
                <w:rFonts w:asciiTheme="minorHAnsi" w:hAnsiTheme="minorHAnsi" w:cs="Arial"/>
                <w:sz w:val="20"/>
                <w:szCs w:val="20"/>
              </w:rPr>
            </w:pPr>
            <w:r w:rsidRPr="00701439">
              <w:rPr>
                <w:rFonts w:asciiTheme="minorHAnsi" w:hAnsiTheme="minorHAnsi" w:cs="Arial"/>
                <w:sz w:val="20"/>
                <w:szCs w:val="20"/>
              </w:rPr>
              <w:t>Other income</w:t>
            </w:r>
            <w:r w:rsidR="00A141C0" w:rsidRPr="00701439">
              <w:rPr>
                <w:rFonts w:asciiTheme="minorHAnsi" w:hAnsiTheme="minorHAnsi" w:cs="Arial"/>
                <w:sz w:val="20"/>
                <w:szCs w:val="20"/>
              </w:rPr>
              <w:t xml:space="preserve"> and </w:t>
            </w:r>
            <w:r w:rsidR="001462AF" w:rsidRPr="00701439">
              <w:rPr>
                <w:rFonts w:asciiTheme="minorHAnsi" w:hAnsiTheme="minorHAnsi" w:cs="Arial"/>
                <w:sz w:val="20"/>
                <w:szCs w:val="20"/>
              </w:rPr>
              <w:t>net fair value gains</w:t>
            </w:r>
          </w:p>
        </w:tc>
        <w:tc>
          <w:tcPr>
            <w:tcW w:w="631" w:type="dxa"/>
            <w:gridSpan w:val="2"/>
            <w:vAlign w:val="bottom"/>
          </w:tcPr>
          <w:p w14:paraId="3388892B" w14:textId="77777777" w:rsidR="00A3021A" w:rsidRPr="00701439" w:rsidRDefault="00A3021A">
            <w:pPr>
              <w:jc w:val="right"/>
              <w:rPr>
                <w:rFonts w:asciiTheme="minorHAnsi" w:hAnsiTheme="minorHAnsi" w:cs="Arial"/>
                <w:sz w:val="20"/>
                <w:szCs w:val="20"/>
              </w:rPr>
            </w:pPr>
          </w:p>
        </w:tc>
        <w:tc>
          <w:tcPr>
            <w:tcW w:w="1177" w:type="dxa"/>
            <w:tcBorders>
              <w:top w:val="single" w:sz="4" w:space="0" w:color="auto"/>
              <w:left w:val="nil"/>
              <w:right w:val="nil"/>
            </w:tcBorders>
            <w:vAlign w:val="bottom"/>
          </w:tcPr>
          <w:p w14:paraId="18030D77" w14:textId="10FCAB0E" w:rsidR="00A3021A" w:rsidRPr="00701439" w:rsidRDefault="00A141C0">
            <w:pPr>
              <w:jc w:val="right"/>
              <w:rPr>
                <w:rFonts w:asciiTheme="minorHAnsi" w:hAnsiTheme="minorHAnsi" w:cs="Arial"/>
                <w:sz w:val="20"/>
                <w:szCs w:val="20"/>
              </w:rPr>
            </w:pPr>
            <w:r w:rsidRPr="00701439">
              <w:rPr>
                <w:rFonts w:asciiTheme="minorHAnsi" w:hAnsiTheme="minorHAnsi" w:cs="Arial"/>
                <w:sz w:val="20"/>
                <w:szCs w:val="20"/>
              </w:rPr>
              <w:t>8.4</w:t>
            </w:r>
          </w:p>
        </w:tc>
        <w:tc>
          <w:tcPr>
            <w:tcW w:w="1177" w:type="dxa"/>
            <w:tcBorders>
              <w:top w:val="single" w:sz="4" w:space="0" w:color="auto"/>
              <w:left w:val="nil"/>
              <w:right w:val="nil"/>
            </w:tcBorders>
            <w:shd w:val="clear" w:color="auto" w:fill="auto"/>
            <w:vAlign w:val="bottom"/>
          </w:tcPr>
          <w:p w14:paraId="482855B6"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0.4</w:t>
            </w:r>
          </w:p>
        </w:tc>
      </w:tr>
      <w:tr w:rsidR="00A3021A" w:rsidRPr="00701439" w14:paraId="2AD1EC2A" w14:textId="77777777">
        <w:trPr>
          <w:trHeight w:val="195"/>
        </w:trPr>
        <w:tc>
          <w:tcPr>
            <w:tcW w:w="6938" w:type="dxa"/>
            <w:vAlign w:val="bottom"/>
          </w:tcPr>
          <w:p w14:paraId="486E35CB" w14:textId="77777777" w:rsidR="00A3021A" w:rsidRPr="00701439" w:rsidRDefault="00A3021A">
            <w:pPr>
              <w:rPr>
                <w:rFonts w:asciiTheme="minorHAnsi" w:hAnsiTheme="minorHAnsi" w:cs="Arial"/>
                <w:b/>
                <w:bCs/>
                <w:sz w:val="20"/>
                <w:szCs w:val="20"/>
              </w:rPr>
            </w:pPr>
            <w:r w:rsidRPr="00701439">
              <w:rPr>
                <w:rFonts w:asciiTheme="minorHAnsi" w:hAnsiTheme="minorHAnsi" w:cs="Arial"/>
                <w:b/>
                <w:bCs/>
                <w:sz w:val="20"/>
                <w:szCs w:val="20"/>
              </w:rPr>
              <w:t>Total income</w:t>
            </w:r>
          </w:p>
        </w:tc>
        <w:tc>
          <w:tcPr>
            <w:tcW w:w="631" w:type="dxa"/>
            <w:gridSpan w:val="2"/>
            <w:vAlign w:val="bottom"/>
          </w:tcPr>
          <w:p w14:paraId="47129246" w14:textId="77777777" w:rsidR="00A3021A" w:rsidRPr="00701439" w:rsidRDefault="00A3021A">
            <w:pPr>
              <w:jc w:val="right"/>
              <w:rPr>
                <w:rFonts w:asciiTheme="minorHAnsi" w:hAnsiTheme="minorHAnsi" w:cs="Arial"/>
                <w:sz w:val="20"/>
                <w:szCs w:val="20"/>
              </w:rPr>
            </w:pPr>
          </w:p>
        </w:tc>
        <w:tc>
          <w:tcPr>
            <w:tcW w:w="1177" w:type="dxa"/>
            <w:tcBorders>
              <w:top w:val="single" w:sz="4" w:space="0" w:color="auto"/>
              <w:left w:val="nil"/>
              <w:right w:val="nil"/>
            </w:tcBorders>
            <w:vAlign w:val="bottom"/>
          </w:tcPr>
          <w:p w14:paraId="2E8265FE"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480.7</w:t>
            </w:r>
          </w:p>
        </w:tc>
        <w:tc>
          <w:tcPr>
            <w:tcW w:w="1177" w:type="dxa"/>
            <w:tcBorders>
              <w:top w:val="single" w:sz="4" w:space="0" w:color="auto"/>
              <w:left w:val="nil"/>
              <w:right w:val="nil"/>
            </w:tcBorders>
            <w:shd w:val="clear" w:color="auto" w:fill="auto"/>
            <w:vAlign w:val="bottom"/>
          </w:tcPr>
          <w:p w14:paraId="5B8F7D97"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478.7</w:t>
            </w:r>
          </w:p>
        </w:tc>
      </w:tr>
      <w:tr w:rsidR="00A3021A" w:rsidRPr="00701439" w14:paraId="0F04E118" w14:textId="77777777">
        <w:tc>
          <w:tcPr>
            <w:tcW w:w="6938" w:type="dxa"/>
            <w:vAlign w:val="bottom"/>
          </w:tcPr>
          <w:p w14:paraId="525DC6B9"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Impairment charges</w:t>
            </w:r>
          </w:p>
        </w:tc>
        <w:tc>
          <w:tcPr>
            <w:tcW w:w="631" w:type="dxa"/>
            <w:gridSpan w:val="2"/>
            <w:vAlign w:val="bottom"/>
          </w:tcPr>
          <w:p w14:paraId="729D7B46"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8</w:t>
            </w:r>
          </w:p>
        </w:tc>
        <w:tc>
          <w:tcPr>
            <w:tcW w:w="1177" w:type="dxa"/>
            <w:tcBorders>
              <w:bottom w:val="single" w:sz="4" w:space="0" w:color="auto"/>
            </w:tcBorders>
            <w:vAlign w:val="bottom"/>
          </w:tcPr>
          <w:p w14:paraId="1E8F24FE"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(66.1)</w:t>
            </w:r>
          </w:p>
        </w:tc>
        <w:tc>
          <w:tcPr>
            <w:tcW w:w="1177" w:type="dxa"/>
            <w:tcBorders>
              <w:bottom w:val="single" w:sz="4" w:space="0" w:color="auto"/>
            </w:tcBorders>
            <w:shd w:val="clear" w:color="auto" w:fill="auto"/>
            <w:vAlign w:val="bottom"/>
          </w:tcPr>
          <w:p w14:paraId="748AE1C9"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(50.4)</w:t>
            </w:r>
          </w:p>
        </w:tc>
      </w:tr>
      <w:tr w:rsidR="00A3021A" w:rsidRPr="00701439" w14:paraId="604AAEB1" w14:textId="77777777">
        <w:tc>
          <w:tcPr>
            <w:tcW w:w="6938" w:type="dxa"/>
            <w:vAlign w:val="bottom"/>
          </w:tcPr>
          <w:p w14:paraId="493C1FF9" w14:textId="77777777" w:rsidR="00A3021A" w:rsidRPr="00701439" w:rsidRDefault="00A3021A">
            <w:pPr>
              <w:rPr>
                <w:rFonts w:asciiTheme="minorHAnsi" w:hAnsiTheme="minorHAnsi" w:cs="Arial"/>
                <w:b/>
                <w:bCs/>
                <w:sz w:val="20"/>
                <w:szCs w:val="20"/>
              </w:rPr>
            </w:pPr>
            <w:r w:rsidRPr="00701439">
              <w:rPr>
                <w:rFonts w:asciiTheme="minorHAnsi" w:hAnsiTheme="minorHAnsi" w:cs="Arial"/>
                <w:b/>
                <w:bCs/>
                <w:sz w:val="20"/>
                <w:szCs w:val="20"/>
              </w:rPr>
              <w:t>Risk-adjusted income</w:t>
            </w:r>
          </w:p>
        </w:tc>
        <w:tc>
          <w:tcPr>
            <w:tcW w:w="631" w:type="dxa"/>
            <w:gridSpan w:val="2"/>
            <w:vAlign w:val="bottom"/>
          </w:tcPr>
          <w:p w14:paraId="22A36D86" w14:textId="77777777" w:rsidR="00A3021A" w:rsidRPr="00701439" w:rsidRDefault="00A3021A">
            <w:pPr>
              <w:jc w:val="right"/>
              <w:rPr>
                <w:rFonts w:asciiTheme="minorHAnsi" w:hAnsiTheme="minorHAnsi" w:cs="Arial"/>
                <w:sz w:val="20"/>
                <w:szCs w:val="20"/>
              </w:rPr>
            </w:pPr>
          </w:p>
        </w:tc>
        <w:tc>
          <w:tcPr>
            <w:tcW w:w="1177" w:type="dxa"/>
            <w:tcBorders>
              <w:top w:val="single" w:sz="4" w:space="0" w:color="auto"/>
            </w:tcBorders>
            <w:vAlign w:val="bottom"/>
          </w:tcPr>
          <w:p w14:paraId="72AD6DE4"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414.6</w:t>
            </w:r>
          </w:p>
        </w:tc>
        <w:tc>
          <w:tcPr>
            <w:tcW w:w="1177" w:type="dxa"/>
            <w:tcBorders>
              <w:top w:val="single" w:sz="4" w:space="0" w:color="auto"/>
            </w:tcBorders>
            <w:shd w:val="clear" w:color="auto" w:fill="auto"/>
            <w:vAlign w:val="bottom"/>
          </w:tcPr>
          <w:p w14:paraId="025DB739"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428.3</w:t>
            </w:r>
          </w:p>
        </w:tc>
      </w:tr>
      <w:tr w:rsidR="00A3021A" w:rsidRPr="00701439" w14:paraId="0C1180DE" w14:textId="77777777">
        <w:tc>
          <w:tcPr>
            <w:tcW w:w="6938" w:type="dxa"/>
            <w:vAlign w:val="bottom"/>
          </w:tcPr>
          <w:p w14:paraId="2C1CA3DB"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Operating costs</w:t>
            </w:r>
          </w:p>
        </w:tc>
        <w:tc>
          <w:tcPr>
            <w:tcW w:w="631" w:type="dxa"/>
            <w:gridSpan w:val="2"/>
            <w:vAlign w:val="bottom"/>
          </w:tcPr>
          <w:p w14:paraId="61C6D416" w14:textId="77777777" w:rsidR="00A3021A" w:rsidRPr="00701439" w:rsidRDefault="00A3021A">
            <w:pPr>
              <w:jc w:val="right"/>
              <w:rPr>
                <w:rFonts w:asciiTheme="minorHAnsi" w:hAnsiTheme="minorHAnsi" w:cs="Arial"/>
                <w:sz w:val="20"/>
                <w:szCs w:val="20"/>
              </w:rPr>
            </w:pPr>
          </w:p>
        </w:tc>
        <w:tc>
          <w:tcPr>
            <w:tcW w:w="1177" w:type="dxa"/>
            <w:tcBorders>
              <w:top w:val="nil"/>
              <w:left w:val="nil"/>
              <w:bottom w:val="single" w:sz="4" w:space="0" w:color="auto"/>
              <w:right w:val="nil"/>
            </w:tcBorders>
            <w:vAlign w:val="bottom"/>
          </w:tcPr>
          <w:p w14:paraId="23C32D6E"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(304.5)</w:t>
            </w:r>
          </w:p>
        </w:tc>
        <w:tc>
          <w:tcPr>
            <w:tcW w:w="1177" w:type="dxa"/>
            <w:tcBorders>
              <w:top w:val="nil"/>
              <w:left w:val="nil"/>
              <w:bottom w:val="single" w:sz="4" w:space="0" w:color="auto"/>
              <w:right w:val="nil"/>
            </w:tcBorders>
            <w:shd w:val="clear" w:color="auto" w:fill="auto"/>
            <w:vAlign w:val="bottom"/>
          </w:tcPr>
          <w:p w14:paraId="11B29BD9"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(286.1)</w:t>
            </w:r>
          </w:p>
        </w:tc>
      </w:tr>
      <w:tr w:rsidR="00A3021A" w:rsidRPr="00701439" w14:paraId="1D4BC331" w14:textId="77777777">
        <w:tc>
          <w:tcPr>
            <w:tcW w:w="6938" w:type="dxa"/>
            <w:tcBorders>
              <w:bottom w:val="single" w:sz="4" w:space="0" w:color="auto"/>
            </w:tcBorders>
            <w:vAlign w:val="bottom"/>
          </w:tcPr>
          <w:p w14:paraId="16897E7F" w14:textId="77777777" w:rsidR="00A3021A" w:rsidRPr="00701439" w:rsidRDefault="00A3021A">
            <w:pPr>
              <w:rPr>
                <w:rFonts w:asciiTheme="minorHAnsi" w:hAnsiTheme="minorHAnsi" w:cs="Arial"/>
                <w:b/>
                <w:bCs/>
                <w:sz w:val="20"/>
                <w:szCs w:val="20"/>
              </w:rPr>
            </w:pPr>
            <w:r w:rsidRPr="00701439">
              <w:rPr>
                <w:rFonts w:asciiTheme="minorHAnsi" w:hAnsiTheme="minorHAnsi" w:cs="Arial"/>
                <w:b/>
                <w:bCs/>
                <w:sz w:val="20"/>
                <w:szCs w:val="20"/>
              </w:rPr>
              <w:t>Profit before taxation from continuing operations</w:t>
            </w:r>
          </w:p>
        </w:tc>
        <w:tc>
          <w:tcPr>
            <w:tcW w:w="631" w:type="dxa"/>
            <w:gridSpan w:val="2"/>
            <w:tcBorders>
              <w:bottom w:val="single" w:sz="4" w:space="0" w:color="auto"/>
            </w:tcBorders>
            <w:vAlign w:val="bottom"/>
          </w:tcPr>
          <w:p w14:paraId="33C68A4E"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3</w:t>
            </w:r>
          </w:p>
        </w:tc>
        <w:tc>
          <w:tcPr>
            <w:tcW w:w="1177" w:type="dxa"/>
            <w:tcBorders>
              <w:top w:val="single" w:sz="4" w:space="0" w:color="auto"/>
              <w:left w:val="nil"/>
              <w:bottom w:val="single" w:sz="4" w:space="0" w:color="auto"/>
              <w:right w:val="nil"/>
            </w:tcBorders>
            <w:vAlign w:val="bottom"/>
          </w:tcPr>
          <w:p w14:paraId="62B4A6B4"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110.1</w:t>
            </w:r>
          </w:p>
        </w:tc>
        <w:tc>
          <w:tcPr>
            <w:tcW w:w="1177" w:type="dxa"/>
            <w:tcBorders>
              <w:top w:val="single" w:sz="4" w:space="0" w:color="auto"/>
              <w:left w:val="nil"/>
              <w:bottom w:val="single" w:sz="4" w:space="0" w:color="auto"/>
              <w:right w:val="nil"/>
            </w:tcBorders>
            <w:shd w:val="clear" w:color="auto" w:fill="auto"/>
            <w:vAlign w:val="bottom"/>
          </w:tcPr>
          <w:p w14:paraId="476C3576"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142.2</w:t>
            </w:r>
          </w:p>
        </w:tc>
      </w:tr>
      <w:tr w:rsidR="00A3021A" w:rsidRPr="00701439" w14:paraId="7478B47D" w14:textId="77777777">
        <w:tc>
          <w:tcPr>
            <w:tcW w:w="7063" w:type="dxa"/>
            <w:gridSpan w:val="2"/>
            <w:tcBorders>
              <w:top w:val="single" w:sz="4" w:space="0" w:color="auto"/>
              <w:left w:val="single" w:sz="4" w:space="0" w:color="auto"/>
            </w:tcBorders>
            <w:vAlign w:val="bottom"/>
          </w:tcPr>
          <w:p w14:paraId="7E8BE1AC"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Profit before tax, amortisation of acquisition intangibles and exceptional items</w:t>
            </w:r>
          </w:p>
        </w:tc>
        <w:tc>
          <w:tcPr>
            <w:tcW w:w="506" w:type="dxa"/>
            <w:tcBorders>
              <w:top w:val="single" w:sz="4" w:space="0" w:color="auto"/>
            </w:tcBorders>
            <w:vAlign w:val="bottom"/>
          </w:tcPr>
          <w:p w14:paraId="575D9080"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3</w:t>
            </w:r>
          </w:p>
        </w:tc>
        <w:tc>
          <w:tcPr>
            <w:tcW w:w="1177" w:type="dxa"/>
            <w:tcBorders>
              <w:top w:val="single" w:sz="4" w:space="0" w:color="auto"/>
              <w:left w:val="nil"/>
              <w:right w:val="nil"/>
            </w:tcBorders>
            <w:vAlign w:val="bottom"/>
          </w:tcPr>
          <w:p w14:paraId="3B7D52A5"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126.6</w:t>
            </w:r>
          </w:p>
        </w:tc>
        <w:tc>
          <w:tcPr>
            <w:tcW w:w="1177" w:type="dxa"/>
            <w:tcBorders>
              <w:top w:val="single" w:sz="4" w:space="0" w:color="auto"/>
              <w:left w:val="nil"/>
              <w:right w:val="single" w:sz="4" w:space="0" w:color="auto"/>
            </w:tcBorders>
            <w:shd w:val="clear" w:color="auto" w:fill="auto"/>
            <w:vAlign w:val="bottom"/>
          </w:tcPr>
          <w:p w14:paraId="51D85D1B"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167.8</w:t>
            </w:r>
          </w:p>
        </w:tc>
      </w:tr>
      <w:tr w:rsidR="00A3021A" w:rsidRPr="00701439" w14:paraId="3B53EF63" w14:textId="77777777">
        <w:tc>
          <w:tcPr>
            <w:tcW w:w="6938" w:type="dxa"/>
            <w:tcBorders>
              <w:left w:val="single" w:sz="4" w:space="0" w:color="auto"/>
            </w:tcBorders>
            <w:vAlign w:val="bottom"/>
          </w:tcPr>
          <w:p w14:paraId="55B11DE3"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Amortisation of acquisition intangibles</w:t>
            </w:r>
          </w:p>
        </w:tc>
        <w:tc>
          <w:tcPr>
            <w:tcW w:w="631" w:type="dxa"/>
            <w:gridSpan w:val="2"/>
            <w:vAlign w:val="bottom"/>
          </w:tcPr>
          <w:p w14:paraId="06D47EAF"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3</w:t>
            </w:r>
          </w:p>
        </w:tc>
        <w:tc>
          <w:tcPr>
            <w:tcW w:w="1177" w:type="dxa"/>
            <w:tcBorders>
              <w:left w:val="nil"/>
              <w:right w:val="nil"/>
            </w:tcBorders>
            <w:vAlign w:val="bottom"/>
          </w:tcPr>
          <w:p w14:paraId="210CC4A9"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(7.5)</w:t>
            </w:r>
          </w:p>
        </w:tc>
        <w:tc>
          <w:tcPr>
            <w:tcW w:w="1177" w:type="dxa"/>
            <w:tcBorders>
              <w:left w:val="nil"/>
              <w:right w:val="single" w:sz="4" w:space="0" w:color="auto"/>
            </w:tcBorders>
            <w:vAlign w:val="bottom"/>
          </w:tcPr>
          <w:p w14:paraId="01E14D02"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(7.5)</w:t>
            </w:r>
          </w:p>
        </w:tc>
      </w:tr>
      <w:tr w:rsidR="00A3021A" w:rsidRPr="00701439" w14:paraId="72A3CBA6" w14:textId="77777777">
        <w:tc>
          <w:tcPr>
            <w:tcW w:w="6938" w:type="dxa"/>
            <w:tcBorders>
              <w:left w:val="single" w:sz="4" w:space="0" w:color="auto"/>
              <w:bottom w:val="single" w:sz="4" w:space="0" w:color="auto"/>
            </w:tcBorders>
            <w:vAlign w:val="bottom"/>
          </w:tcPr>
          <w:p w14:paraId="1E138282"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Exceptional items</w:t>
            </w:r>
          </w:p>
        </w:tc>
        <w:tc>
          <w:tcPr>
            <w:tcW w:w="631" w:type="dxa"/>
            <w:gridSpan w:val="2"/>
            <w:tcBorders>
              <w:bottom w:val="single" w:sz="4" w:space="0" w:color="auto"/>
            </w:tcBorders>
            <w:vAlign w:val="bottom"/>
          </w:tcPr>
          <w:p w14:paraId="6D828207"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3</w:t>
            </w:r>
          </w:p>
        </w:tc>
        <w:tc>
          <w:tcPr>
            <w:tcW w:w="1177" w:type="dxa"/>
            <w:tcBorders>
              <w:left w:val="nil"/>
              <w:bottom w:val="single" w:sz="4" w:space="0" w:color="auto"/>
              <w:right w:val="nil"/>
            </w:tcBorders>
            <w:vAlign w:val="bottom"/>
          </w:tcPr>
          <w:p w14:paraId="42C3275A"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(9.0)</w:t>
            </w:r>
          </w:p>
        </w:tc>
        <w:tc>
          <w:tcPr>
            <w:tcW w:w="1177" w:type="dxa"/>
            <w:tcBorders>
              <w:left w:val="nil"/>
              <w:bottom w:val="single" w:sz="4" w:space="0" w:color="auto"/>
              <w:right w:val="single" w:sz="4" w:space="0" w:color="auto"/>
            </w:tcBorders>
            <w:vAlign w:val="bottom"/>
          </w:tcPr>
          <w:p w14:paraId="53C9753F"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(18.1)</w:t>
            </w:r>
          </w:p>
        </w:tc>
      </w:tr>
      <w:tr w:rsidR="00A3021A" w:rsidRPr="00701439" w14:paraId="35EE357F" w14:textId="77777777">
        <w:tc>
          <w:tcPr>
            <w:tcW w:w="6938" w:type="dxa"/>
            <w:tcBorders>
              <w:top w:val="single" w:sz="4" w:space="0" w:color="auto"/>
            </w:tcBorders>
            <w:vAlign w:val="bottom"/>
          </w:tcPr>
          <w:p w14:paraId="10C89060"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Tax charge</w:t>
            </w:r>
          </w:p>
        </w:tc>
        <w:tc>
          <w:tcPr>
            <w:tcW w:w="631" w:type="dxa"/>
            <w:gridSpan w:val="2"/>
            <w:tcBorders>
              <w:top w:val="single" w:sz="4" w:space="0" w:color="auto"/>
            </w:tcBorders>
            <w:vAlign w:val="bottom"/>
          </w:tcPr>
          <w:p w14:paraId="79576A18"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5</w:t>
            </w:r>
          </w:p>
        </w:tc>
        <w:tc>
          <w:tcPr>
            <w:tcW w:w="1177" w:type="dxa"/>
            <w:tcBorders>
              <w:top w:val="single" w:sz="4" w:space="0" w:color="auto"/>
              <w:left w:val="nil"/>
              <w:bottom w:val="single" w:sz="4" w:space="0" w:color="auto"/>
              <w:right w:val="nil"/>
            </w:tcBorders>
            <w:vAlign w:val="bottom"/>
          </w:tcPr>
          <w:p w14:paraId="298E15E7"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(27.8)</w:t>
            </w:r>
          </w:p>
        </w:tc>
        <w:tc>
          <w:tcPr>
            <w:tcW w:w="1177" w:type="dxa"/>
            <w:tcBorders>
              <w:top w:val="single" w:sz="4" w:space="0" w:color="auto"/>
              <w:left w:val="nil"/>
              <w:bottom w:val="single" w:sz="4" w:space="0" w:color="auto"/>
              <w:right w:val="nil"/>
            </w:tcBorders>
            <w:vAlign w:val="bottom"/>
          </w:tcPr>
          <w:p w14:paraId="4AEB0A12"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(7.6)</w:t>
            </w:r>
          </w:p>
        </w:tc>
      </w:tr>
      <w:tr w:rsidR="00A3021A" w:rsidRPr="00701439" w14:paraId="39CFD4DD" w14:textId="77777777">
        <w:tc>
          <w:tcPr>
            <w:tcW w:w="6938" w:type="dxa"/>
            <w:vAlign w:val="bottom"/>
          </w:tcPr>
          <w:p w14:paraId="0E8724A1" w14:textId="77777777" w:rsidR="00A3021A" w:rsidRPr="00701439" w:rsidRDefault="00A3021A">
            <w:pPr>
              <w:rPr>
                <w:rFonts w:asciiTheme="minorHAnsi" w:hAnsiTheme="minorHAnsi" w:cs="Arial"/>
                <w:b/>
                <w:bCs/>
                <w:sz w:val="20"/>
                <w:szCs w:val="20"/>
                <w:lang w:val="en-US"/>
              </w:rPr>
            </w:pPr>
            <w:r w:rsidRPr="00701439">
              <w:rPr>
                <w:rFonts w:asciiTheme="minorHAnsi" w:hAnsiTheme="minorHAnsi" w:cs="Arial"/>
                <w:b/>
                <w:bCs/>
                <w:sz w:val="20"/>
                <w:szCs w:val="20"/>
                <w:lang w:val="en-US"/>
              </w:rPr>
              <w:t>Profit for the year from continuing operations</w:t>
            </w:r>
          </w:p>
        </w:tc>
        <w:tc>
          <w:tcPr>
            <w:tcW w:w="631" w:type="dxa"/>
            <w:gridSpan w:val="2"/>
            <w:vAlign w:val="bottom"/>
          </w:tcPr>
          <w:p w14:paraId="7194DFA5" w14:textId="77777777" w:rsidR="00A3021A" w:rsidRPr="00701439" w:rsidRDefault="00A3021A">
            <w:pPr>
              <w:jc w:val="right"/>
              <w:rPr>
                <w:rFonts w:asciiTheme="minorHAnsi" w:hAnsiTheme="minorHAnsi" w:cs="Arial"/>
                <w:sz w:val="20"/>
                <w:szCs w:val="20"/>
                <w:lang w:val="en-US"/>
              </w:rPr>
            </w:pPr>
          </w:p>
        </w:tc>
        <w:tc>
          <w:tcPr>
            <w:tcW w:w="1177" w:type="dxa"/>
            <w:tcBorders>
              <w:top w:val="single" w:sz="4" w:space="0" w:color="auto"/>
              <w:left w:val="nil"/>
              <w:bottom w:val="single" w:sz="4" w:space="0" w:color="auto"/>
              <w:right w:val="nil"/>
            </w:tcBorders>
            <w:vAlign w:val="bottom"/>
          </w:tcPr>
          <w:p w14:paraId="7754AEC1" w14:textId="77777777" w:rsidR="00A3021A" w:rsidRPr="00701439" w:rsidRDefault="00A3021A">
            <w:pPr>
              <w:jc w:val="right"/>
              <w:rPr>
                <w:rFonts w:asciiTheme="minorHAnsi" w:hAnsiTheme="minorHAnsi" w:cs="Arial"/>
                <w:sz w:val="20"/>
                <w:szCs w:val="20"/>
                <w:lang w:val="en-US"/>
              </w:rPr>
            </w:pPr>
            <w:r w:rsidRPr="00701439">
              <w:rPr>
                <w:rFonts w:asciiTheme="minorHAnsi" w:hAnsiTheme="minorHAnsi" w:cs="Arial"/>
                <w:sz w:val="20"/>
                <w:szCs w:val="20"/>
                <w:lang w:val="en-US"/>
              </w:rPr>
              <w:t>82.3</w:t>
            </w:r>
          </w:p>
        </w:tc>
        <w:tc>
          <w:tcPr>
            <w:tcW w:w="1177" w:type="dxa"/>
            <w:tcBorders>
              <w:top w:val="single" w:sz="4" w:space="0" w:color="auto"/>
              <w:left w:val="nil"/>
              <w:bottom w:val="single" w:sz="4" w:space="0" w:color="auto"/>
              <w:right w:val="nil"/>
            </w:tcBorders>
            <w:vAlign w:val="bottom"/>
          </w:tcPr>
          <w:p w14:paraId="06C11F06" w14:textId="77777777" w:rsidR="00A3021A" w:rsidRPr="00701439" w:rsidRDefault="00A3021A">
            <w:pPr>
              <w:jc w:val="right"/>
              <w:rPr>
                <w:rFonts w:asciiTheme="minorHAnsi" w:hAnsiTheme="minorHAnsi" w:cs="Arial"/>
                <w:sz w:val="20"/>
                <w:szCs w:val="20"/>
                <w:lang w:val="en-US"/>
              </w:rPr>
            </w:pPr>
            <w:r w:rsidRPr="00701439">
              <w:rPr>
                <w:rFonts w:asciiTheme="minorHAnsi" w:hAnsiTheme="minorHAnsi" w:cs="Arial"/>
                <w:sz w:val="20"/>
                <w:szCs w:val="20"/>
                <w:lang w:val="en-US"/>
              </w:rPr>
              <w:t>134.6</w:t>
            </w:r>
          </w:p>
        </w:tc>
      </w:tr>
      <w:tr w:rsidR="00A3021A" w:rsidRPr="00701439" w14:paraId="2FC1D828" w14:textId="77777777">
        <w:tc>
          <w:tcPr>
            <w:tcW w:w="6938" w:type="dxa"/>
            <w:vAlign w:val="bottom"/>
          </w:tcPr>
          <w:p w14:paraId="7525F826" w14:textId="77777777" w:rsidR="00A3021A" w:rsidRPr="00701439" w:rsidRDefault="00A3021A">
            <w:pPr>
              <w:rPr>
                <w:rFonts w:asciiTheme="minorHAnsi" w:hAnsiTheme="minorHAnsi" w:cs="Arial"/>
                <w:b/>
                <w:bCs/>
                <w:sz w:val="20"/>
                <w:szCs w:val="20"/>
                <w:lang w:val="en-US"/>
              </w:rPr>
            </w:pPr>
            <w:r w:rsidRPr="00701439">
              <w:rPr>
                <w:rFonts w:asciiTheme="minorHAnsi" w:hAnsiTheme="minorHAnsi" w:cs="Arial"/>
                <w:b/>
                <w:bCs/>
                <w:sz w:val="20"/>
                <w:szCs w:val="20"/>
                <w:lang w:val="en-US"/>
              </w:rPr>
              <w:t>Loss after tax from discontinued operations</w:t>
            </w:r>
          </w:p>
        </w:tc>
        <w:tc>
          <w:tcPr>
            <w:tcW w:w="631" w:type="dxa"/>
            <w:gridSpan w:val="2"/>
            <w:vAlign w:val="bottom"/>
          </w:tcPr>
          <w:p w14:paraId="4CADD027" w14:textId="77777777" w:rsidR="00A3021A" w:rsidRPr="00701439" w:rsidRDefault="00A3021A">
            <w:pPr>
              <w:jc w:val="right"/>
              <w:rPr>
                <w:rFonts w:asciiTheme="minorHAnsi" w:hAnsiTheme="minorHAnsi" w:cs="Arial"/>
                <w:sz w:val="20"/>
                <w:szCs w:val="20"/>
                <w:lang w:val="en-US"/>
              </w:rPr>
            </w:pPr>
            <w:r w:rsidRPr="00701439">
              <w:rPr>
                <w:rFonts w:asciiTheme="minorHAnsi" w:hAnsiTheme="minorHAnsi" w:cs="Arial"/>
                <w:sz w:val="20"/>
                <w:szCs w:val="20"/>
                <w:lang w:val="en-US"/>
              </w:rPr>
              <w:t>4</w:t>
            </w:r>
          </w:p>
        </w:tc>
        <w:tc>
          <w:tcPr>
            <w:tcW w:w="1177" w:type="dxa"/>
            <w:tcBorders>
              <w:top w:val="single" w:sz="4" w:space="0" w:color="auto"/>
              <w:left w:val="nil"/>
              <w:bottom w:val="single" w:sz="4" w:space="0" w:color="auto"/>
              <w:right w:val="nil"/>
            </w:tcBorders>
            <w:vAlign w:val="bottom"/>
          </w:tcPr>
          <w:p w14:paraId="431735DE" w14:textId="77777777" w:rsidR="00A3021A" w:rsidRPr="00701439" w:rsidRDefault="00A3021A">
            <w:pPr>
              <w:jc w:val="right"/>
              <w:rPr>
                <w:rFonts w:asciiTheme="minorHAnsi" w:hAnsiTheme="minorHAnsi" w:cs="Arial"/>
                <w:sz w:val="20"/>
                <w:szCs w:val="20"/>
                <w:lang w:val="en-US"/>
              </w:rPr>
            </w:pPr>
            <w:r w:rsidRPr="00701439">
              <w:rPr>
                <w:rFonts w:asciiTheme="minorHAnsi" w:hAnsiTheme="minorHAnsi" w:cs="Arial"/>
                <w:sz w:val="20"/>
                <w:szCs w:val="20"/>
                <w:lang w:val="en-US"/>
              </w:rPr>
              <w:t>(4.9)</w:t>
            </w:r>
          </w:p>
        </w:tc>
        <w:tc>
          <w:tcPr>
            <w:tcW w:w="1177" w:type="dxa"/>
            <w:tcBorders>
              <w:top w:val="single" w:sz="4" w:space="0" w:color="auto"/>
              <w:left w:val="nil"/>
              <w:bottom w:val="single" w:sz="4" w:space="0" w:color="auto"/>
              <w:right w:val="nil"/>
            </w:tcBorders>
            <w:vAlign w:val="bottom"/>
          </w:tcPr>
          <w:p w14:paraId="6C7A6D59" w14:textId="77777777" w:rsidR="00A3021A" w:rsidRPr="00701439" w:rsidRDefault="00A3021A">
            <w:pPr>
              <w:jc w:val="right"/>
              <w:rPr>
                <w:rFonts w:asciiTheme="minorHAnsi" w:hAnsiTheme="minorHAnsi" w:cs="Arial"/>
                <w:sz w:val="20"/>
                <w:szCs w:val="20"/>
                <w:lang w:val="en-US"/>
              </w:rPr>
            </w:pPr>
            <w:r w:rsidRPr="00701439">
              <w:rPr>
                <w:rFonts w:asciiTheme="minorHAnsi" w:hAnsiTheme="minorHAnsi" w:cs="Arial"/>
                <w:sz w:val="20"/>
                <w:szCs w:val="20"/>
                <w:lang w:val="en-US"/>
              </w:rPr>
              <w:t>(166.7)</w:t>
            </w:r>
          </w:p>
        </w:tc>
      </w:tr>
      <w:tr w:rsidR="00A3021A" w:rsidRPr="00701439" w14:paraId="61ECAAE5" w14:textId="77777777">
        <w:tc>
          <w:tcPr>
            <w:tcW w:w="6938" w:type="dxa"/>
            <w:vAlign w:val="bottom"/>
          </w:tcPr>
          <w:p w14:paraId="3A8E54DE" w14:textId="77777777" w:rsidR="00A3021A" w:rsidRPr="00701439" w:rsidRDefault="00A3021A">
            <w:pPr>
              <w:rPr>
                <w:rFonts w:asciiTheme="minorHAnsi" w:hAnsiTheme="minorHAnsi" w:cs="Arial"/>
                <w:b/>
                <w:bCs/>
                <w:sz w:val="20"/>
                <w:szCs w:val="20"/>
                <w:lang w:val="en-US"/>
              </w:rPr>
            </w:pPr>
            <w:r w:rsidRPr="00701439">
              <w:rPr>
                <w:rFonts w:asciiTheme="minorHAnsi" w:hAnsiTheme="minorHAnsi" w:cs="Arial"/>
                <w:b/>
                <w:bCs/>
                <w:sz w:val="20"/>
                <w:szCs w:val="20"/>
                <w:lang w:val="en-US"/>
              </w:rPr>
              <w:t>Profit/(loss) for the year attributable to equity shareholders</w:t>
            </w:r>
          </w:p>
        </w:tc>
        <w:tc>
          <w:tcPr>
            <w:tcW w:w="631" w:type="dxa"/>
            <w:gridSpan w:val="2"/>
            <w:vAlign w:val="bottom"/>
          </w:tcPr>
          <w:p w14:paraId="015A966E" w14:textId="77777777" w:rsidR="00A3021A" w:rsidRPr="00701439" w:rsidRDefault="00A3021A">
            <w:pPr>
              <w:jc w:val="right"/>
              <w:rPr>
                <w:rFonts w:asciiTheme="minorHAnsi" w:hAnsiTheme="minorHAnsi" w:cs="Arial"/>
                <w:sz w:val="20"/>
                <w:szCs w:val="20"/>
                <w:lang w:val="en-US"/>
              </w:rPr>
            </w:pPr>
          </w:p>
        </w:tc>
        <w:tc>
          <w:tcPr>
            <w:tcW w:w="1177" w:type="dxa"/>
            <w:tcBorders>
              <w:top w:val="single" w:sz="4" w:space="0" w:color="auto"/>
              <w:left w:val="nil"/>
              <w:bottom w:val="single" w:sz="12" w:space="0" w:color="auto"/>
              <w:right w:val="nil"/>
            </w:tcBorders>
            <w:vAlign w:val="bottom"/>
          </w:tcPr>
          <w:p w14:paraId="0B499BE8" w14:textId="77777777" w:rsidR="00A3021A" w:rsidRPr="00701439" w:rsidRDefault="00A3021A">
            <w:pPr>
              <w:jc w:val="right"/>
              <w:rPr>
                <w:rFonts w:asciiTheme="minorHAnsi" w:hAnsiTheme="minorHAnsi" w:cs="Arial"/>
                <w:sz w:val="20"/>
                <w:szCs w:val="20"/>
                <w:lang w:val="en-US"/>
              </w:rPr>
            </w:pPr>
            <w:r w:rsidRPr="00701439">
              <w:rPr>
                <w:rFonts w:asciiTheme="minorHAnsi" w:hAnsiTheme="minorHAnsi" w:cs="Arial"/>
                <w:sz w:val="20"/>
                <w:szCs w:val="20"/>
                <w:lang w:val="en-US"/>
              </w:rPr>
              <w:t>77.4</w:t>
            </w:r>
          </w:p>
        </w:tc>
        <w:tc>
          <w:tcPr>
            <w:tcW w:w="1177" w:type="dxa"/>
            <w:tcBorders>
              <w:top w:val="single" w:sz="4" w:space="0" w:color="auto"/>
              <w:left w:val="nil"/>
              <w:bottom w:val="single" w:sz="12" w:space="0" w:color="auto"/>
              <w:right w:val="nil"/>
            </w:tcBorders>
            <w:vAlign w:val="bottom"/>
          </w:tcPr>
          <w:p w14:paraId="21EED1A0" w14:textId="77777777" w:rsidR="00A3021A" w:rsidRPr="00701439" w:rsidRDefault="00A3021A">
            <w:pPr>
              <w:jc w:val="right"/>
              <w:rPr>
                <w:rFonts w:asciiTheme="minorHAnsi" w:hAnsiTheme="minorHAnsi" w:cs="Arial"/>
                <w:sz w:val="20"/>
                <w:szCs w:val="20"/>
                <w:lang w:val="en-US"/>
              </w:rPr>
            </w:pPr>
            <w:r w:rsidRPr="00701439">
              <w:rPr>
                <w:rFonts w:asciiTheme="minorHAnsi" w:hAnsiTheme="minorHAnsi" w:cs="Arial"/>
                <w:sz w:val="20"/>
                <w:szCs w:val="20"/>
                <w:lang w:val="en-US"/>
              </w:rPr>
              <w:t>(32.1)</w:t>
            </w:r>
          </w:p>
        </w:tc>
      </w:tr>
    </w:tbl>
    <w:p w14:paraId="4F650B7D" w14:textId="77777777" w:rsidR="00A3021A" w:rsidRPr="00701439" w:rsidRDefault="00A3021A" w:rsidP="00A3021A">
      <w:pPr>
        <w:rPr>
          <w:rFonts w:asciiTheme="minorHAnsi" w:hAnsiTheme="minorHAnsi" w:cs="Arial"/>
          <w:b/>
          <w:sz w:val="20"/>
          <w:szCs w:val="20"/>
        </w:rPr>
      </w:pPr>
    </w:p>
    <w:p w14:paraId="727698F8" w14:textId="77777777" w:rsidR="00A3021A" w:rsidRPr="00701439" w:rsidRDefault="00A3021A" w:rsidP="00A3021A">
      <w:pPr>
        <w:rPr>
          <w:rFonts w:asciiTheme="minorHAnsi" w:hAnsiTheme="minorHAnsi" w:cs="Arial"/>
          <w:b/>
          <w:sz w:val="20"/>
          <w:szCs w:val="20"/>
        </w:rPr>
      </w:pPr>
    </w:p>
    <w:p w14:paraId="4AD744C6" w14:textId="77777777" w:rsidR="00A3021A" w:rsidRPr="00701439" w:rsidRDefault="00A3021A" w:rsidP="00A3021A">
      <w:pPr>
        <w:rPr>
          <w:rFonts w:asciiTheme="minorHAnsi" w:hAnsiTheme="minorHAnsi" w:cs="Arial"/>
          <w:b/>
          <w:color w:val="4747FF"/>
          <w:sz w:val="22"/>
          <w:szCs w:val="22"/>
        </w:rPr>
      </w:pPr>
      <w:r w:rsidRPr="00701439">
        <w:rPr>
          <w:rFonts w:asciiTheme="minorHAnsi" w:hAnsiTheme="minorHAnsi" w:cs="Arial"/>
          <w:b/>
          <w:color w:val="4747FF"/>
          <w:sz w:val="22"/>
          <w:szCs w:val="22"/>
        </w:rPr>
        <w:t xml:space="preserve">Consolidated statement of comprehensive income for the year ended 31 </w:t>
      </w:r>
      <w:proofErr w:type="gramStart"/>
      <w:r w:rsidRPr="00701439">
        <w:rPr>
          <w:rFonts w:asciiTheme="minorHAnsi" w:hAnsiTheme="minorHAnsi" w:cs="Arial"/>
          <w:b/>
          <w:color w:val="4747FF"/>
          <w:sz w:val="22"/>
          <w:szCs w:val="22"/>
        </w:rPr>
        <w:t>December</w:t>
      </w:r>
      <w:proofErr w:type="gramEnd"/>
    </w:p>
    <w:tbl>
      <w:tblPr>
        <w:tblW w:w="9923" w:type="dxa"/>
        <w:tblLayout w:type="fixed"/>
        <w:tblLook w:val="0000" w:firstRow="0" w:lastRow="0" w:firstColumn="0" w:lastColumn="0" w:noHBand="0" w:noVBand="0"/>
      </w:tblPr>
      <w:tblGrid>
        <w:gridCol w:w="6892"/>
        <w:gridCol w:w="621"/>
        <w:gridCol w:w="1205"/>
        <w:gridCol w:w="1205"/>
      </w:tblGrid>
      <w:tr w:rsidR="00A3021A" w:rsidRPr="00701439" w14:paraId="76ABF32E" w14:textId="77777777">
        <w:tc>
          <w:tcPr>
            <w:tcW w:w="6892" w:type="dxa"/>
            <w:vAlign w:val="bottom"/>
          </w:tcPr>
          <w:p w14:paraId="3F764250" w14:textId="77777777" w:rsidR="00A3021A" w:rsidRPr="00701439" w:rsidRDefault="00A3021A">
            <w:pPr>
              <w:rPr>
                <w:rFonts w:asciiTheme="minorHAnsi" w:hAnsiTheme="minorHAnsi" w:cs="Arial"/>
                <w:sz w:val="20"/>
                <w:szCs w:val="20"/>
              </w:rPr>
            </w:pPr>
          </w:p>
        </w:tc>
        <w:tc>
          <w:tcPr>
            <w:tcW w:w="621" w:type="dxa"/>
            <w:vAlign w:val="bottom"/>
          </w:tcPr>
          <w:p w14:paraId="36DABD7F" w14:textId="77777777" w:rsidR="00A3021A" w:rsidRPr="00701439" w:rsidRDefault="00A3021A">
            <w:pPr>
              <w:jc w:val="right"/>
              <w:rPr>
                <w:rFonts w:asciiTheme="minorHAnsi" w:hAnsiTheme="minorHAnsi" w:cs="Arial"/>
                <w:sz w:val="20"/>
                <w:szCs w:val="20"/>
              </w:rPr>
            </w:pPr>
          </w:p>
          <w:p w14:paraId="00A48117" w14:textId="77777777" w:rsidR="00A3021A" w:rsidRPr="00701439" w:rsidRDefault="00A3021A">
            <w:pPr>
              <w:jc w:val="center"/>
              <w:rPr>
                <w:rFonts w:asciiTheme="minorHAnsi" w:hAnsiTheme="minorHAnsi" w:cs="Arial"/>
                <w:sz w:val="20"/>
                <w:szCs w:val="20"/>
              </w:rPr>
            </w:pPr>
            <w:r w:rsidRPr="00701439">
              <w:rPr>
                <w:rFonts w:asciiTheme="minorHAnsi" w:hAnsiTheme="minorHAnsi" w:cs="Arial"/>
                <w:sz w:val="20"/>
                <w:szCs w:val="20"/>
              </w:rPr>
              <w:t>Note</w:t>
            </w:r>
          </w:p>
        </w:tc>
        <w:tc>
          <w:tcPr>
            <w:tcW w:w="1205" w:type="dxa"/>
            <w:vAlign w:val="bottom"/>
          </w:tcPr>
          <w:p w14:paraId="41F8FB90"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2022  </w:t>
            </w:r>
          </w:p>
        </w:tc>
        <w:tc>
          <w:tcPr>
            <w:tcW w:w="1205" w:type="dxa"/>
            <w:vAlign w:val="bottom"/>
          </w:tcPr>
          <w:p w14:paraId="07D7A39A"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2021</w:t>
            </w:r>
          </w:p>
        </w:tc>
      </w:tr>
      <w:tr w:rsidR="00A3021A" w:rsidRPr="00701439" w14:paraId="76EA9B05" w14:textId="77777777">
        <w:tc>
          <w:tcPr>
            <w:tcW w:w="6892" w:type="dxa"/>
            <w:vAlign w:val="bottom"/>
          </w:tcPr>
          <w:p w14:paraId="3D9D1A4E" w14:textId="77777777" w:rsidR="00A3021A" w:rsidRPr="00701439" w:rsidRDefault="00A3021A">
            <w:pPr>
              <w:rPr>
                <w:rFonts w:asciiTheme="minorHAnsi" w:hAnsiTheme="minorHAnsi" w:cs="Arial"/>
                <w:sz w:val="20"/>
                <w:szCs w:val="20"/>
              </w:rPr>
            </w:pPr>
          </w:p>
        </w:tc>
        <w:tc>
          <w:tcPr>
            <w:tcW w:w="621" w:type="dxa"/>
            <w:vAlign w:val="bottom"/>
          </w:tcPr>
          <w:p w14:paraId="4F070012" w14:textId="77777777" w:rsidR="00A3021A" w:rsidRPr="00701439" w:rsidRDefault="00A3021A">
            <w:pPr>
              <w:jc w:val="right"/>
              <w:rPr>
                <w:rFonts w:asciiTheme="minorHAnsi" w:hAnsiTheme="minorHAnsi" w:cs="Arial"/>
                <w:sz w:val="20"/>
                <w:szCs w:val="20"/>
              </w:rPr>
            </w:pPr>
          </w:p>
        </w:tc>
        <w:tc>
          <w:tcPr>
            <w:tcW w:w="1205" w:type="dxa"/>
            <w:tcBorders>
              <w:top w:val="nil"/>
              <w:left w:val="nil"/>
              <w:bottom w:val="single" w:sz="4" w:space="0" w:color="auto"/>
              <w:right w:val="nil"/>
            </w:tcBorders>
            <w:vAlign w:val="bottom"/>
          </w:tcPr>
          <w:p w14:paraId="5A9A954B"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£m </w:t>
            </w:r>
          </w:p>
        </w:tc>
        <w:tc>
          <w:tcPr>
            <w:tcW w:w="1205" w:type="dxa"/>
            <w:tcBorders>
              <w:top w:val="nil"/>
              <w:left w:val="nil"/>
              <w:bottom w:val="single" w:sz="4" w:space="0" w:color="auto"/>
              <w:right w:val="nil"/>
            </w:tcBorders>
            <w:vAlign w:val="bottom"/>
          </w:tcPr>
          <w:p w14:paraId="775E4784"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£m </w:t>
            </w:r>
          </w:p>
        </w:tc>
      </w:tr>
      <w:tr w:rsidR="00A3021A" w:rsidRPr="00701439" w14:paraId="1B05527E" w14:textId="77777777">
        <w:tc>
          <w:tcPr>
            <w:tcW w:w="6892" w:type="dxa"/>
            <w:vAlign w:val="bottom"/>
          </w:tcPr>
          <w:p w14:paraId="214A09A0" w14:textId="77777777" w:rsidR="00A3021A" w:rsidRPr="00701439" w:rsidRDefault="00A3021A">
            <w:pPr>
              <w:rPr>
                <w:rFonts w:asciiTheme="minorHAnsi" w:hAnsiTheme="minorHAnsi" w:cs="Arial"/>
                <w:b/>
                <w:bCs/>
                <w:sz w:val="20"/>
                <w:szCs w:val="20"/>
              </w:rPr>
            </w:pPr>
            <w:r w:rsidRPr="00701439">
              <w:rPr>
                <w:rFonts w:asciiTheme="minorHAnsi" w:hAnsiTheme="minorHAnsi" w:cs="Arial"/>
                <w:b/>
                <w:bCs/>
                <w:sz w:val="20"/>
                <w:szCs w:val="20"/>
              </w:rPr>
              <w:t>Profit/(loss) for the year attributable to equity shareholders</w:t>
            </w:r>
          </w:p>
        </w:tc>
        <w:tc>
          <w:tcPr>
            <w:tcW w:w="621" w:type="dxa"/>
            <w:vAlign w:val="bottom"/>
          </w:tcPr>
          <w:p w14:paraId="30600DE0" w14:textId="77777777" w:rsidR="00A3021A" w:rsidRPr="00701439" w:rsidRDefault="00A3021A">
            <w:pPr>
              <w:jc w:val="right"/>
              <w:rPr>
                <w:rFonts w:asciiTheme="minorHAnsi" w:hAnsiTheme="minorHAnsi" w:cs="Arial"/>
                <w:sz w:val="20"/>
                <w:szCs w:val="20"/>
              </w:rPr>
            </w:pPr>
          </w:p>
        </w:tc>
        <w:tc>
          <w:tcPr>
            <w:tcW w:w="1205" w:type="dxa"/>
            <w:tcBorders>
              <w:top w:val="single" w:sz="4" w:space="0" w:color="auto"/>
              <w:left w:val="nil"/>
              <w:bottom w:val="single" w:sz="4" w:space="0" w:color="auto"/>
              <w:right w:val="nil"/>
            </w:tcBorders>
            <w:vAlign w:val="bottom"/>
          </w:tcPr>
          <w:p w14:paraId="7001208A"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77.4</w:t>
            </w:r>
          </w:p>
        </w:tc>
        <w:tc>
          <w:tcPr>
            <w:tcW w:w="1205" w:type="dxa"/>
            <w:tcBorders>
              <w:top w:val="single" w:sz="4" w:space="0" w:color="auto"/>
              <w:left w:val="nil"/>
              <w:bottom w:val="single" w:sz="4" w:space="0" w:color="auto"/>
              <w:right w:val="nil"/>
            </w:tcBorders>
            <w:vAlign w:val="bottom"/>
          </w:tcPr>
          <w:p w14:paraId="764A49FC"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(32.1)</w:t>
            </w:r>
          </w:p>
        </w:tc>
      </w:tr>
      <w:tr w:rsidR="00A3021A" w:rsidRPr="00701439" w14:paraId="3FBEFFD5" w14:textId="77777777">
        <w:tc>
          <w:tcPr>
            <w:tcW w:w="6892" w:type="dxa"/>
            <w:vAlign w:val="bottom"/>
          </w:tcPr>
          <w:p w14:paraId="363A6EAF"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Items that will not be reclassified subsequently to the income statement:</w:t>
            </w:r>
          </w:p>
        </w:tc>
        <w:tc>
          <w:tcPr>
            <w:tcW w:w="621" w:type="dxa"/>
            <w:vAlign w:val="bottom"/>
          </w:tcPr>
          <w:p w14:paraId="7AB51147" w14:textId="77777777" w:rsidR="00A3021A" w:rsidRPr="00701439" w:rsidRDefault="00A3021A">
            <w:pPr>
              <w:jc w:val="right"/>
              <w:rPr>
                <w:rFonts w:asciiTheme="minorHAnsi" w:hAnsiTheme="minorHAnsi" w:cs="Arial"/>
                <w:sz w:val="20"/>
                <w:szCs w:val="20"/>
              </w:rPr>
            </w:pPr>
          </w:p>
        </w:tc>
        <w:tc>
          <w:tcPr>
            <w:tcW w:w="1205" w:type="dxa"/>
            <w:vAlign w:val="bottom"/>
          </w:tcPr>
          <w:p w14:paraId="0F64CB9B" w14:textId="77777777" w:rsidR="00A3021A" w:rsidRPr="00701439" w:rsidRDefault="00A3021A">
            <w:pPr>
              <w:jc w:val="right"/>
              <w:rPr>
                <w:rFonts w:asciiTheme="minorHAnsi" w:hAnsiTheme="minorHAnsi" w:cs="Arial"/>
                <w:sz w:val="20"/>
                <w:szCs w:val="20"/>
              </w:rPr>
            </w:pPr>
          </w:p>
        </w:tc>
        <w:tc>
          <w:tcPr>
            <w:tcW w:w="1205" w:type="dxa"/>
            <w:vAlign w:val="bottom"/>
          </w:tcPr>
          <w:p w14:paraId="28E3A1B2" w14:textId="77777777" w:rsidR="00A3021A" w:rsidRPr="00701439" w:rsidRDefault="00A3021A">
            <w:pPr>
              <w:jc w:val="right"/>
              <w:rPr>
                <w:rFonts w:asciiTheme="minorHAnsi" w:hAnsiTheme="minorHAnsi" w:cs="Arial"/>
                <w:sz w:val="20"/>
                <w:szCs w:val="20"/>
              </w:rPr>
            </w:pPr>
          </w:p>
        </w:tc>
      </w:tr>
      <w:tr w:rsidR="00A3021A" w:rsidRPr="00701439" w14:paraId="6EE300E2" w14:textId="77777777">
        <w:tc>
          <w:tcPr>
            <w:tcW w:w="6892" w:type="dxa"/>
            <w:vAlign w:val="bottom"/>
          </w:tcPr>
          <w:p w14:paraId="1D6963E0"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 actuarial movements on retirement benefit asset</w:t>
            </w:r>
          </w:p>
        </w:tc>
        <w:tc>
          <w:tcPr>
            <w:tcW w:w="621" w:type="dxa"/>
            <w:vAlign w:val="bottom"/>
          </w:tcPr>
          <w:p w14:paraId="6F294584"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11</w:t>
            </w:r>
          </w:p>
        </w:tc>
        <w:tc>
          <w:tcPr>
            <w:tcW w:w="1205" w:type="dxa"/>
            <w:vAlign w:val="bottom"/>
          </w:tcPr>
          <w:p w14:paraId="1D5CBB30"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(84.2)</w:t>
            </w:r>
          </w:p>
        </w:tc>
        <w:tc>
          <w:tcPr>
            <w:tcW w:w="1205" w:type="dxa"/>
            <w:vAlign w:val="bottom"/>
          </w:tcPr>
          <w:p w14:paraId="0985D903"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27.1</w:t>
            </w:r>
          </w:p>
        </w:tc>
      </w:tr>
      <w:tr w:rsidR="00A3021A" w:rsidRPr="00701439" w14:paraId="1B7434CE" w14:textId="77777777">
        <w:tc>
          <w:tcPr>
            <w:tcW w:w="6892" w:type="dxa"/>
            <w:vAlign w:val="bottom"/>
          </w:tcPr>
          <w:p w14:paraId="15A5D22B"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 xml:space="preserve">– fair value movements transferred to income statement </w:t>
            </w:r>
          </w:p>
        </w:tc>
        <w:tc>
          <w:tcPr>
            <w:tcW w:w="621" w:type="dxa"/>
            <w:vAlign w:val="bottom"/>
          </w:tcPr>
          <w:p w14:paraId="157C7D09"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9</w:t>
            </w:r>
          </w:p>
        </w:tc>
        <w:tc>
          <w:tcPr>
            <w:tcW w:w="1205" w:type="dxa"/>
            <w:vAlign w:val="bottom"/>
          </w:tcPr>
          <w:p w14:paraId="63D58BB3"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c>
          <w:tcPr>
            <w:tcW w:w="1205" w:type="dxa"/>
            <w:vAlign w:val="bottom"/>
          </w:tcPr>
          <w:p w14:paraId="125D2C2B"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(5.2)</w:t>
            </w:r>
          </w:p>
        </w:tc>
      </w:tr>
      <w:tr w:rsidR="00A3021A" w:rsidRPr="00701439" w14:paraId="4939B1B1" w14:textId="77777777">
        <w:tc>
          <w:tcPr>
            <w:tcW w:w="6892" w:type="dxa"/>
            <w:vAlign w:val="bottom"/>
          </w:tcPr>
          <w:p w14:paraId="541A8BBE"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 tax on items taken directly to other comprehensive income</w:t>
            </w:r>
          </w:p>
        </w:tc>
        <w:tc>
          <w:tcPr>
            <w:tcW w:w="621" w:type="dxa"/>
            <w:vAlign w:val="bottom"/>
          </w:tcPr>
          <w:p w14:paraId="196FC7C0"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5</w:t>
            </w:r>
          </w:p>
        </w:tc>
        <w:tc>
          <w:tcPr>
            <w:tcW w:w="1205" w:type="dxa"/>
            <w:vAlign w:val="bottom"/>
          </w:tcPr>
          <w:p w14:paraId="704ECE6A"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16.0</w:t>
            </w:r>
          </w:p>
        </w:tc>
        <w:tc>
          <w:tcPr>
            <w:tcW w:w="1205" w:type="dxa"/>
            <w:vAlign w:val="bottom"/>
          </w:tcPr>
          <w:p w14:paraId="1A51A528"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(3.8)</w:t>
            </w:r>
          </w:p>
        </w:tc>
      </w:tr>
      <w:tr w:rsidR="00A3021A" w:rsidRPr="00701439" w14:paraId="37148F85" w14:textId="77777777">
        <w:tc>
          <w:tcPr>
            <w:tcW w:w="6892" w:type="dxa"/>
            <w:vAlign w:val="bottom"/>
          </w:tcPr>
          <w:p w14:paraId="4562BC0D" w14:textId="77777777" w:rsidR="00A3021A" w:rsidRPr="00701439" w:rsidRDefault="00A3021A">
            <w:pPr>
              <w:ind w:left="147" w:hanging="147"/>
              <w:rPr>
                <w:rFonts w:asciiTheme="minorHAnsi" w:hAnsiTheme="minorHAnsi" w:cs="Arial"/>
                <w:sz w:val="20"/>
                <w:szCs w:val="20"/>
              </w:rPr>
            </w:pPr>
            <w:r w:rsidRPr="00701439">
              <w:rPr>
                <w:rFonts w:asciiTheme="minorHAnsi" w:hAnsiTheme="minorHAnsi" w:cs="Arial"/>
                <w:sz w:val="20"/>
                <w:szCs w:val="20"/>
              </w:rPr>
              <w:t>– impact of change in UK tax rate on items in other comprehensive income</w:t>
            </w:r>
          </w:p>
        </w:tc>
        <w:tc>
          <w:tcPr>
            <w:tcW w:w="621" w:type="dxa"/>
            <w:vAlign w:val="bottom"/>
          </w:tcPr>
          <w:p w14:paraId="77D51603"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5</w:t>
            </w:r>
          </w:p>
        </w:tc>
        <w:tc>
          <w:tcPr>
            <w:tcW w:w="1205" w:type="dxa"/>
            <w:vAlign w:val="bottom"/>
          </w:tcPr>
          <w:p w14:paraId="44BA6262"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5.0</w:t>
            </w:r>
          </w:p>
        </w:tc>
        <w:tc>
          <w:tcPr>
            <w:tcW w:w="1205" w:type="dxa"/>
            <w:vAlign w:val="bottom"/>
          </w:tcPr>
          <w:p w14:paraId="3D5D15A7"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(6.4)</w:t>
            </w:r>
          </w:p>
        </w:tc>
      </w:tr>
      <w:tr w:rsidR="00A3021A" w:rsidRPr="00701439" w14:paraId="558511BB" w14:textId="77777777">
        <w:tc>
          <w:tcPr>
            <w:tcW w:w="6892" w:type="dxa"/>
            <w:vAlign w:val="bottom"/>
          </w:tcPr>
          <w:p w14:paraId="2AD2B1B7" w14:textId="77777777" w:rsidR="00A3021A" w:rsidRPr="00701439" w:rsidRDefault="00A3021A">
            <w:pPr>
              <w:rPr>
                <w:rFonts w:asciiTheme="minorHAnsi" w:hAnsiTheme="minorHAnsi" w:cs="Arial"/>
                <w:bCs/>
                <w:sz w:val="20"/>
                <w:szCs w:val="20"/>
              </w:rPr>
            </w:pPr>
            <w:r w:rsidRPr="00701439">
              <w:rPr>
                <w:rFonts w:asciiTheme="minorHAnsi" w:hAnsiTheme="minorHAnsi" w:cs="Arial"/>
                <w:sz w:val="20"/>
                <w:szCs w:val="20"/>
              </w:rPr>
              <w:t>Other comprehensive (expense)/income for the year</w:t>
            </w:r>
          </w:p>
        </w:tc>
        <w:tc>
          <w:tcPr>
            <w:tcW w:w="621" w:type="dxa"/>
            <w:vAlign w:val="bottom"/>
          </w:tcPr>
          <w:p w14:paraId="6FF88F7F" w14:textId="77777777" w:rsidR="00A3021A" w:rsidRPr="00701439" w:rsidRDefault="00A3021A">
            <w:pPr>
              <w:jc w:val="right"/>
              <w:rPr>
                <w:rFonts w:asciiTheme="minorHAnsi" w:hAnsiTheme="minorHAnsi" w:cs="Arial"/>
                <w:sz w:val="20"/>
                <w:szCs w:val="20"/>
              </w:rPr>
            </w:pPr>
          </w:p>
        </w:tc>
        <w:tc>
          <w:tcPr>
            <w:tcW w:w="1205" w:type="dxa"/>
            <w:tcBorders>
              <w:top w:val="single" w:sz="4" w:space="0" w:color="auto"/>
              <w:left w:val="nil"/>
              <w:bottom w:val="nil"/>
              <w:right w:val="nil"/>
            </w:tcBorders>
            <w:vAlign w:val="bottom"/>
          </w:tcPr>
          <w:p w14:paraId="2DA5E90F"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(63.2)</w:t>
            </w:r>
          </w:p>
        </w:tc>
        <w:tc>
          <w:tcPr>
            <w:tcW w:w="1205" w:type="dxa"/>
            <w:tcBorders>
              <w:top w:val="single" w:sz="4" w:space="0" w:color="auto"/>
              <w:left w:val="nil"/>
              <w:bottom w:val="nil"/>
              <w:right w:val="nil"/>
            </w:tcBorders>
            <w:vAlign w:val="bottom"/>
          </w:tcPr>
          <w:p w14:paraId="50EAA9E8"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11.7</w:t>
            </w:r>
          </w:p>
        </w:tc>
      </w:tr>
      <w:tr w:rsidR="00A3021A" w:rsidRPr="00701439" w14:paraId="5BC1939C" w14:textId="77777777">
        <w:tc>
          <w:tcPr>
            <w:tcW w:w="6892" w:type="dxa"/>
            <w:vAlign w:val="bottom"/>
          </w:tcPr>
          <w:p w14:paraId="6D0614B6" w14:textId="77777777" w:rsidR="00A3021A" w:rsidRPr="00701439" w:rsidRDefault="00A3021A">
            <w:pPr>
              <w:rPr>
                <w:rFonts w:asciiTheme="minorHAnsi" w:hAnsiTheme="minorHAnsi" w:cs="Arial"/>
                <w:b/>
                <w:bCs/>
                <w:sz w:val="20"/>
                <w:szCs w:val="20"/>
              </w:rPr>
            </w:pPr>
            <w:r w:rsidRPr="00701439">
              <w:rPr>
                <w:rFonts w:asciiTheme="minorHAnsi" w:hAnsiTheme="minorHAnsi" w:cs="Arial"/>
                <w:b/>
                <w:bCs/>
                <w:sz w:val="20"/>
                <w:szCs w:val="20"/>
              </w:rPr>
              <w:t>Total comprehensive income/(expense) for the year</w:t>
            </w:r>
          </w:p>
        </w:tc>
        <w:tc>
          <w:tcPr>
            <w:tcW w:w="621" w:type="dxa"/>
            <w:vAlign w:val="bottom"/>
          </w:tcPr>
          <w:p w14:paraId="1D558BE5" w14:textId="77777777" w:rsidR="00A3021A" w:rsidRPr="00701439" w:rsidRDefault="00A3021A">
            <w:pPr>
              <w:jc w:val="right"/>
              <w:rPr>
                <w:rFonts w:asciiTheme="minorHAnsi" w:hAnsiTheme="minorHAnsi" w:cs="Arial"/>
                <w:sz w:val="20"/>
                <w:szCs w:val="20"/>
                <w:lang w:val="en-US"/>
              </w:rPr>
            </w:pPr>
          </w:p>
        </w:tc>
        <w:tc>
          <w:tcPr>
            <w:tcW w:w="1205" w:type="dxa"/>
            <w:tcBorders>
              <w:top w:val="single" w:sz="4" w:space="0" w:color="auto"/>
              <w:left w:val="nil"/>
              <w:bottom w:val="single" w:sz="12" w:space="0" w:color="auto"/>
              <w:right w:val="nil"/>
            </w:tcBorders>
            <w:vAlign w:val="bottom"/>
          </w:tcPr>
          <w:p w14:paraId="75E49ABE" w14:textId="77777777" w:rsidR="00A3021A" w:rsidRPr="00701439" w:rsidRDefault="00A3021A">
            <w:pPr>
              <w:jc w:val="right"/>
              <w:rPr>
                <w:rFonts w:asciiTheme="minorHAnsi" w:hAnsiTheme="minorHAnsi" w:cs="Arial"/>
                <w:sz w:val="20"/>
                <w:szCs w:val="20"/>
                <w:lang w:val="en-US"/>
              </w:rPr>
            </w:pPr>
            <w:r w:rsidRPr="00701439">
              <w:rPr>
                <w:rFonts w:asciiTheme="minorHAnsi" w:hAnsiTheme="minorHAnsi" w:cs="Arial"/>
                <w:sz w:val="20"/>
                <w:szCs w:val="20"/>
                <w:lang w:val="en-US"/>
              </w:rPr>
              <w:t>14.2</w:t>
            </w:r>
          </w:p>
        </w:tc>
        <w:tc>
          <w:tcPr>
            <w:tcW w:w="1205" w:type="dxa"/>
            <w:tcBorders>
              <w:top w:val="single" w:sz="4" w:space="0" w:color="auto"/>
              <w:left w:val="nil"/>
              <w:bottom w:val="single" w:sz="12" w:space="0" w:color="auto"/>
              <w:right w:val="nil"/>
            </w:tcBorders>
            <w:vAlign w:val="bottom"/>
          </w:tcPr>
          <w:p w14:paraId="5E1160F6" w14:textId="77777777" w:rsidR="00A3021A" w:rsidRPr="00701439" w:rsidRDefault="00A3021A">
            <w:pPr>
              <w:jc w:val="right"/>
              <w:rPr>
                <w:rFonts w:asciiTheme="minorHAnsi" w:hAnsiTheme="minorHAnsi" w:cs="Arial"/>
                <w:sz w:val="20"/>
                <w:szCs w:val="20"/>
                <w:lang w:val="en-US"/>
              </w:rPr>
            </w:pPr>
            <w:r w:rsidRPr="00701439">
              <w:rPr>
                <w:rFonts w:asciiTheme="minorHAnsi" w:hAnsiTheme="minorHAnsi" w:cs="Arial"/>
                <w:sz w:val="20"/>
                <w:szCs w:val="20"/>
                <w:lang w:val="en-US"/>
              </w:rPr>
              <w:t>(20.4)</w:t>
            </w:r>
          </w:p>
        </w:tc>
      </w:tr>
    </w:tbl>
    <w:p w14:paraId="2C48A423" w14:textId="77777777" w:rsidR="00A3021A" w:rsidRPr="00701439" w:rsidRDefault="00A3021A" w:rsidP="00A3021A">
      <w:pPr>
        <w:rPr>
          <w:rFonts w:asciiTheme="minorHAnsi" w:hAnsiTheme="minorHAnsi" w:cs="Arial"/>
          <w:b/>
          <w:sz w:val="20"/>
          <w:szCs w:val="20"/>
        </w:rPr>
      </w:pPr>
    </w:p>
    <w:p w14:paraId="79CD8BBB" w14:textId="77777777" w:rsidR="00A3021A" w:rsidRPr="00701439" w:rsidRDefault="00A3021A" w:rsidP="00A3021A">
      <w:pPr>
        <w:rPr>
          <w:rFonts w:asciiTheme="minorHAnsi" w:hAnsiTheme="minorHAnsi" w:cs="Arial"/>
          <w:b/>
          <w:color w:val="4747FF"/>
          <w:sz w:val="22"/>
          <w:szCs w:val="22"/>
        </w:rPr>
      </w:pPr>
      <w:r w:rsidRPr="00701439">
        <w:rPr>
          <w:rFonts w:asciiTheme="minorHAnsi" w:hAnsiTheme="minorHAnsi" w:cs="Arial"/>
          <w:b/>
          <w:color w:val="4747FF"/>
          <w:sz w:val="22"/>
          <w:szCs w:val="22"/>
        </w:rPr>
        <w:t>Earnings/(loss) per share</w:t>
      </w:r>
    </w:p>
    <w:tbl>
      <w:tblPr>
        <w:tblW w:w="9923" w:type="dxa"/>
        <w:tblLook w:val="0000" w:firstRow="0" w:lastRow="0" w:firstColumn="0" w:lastColumn="0" w:noHBand="0" w:noVBand="0"/>
      </w:tblPr>
      <w:tblGrid>
        <w:gridCol w:w="6494"/>
        <w:gridCol w:w="1085"/>
        <w:gridCol w:w="1172"/>
        <w:gridCol w:w="1172"/>
      </w:tblGrid>
      <w:tr w:rsidR="00A3021A" w:rsidRPr="00701439" w14:paraId="230A8372" w14:textId="77777777">
        <w:tc>
          <w:tcPr>
            <w:tcW w:w="6494" w:type="dxa"/>
          </w:tcPr>
          <w:p w14:paraId="5D768DE7" w14:textId="77777777" w:rsidR="00A3021A" w:rsidRPr="00701439" w:rsidRDefault="00A3021A">
            <w:pPr>
              <w:rPr>
                <w:rFonts w:asciiTheme="minorHAnsi" w:hAnsiTheme="minorHAnsi" w:cs="Arial"/>
                <w:b/>
                <w:sz w:val="20"/>
                <w:szCs w:val="20"/>
              </w:rPr>
            </w:pPr>
          </w:p>
        </w:tc>
        <w:tc>
          <w:tcPr>
            <w:tcW w:w="1085" w:type="dxa"/>
          </w:tcPr>
          <w:p w14:paraId="282EB242"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Note</w:t>
            </w:r>
          </w:p>
        </w:tc>
        <w:tc>
          <w:tcPr>
            <w:tcW w:w="1172" w:type="dxa"/>
          </w:tcPr>
          <w:p w14:paraId="22795190"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2022 </w:t>
            </w:r>
          </w:p>
        </w:tc>
        <w:tc>
          <w:tcPr>
            <w:tcW w:w="1172" w:type="dxa"/>
          </w:tcPr>
          <w:p w14:paraId="233AD502"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2021 </w:t>
            </w:r>
          </w:p>
        </w:tc>
      </w:tr>
      <w:tr w:rsidR="00A3021A" w:rsidRPr="00701439" w14:paraId="713F9263" w14:textId="77777777">
        <w:tc>
          <w:tcPr>
            <w:tcW w:w="6494" w:type="dxa"/>
          </w:tcPr>
          <w:p w14:paraId="65617E75" w14:textId="77777777" w:rsidR="00A3021A" w:rsidRPr="00701439" w:rsidRDefault="00A3021A">
            <w:pPr>
              <w:rPr>
                <w:rFonts w:asciiTheme="minorHAnsi" w:hAnsiTheme="minorHAnsi" w:cs="Arial"/>
                <w:b/>
                <w:sz w:val="20"/>
                <w:szCs w:val="20"/>
              </w:rPr>
            </w:pPr>
          </w:p>
        </w:tc>
        <w:tc>
          <w:tcPr>
            <w:tcW w:w="1085" w:type="dxa"/>
          </w:tcPr>
          <w:p w14:paraId="683D4ABC" w14:textId="77777777" w:rsidR="00A3021A" w:rsidRPr="00701439" w:rsidRDefault="00A3021A">
            <w:pPr>
              <w:jc w:val="right"/>
              <w:rPr>
                <w:rFonts w:asciiTheme="minorHAnsi" w:hAnsiTheme="minorHAnsi" w:cs="Arial"/>
                <w:sz w:val="20"/>
                <w:szCs w:val="20"/>
              </w:rPr>
            </w:pPr>
          </w:p>
        </w:tc>
        <w:tc>
          <w:tcPr>
            <w:tcW w:w="1172" w:type="dxa"/>
            <w:tcBorders>
              <w:top w:val="nil"/>
              <w:left w:val="nil"/>
              <w:bottom w:val="single" w:sz="4" w:space="0" w:color="auto"/>
              <w:right w:val="nil"/>
            </w:tcBorders>
          </w:tcPr>
          <w:p w14:paraId="1268EE48"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pence </w:t>
            </w:r>
          </w:p>
        </w:tc>
        <w:tc>
          <w:tcPr>
            <w:tcW w:w="1172" w:type="dxa"/>
            <w:tcBorders>
              <w:top w:val="nil"/>
              <w:left w:val="nil"/>
              <w:bottom w:val="single" w:sz="4" w:space="0" w:color="auto"/>
              <w:right w:val="nil"/>
            </w:tcBorders>
          </w:tcPr>
          <w:p w14:paraId="5E8A0DC8"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pence </w:t>
            </w:r>
          </w:p>
        </w:tc>
      </w:tr>
      <w:tr w:rsidR="00A3021A" w:rsidRPr="00701439" w14:paraId="7A4C0960" w14:textId="77777777">
        <w:tc>
          <w:tcPr>
            <w:tcW w:w="6494" w:type="dxa"/>
            <w:vAlign w:val="bottom"/>
          </w:tcPr>
          <w:p w14:paraId="2EDFCCE9"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Basic</w:t>
            </w:r>
          </w:p>
        </w:tc>
        <w:tc>
          <w:tcPr>
            <w:tcW w:w="1085" w:type="dxa"/>
            <w:vAlign w:val="bottom"/>
          </w:tcPr>
          <w:p w14:paraId="5AC4E4AE"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6</w:t>
            </w:r>
          </w:p>
        </w:tc>
        <w:tc>
          <w:tcPr>
            <w:tcW w:w="1172" w:type="dxa"/>
            <w:tcBorders>
              <w:top w:val="nil"/>
              <w:left w:val="nil"/>
              <w:bottom w:val="single" w:sz="12" w:space="0" w:color="auto"/>
              <w:right w:val="nil"/>
            </w:tcBorders>
            <w:vAlign w:val="bottom"/>
          </w:tcPr>
          <w:p w14:paraId="4E85BF7A"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30.8</w:t>
            </w:r>
          </w:p>
        </w:tc>
        <w:tc>
          <w:tcPr>
            <w:tcW w:w="1172" w:type="dxa"/>
            <w:tcBorders>
              <w:top w:val="nil"/>
              <w:left w:val="nil"/>
              <w:bottom w:val="single" w:sz="12" w:space="0" w:color="auto"/>
              <w:right w:val="nil"/>
            </w:tcBorders>
            <w:vAlign w:val="bottom"/>
          </w:tcPr>
          <w:p w14:paraId="7C0F841B"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(12.8)</w:t>
            </w:r>
          </w:p>
        </w:tc>
      </w:tr>
      <w:tr w:rsidR="00A3021A" w:rsidRPr="00701439" w14:paraId="07FF274B" w14:textId="77777777">
        <w:tc>
          <w:tcPr>
            <w:tcW w:w="6494" w:type="dxa"/>
            <w:vAlign w:val="bottom"/>
          </w:tcPr>
          <w:p w14:paraId="52109498"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 xml:space="preserve">Diluted                                                       </w:t>
            </w:r>
          </w:p>
        </w:tc>
        <w:tc>
          <w:tcPr>
            <w:tcW w:w="1085" w:type="dxa"/>
            <w:vAlign w:val="bottom"/>
          </w:tcPr>
          <w:p w14:paraId="61217AA3"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6</w:t>
            </w:r>
          </w:p>
        </w:tc>
        <w:tc>
          <w:tcPr>
            <w:tcW w:w="1172" w:type="dxa"/>
            <w:tcBorders>
              <w:top w:val="single" w:sz="12" w:space="0" w:color="auto"/>
              <w:left w:val="nil"/>
              <w:bottom w:val="single" w:sz="12" w:space="0" w:color="auto"/>
              <w:right w:val="nil"/>
            </w:tcBorders>
            <w:vAlign w:val="bottom"/>
          </w:tcPr>
          <w:p w14:paraId="5C6A9CE0"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30.5</w:t>
            </w:r>
          </w:p>
        </w:tc>
        <w:tc>
          <w:tcPr>
            <w:tcW w:w="1172" w:type="dxa"/>
            <w:tcBorders>
              <w:top w:val="single" w:sz="12" w:space="0" w:color="auto"/>
              <w:left w:val="nil"/>
              <w:bottom w:val="single" w:sz="12" w:space="0" w:color="auto"/>
              <w:right w:val="nil"/>
            </w:tcBorders>
            <w:vAlign w:val="bottom"/>
          </w:tcPr>
          <w:p w14:paraId="0111192B"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(12.8)</w:t>
            </w:r>
          </w:p>
        </w:tc>
      </w:tr>
    </w:tbl>
    <w:p w14:paraId="62932337" w14:textId="77777777" w:rsidR="00A3021A" w:rsidRPr="00701439" w:rsidRDefault="00A3021A" w:rsidP="00A3021A">
      <w:pPr>
        <w:rPr>
          <w:rFonts w:asciiTheme="minorHAnsi" w:hAnsiTheme="minorHAnsi" w:cs="Poppins-Light"/>
          <w:sz w:val="20"/>
          <w:szCs w:val="20"/>
        </w:rPr>
      </w:pPr>
    </w:p>
    <w:p w14:paraId="41BAD873" w14:textId="77777777" w:rsidR="00A3021A" w:rsidRPr="00701439" w:rsidRDefault="00A3021A" w:rsidP="00A3021A">
      <w:pPr>
        <w:rPr>
          <w:rFonts w:asciiTheme="minorHAnsi" w:hAnsiTheme="minorHAnsi" w:cs="Arial"/>
          <w:bCs/>
          <w:sz w:val="20"/>
          <w:szCs w:val="20"/>
          <w:lang w:val="en-US"/>
        </w:rPr>
      </w:pPr>
      <w:r w:rsidRPr="00701439">
        <w:rPr>
          <w:rFonts w:asciiTheme="minorHAnsi" w:hAnsiTheme="minorHAnsi" w:cs="Poppins-Light"/>
          <w:sz w:val="20"/>
          <w:szCs w:val="20"/>
        </w:rPr>
        <w:t>The above earnings/(loss) per share is on a Group basis including discontinued operations.</w:t>
      </w:r>
    </w:p>
    <w:p w14:paraId="380E7F4E" w14:textId="77777777" w:rsidR="00A3021A" w:rsidRPr="00701439" w:rsidRDefault="00A3021A" w:rsidP="00A3021A">
      <w:pPr>
        <w:rPr>
          <w:rFonts w:asciiTheme="minorHAnsi" w:hAnsiTheme="minorHAnsi" w:cs="Arial"/>
          <w:b/>
          <w:bCs/>
          <w:sz w:val="20"/>
          <w:szCs w:val="20"/>
          <w:lang w:val="en-US"/>
        </w:rPr>
      </w:pPr>
    </w:p>
    <w:p w14:paraId="1F36B0C6" w14:textId="77777777" w:rsidR="00A3021A" w:rsidRPr="00701439" w:rsidRDefault="00A3021A" w:rsidP="00A3021A">
      <w:pPr>
        <w:rPr>
          <w:rFonts w:asciiTheme="minorHAnsi" w:hAnsiTheme="minorHAnsi" w:cs="Arial"/>
          <w:b/>
          <w:bCs/>
          <w:color w:val="4747FF"/>
          <w:sz w:val="22"/>
          <w:szCs w:val="22"/>
          <w:lang w:val="en-US"/>
        </w:rPr>
      </w:pPr>
      <w:r w:rsidRPr="00701439">
        <w:rPr>
          <w:rFonts w:asciiTheme="minorHAnsi" w:hAnsiTheme="minorHAnsi" w:cs="Arial"/>
          <w:b/>
          <w:bCs/>
          <w:color w:val="4747FF"/>
          <w:sz w:val="22"/>
          <w:szCs w:val="22"/>
          <w:lang w:val="en-US"/>
        </w:rPr>
        <w:t>Dividends per share</w:t>
      </w:r>
    </w:p>
    <w:tbl>
      <w:tblPr>
        <w:tblW w:w="9923" w:type="dxa"/>
        <w:tblLook w:val="0000" w:firstRow="0" w:lastRow="0" w:firstColumn="0" w:lastColumn="0" w:noHBand="0" w:noVBand="0"/>
      </w:tblPr>
      <w:tblGrid>
        <w:gridCol w:w="6494"/>
        <w:gridCol w:w="1085"/>
        <w:gridCol w:w="1172"/>
        <w:gridCol w:w="1172"/>
      </w:tblGrid>
      <w:tr w:rsidR="00A3021A" w:rsidRPr="00701439" w14:paraId="1EE9DF2D" w14:textId="77777777">
        <w:tc>
          <w:tcPr>
            <w:tcW w:w="6494" w:type="dxa"/>
            <w:vAlign w:val="bottom"/>
          </w:tcPr>
          <w:p w14:paraId="102862D1" w14:textId="77777777" w:rsidR="00A3021A" w:rsidRPr="00701439" w:rsidRDefault="00A3021A">
            <w:pPr>
              <w:rPr>
                <w:rFonts w:asciiTheme="minorHAnsi" w:hAnsiTheme="minorHAnsi" w:cs="Arial"/>
                <w:b/>
                <w:sz w:val="20"/>
                <w:szCs w:val="20"/>
              </w:rPr>
            </w:pPr>
          </w:p>
        </w:tc>
        <w:tc>
          <w:tcPr>
            <w:tcW w:w="1085" w:type="dxa"/>
            <w:vAlign w:val="bottom"/>
          </w:tcPr>
          <w:p w14:paraId="786398F4"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Note</w:t>
            </w:r>
          </w:p>
        </w:tc>
        <w:tc>
          <w:tcPr>
            <w:tcW w:w="1172" w:type="dxa"/>
          </w:tcPr>
          <w:p w14:paraId="1FEFCF37"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2022 </w:t>
            </w:r>
          </w:p>
        </w:tc>
        <w:tc>
          <w:tcPr>
            <w:tcW w:w="1172" w:type="dxa"/>
          </w:tcPr>
          <w:p w14:paraId="4DED2D26" w14:textId="483B014A"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202</w:t>
            </w:r>
            <w:r w:rsidR="008273F5" w:rsidRPr="00701439">
              <w:rPr>
                <w:rFonts w:asciiTheme="minorHAnsi" w:hAnsiTheme="minorHAnsi" w:cs="Arial"/>
                <w:sz w:val="20"/>
                <w:szCs w:val="20"/>
              </w:rPr>
              <w:t>1</w:t>
            </w:r>
          </w:p>
        </w:tc>
      </w:tr>
      <w:tr w:rsidR="00A3021A" w:rsidRPr="00701439" w14:paraId="67CAB996" w14:textId="77777777">
        <w:tc>
          <w:tcPr>
            <w:tcW w:w="6494" w:type="dxa"/>
            <w:vAlign w:val="bottom"/>
          </w:tcPr>
          <w:p w14:paraId="0D23890F" w14:textId="77777777" w:rsidR="00A3021A" w:rsidRPr="00701439" w:rsidRDefault="00A3021A">
            <w:pPr>
              <w:rPr>
                <w:rFonts w:asciiTheme="minorHAnsi" w:hAnsiTheme="minorHAnsi" w:cs="Arial"/>
                <w:b/>
                <w:sz w:val="20"/>
                <w:szCs w:val="20"/>
              </w:rPr>
            </w:pPr>
          </w:p>
        </w:tc>
        <w:tc>
          <w:tcPr>
            <w:tcW w:w="1085" w:type="dxa"/>
            <w:vAlign w:val="bottom"/>
          </w:tcPr>
          <w:p w14:paraId="274DB168" w14:textId="77777777" w:rsidR="00A3021A" w:rsidRPr="00701439" w:rsidRDefault="00A3021A">
            <w:pPr>
              <w:jc w:val="right"/>
              <w:rPr>
                <w:rFonts w:asciiTheme="minorHAnsi" w:hAnsiTheme="minorHAnsi" w:cs="Arial"/>
                <w:sz w:val="20"/>
                <w:szCs w:val="20"/>
              </w:rPr>
            </w:pPr>
          </w:p>
        </w:tc>
        <w:tc>
          <w:tcPr>
            <w:tcW w:w="1172" w:type="dxa"/>
            <w:tcBorders>
              <w:bottom w:val="single" w:sz="4" w:space="0" w:color="auto"/>
            </w:tcBorders>
          </w:tcPr>
          <w:p w14:paraId="6A9BBC05"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pence </w:t>
            </w:r>
          </w:p>
        </w:tc>
        <w:tc>
          <w:tcPr>
            <w:tcW w:w="1172" w:type="dxa"/>
            <w:tcBorders>
              <w:bottom w:val="single" w:sz="4" w:space="0" w:color="auto"/>
            </w:tcBorders>
          </w:tcPr>
          <w:p w14:paraId="7388F277"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pence </w:t>
            </w:r>
          </w:p>
        </w:tc>
      </w:tr>
      <w:tr w:rsidR="00A3021A" w:rsidRPr="00701439" w14:paraId="1C8F276F" w14:textId="77777777">
        <w:tc>
          <w:tcPr>
            <w:tcW w:w="6494" w:type="dxa"/>
            <w:vAlign w:val="bottom"/>
          </w:tcPr>
          <w:p w14:paraId="673EA128"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 xml:space="preserve">Interim dividend                                    </w:t>
            </w:r>
          </w:p>
        </w:tc>
        <w:tc>
          <w:tcPr>
            <w:tcW w:w="1085" w:type="dxa"/>
            <w:vAlign w:val="bottom"/>
          </w:tcPr>
          <w:p w14:paraId="68B96A6C"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7</w:t>
            </w:r>
          </w:p>
        </w:tc>
        <w:tc>
          <w:tcPr>
            <w:tcW w:w="1172" w:type="dxa"/>
            <w:tcBorders>
              <w:top w:val="single" w:sz="4" w:space="0" w:color="auto"/>
              <w:left w:val="nil"/>
              <w:right w:val="nil"/>
            </w:tcBorders>
            <w:vAlign w:val="bottom"/>
          </w:tcPr>
          <w:p w14:paraId="2C34AAD8" w14:textId="1228FDAE"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5</w:t>
            </w:r>
            <w:r w:rsidR="006C70BD" w:rsidRPr="00701439">
              <w:rPr>
                <w:rFonts w:asciiTheme="minorHAnsi" w:hAnsiTheme="minorHAnsi" w:cs="Arial"/>
                <w:sz w:val="20"/>
                <w:szCs w:val="20"/>
              </w:rPr>
              <w:t>.0</w:t>
            </w:r>
          </w:p>
        </w:tc>
        <w:tc>
          <w:tcPr>
            <w:tcW w:w="1172" w:type="dxa"/>
            <w:tcBorders>
              <w:top w:val="single" w:sz="4" w:space="0" w:color="auto"/>
              <w:left w:val="nil"/>
              <w:right w:val="nil"/>
            </w:tcBorders>
            <w:vAlign w:val="bottom"/>
          </w:tcPr>
          <w:p w14:paraId="7B8AF2BD" w14:textId="0074425C"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12</w:t>
            </w:r>
            <w:r w:rsidR="006C70BD" w:rsidRPr="00701439">
              <w:rPr>
                <w:rFonts w:asciiTheme="minorHAnsi" w:hAnsiTheme="minorHAnsi" w:cs="Arial"/>
                <w:sz w:val="20"/>
                <w:szCs w:val="20"/>
              </w:rPr>
              <w:t>.0</w:t>
            </w:r>
          </w:p>
        </w:tc>
      </w:tr>
      <w:tr w:rsidR="00A3021A" w:rsidRPr="00701439" w14:paraId="1E41B1BB" w14:textId="77777777">
        <w:tc>
          <w:tcPr>
            <w:tcW w:w="6494" w:type="dxa"/>
            <w:vAlign w:val="bottom"/>
          </w:tcPr>
          <w:p w14:paraId="3AE8A105" w14:textId="0834C53B" w:rsidR="00A3021A" w:rsidRPr="00701439" w:rsidRDefault="00A3021A">
            <w:pPr>
              <w:rPr>
                <w:rFonts w:asciiTheme="minorHAnsi" w:hAnsiTheme="minorHAnsi" w:cs="Arial"/>
                <w:sz w:val="20"/>
                <w:szCs w:val="20"/>
              </w:rPr>
            </w:pPr>
            <w:r w:rsidRPr="00701439">
              <w:rPr>
                <w:rFonts w:asciiTheme="minorHAnsi" w:hAnsiTheme="minorHAnsi" w:cs="Arial"/>
                <w:sz w:val="20"/>
                <w:szCs w:val="20"/>
              </w:rPr>
              <w:t>Fina</w:t>
            </w:r>
            <w:r w:rsidR="006C70BD" w:rsidRPr="00701439">
              <w:rPr>
                <w:rFonts w:asciiTheme="minorHAnsi" w:hAnsiTheme="minorHAnsi" w:cs="Arial"/>
                <w:sz w:val="20"/>
                <w:szCs w:val="20"/>
              </w:rPr>
              <w:t xml:space="preserve">l </w:t>
            </w:r>
            <w:r w:rsidR="00F56F12" w:rsidRPr="00701439">
              <w:rPr>
                <w:rFonts w:asciiTheme="minorHAnsi" w:hAnsiTheme="minorHAnsi" w:cs="Arial"/>
                <w:sz w:val="20"/>
                <w:szCs w:val="20"/>
              </w:rPr>
              <w:t>dividend</w:t>
            </w:r>
          </w:p>
        </w:tc>
        <w:tc>
          <w:tcPr>
            <w:tcW w:w="1085" w:type="dxa"/>
            <w:vAlign w:val="bottom"/>
          </w:tcPr>
          <w:p w14:paraId="0976128A"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7</w:t>
            </w:r>
          </w:p>
        </w:tc>
        <w:tc>
          <w:tcPr>
            <w:tcW w:w="1172" w:type="dxa"/>
            <w:tcBorders>
              <w:left w:val="nil"/>
              <w:bottom w:val="single" w:sz="4" w:space="0" w:color="auto"/>
              <w:right w:val="nil"/>
            </w:tcBorders>
            <w:vAlign w:val="bottom"/>
          </w:tcPr>
          <w:p w14:paraId="11B1E3D2" w14:textId="6B7F3036" w:rsidR="00A3021A" w:rsidRPr="00701439" w:rsidRDefault="00D44C72">
            <w:pPr>
              <w:jc w:val="right"/>
              <w:rPr>
                <w:rFonts w:asciiTheme="minorHAnsi" w:hAnsiTheme="minorHAnsi" w:cs="Arial"/>
                <w:sz w:val="20"/>
                <w:szCs w:val="20"/>
              </w:rPr>
            </w:pPr>
            <w:r w:rsidRPr="00701439">
              <w:rPr>
                <w:rFonts w:asciiTheme="minorHAnsi" w:hAnsiTheme="minorHAnsi" w:cs="Arial"/>
                <w:sz w:val="20"/>
                <w:szCs w:val="20"/>
              </w:rPr>
              <w:t>10.3</w:t>
            </w:r>
          </w:p>
        </w:tc>
        <w:tc>
          <w:tcPr>
            <w:tcW w:w="1172" w:type="dxa"/>
            <w:tcBorders>
              <w:left w:val="nil"/>
              <w:bottom w:val="single" w:sz="4" w:space="0" w:color="auto"/>
              <w:right w:val="nil"/>
            </w:tcBorders>
            <w:vAlign w:val="bottom"/>
          </w:tcPr>
          <w:p w14:paraId="707D9ECA"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r>
    </w:tbl>
    <w:p w14:paraId="594C20A2" w14:textId="77777777" w:rsidR="00A3021A" w:rsidRPr="00701439" w:rsidRDefault="00A3021A" w:rsidP="00A3021A">
      <w:pPr>
        <w:rPr>
          <w:rFonts w:asciiTheme="minorHAnsi" w:hAnsiTheme="minorHAnsi" w:cs="Arial"/>
          <w:bCs/>
          <w:sz w:val="20"/>
          <w:szCs w:val="20"/>
          <w:lang w:val="en-US"/>
        </w:rPr>
      </w:pPr>
    </w:p>
    <w:p w14:paraId="588CCE8D" w14:textId="77777777" w:rsidR="00A3021A" w:rsidRPr="00701439" w:rsidRDefault="00A3021A" w:rsidP="00A3021A">
      <w:pPr>
        <w:rPr>
          <w:rFonts w:asciiTheme="minorHAnsi" w:hAnsiTheme="minorHAnsi" w:cs="Arial"/>
          <w:bCs/>
          <w:sz w:val="20"/>
          <w:szCs w:val="20"/>
          <w:lang w:val="en-US"/>
        </w:rPr>
      </w:pPr>
      <w:r w:rsidRPr="00701439">
        <w:rPr>
          <w:rFonts w:asciiTheme="minorHAnsi" w:hAnsiTheme="minorHAnsi" w:cs="Arial"/>
          <w:bCs/>
          <w:sz w:val="20"/>
          <w:szCs w:val="20"/>
          <w:lang w:val="en-US"/>
        </w:rPr>
        <w:t xml:space="preserve">The total cost of dividends paid in the year was </w:t>
      </w:r>
      <w:r w:rsidRPr="00701439">
        <w:rPr>
          <w:rFonts w:asciiTheme="minorHAnsi" w:hAnsiTheme="minorHAnsi" w:cs="Arial"/>
          <w:sz w:val="20"/>
          <w:szCs w:val="20"/>
          <w:lang w:val="en-US"/>
        </w:rPr>
        <w:t>£42.8m</w:t>
      </w:r>
      <w:r w:rsidRPr="00701439">
        <w:rPr>
          <w:rFonts w:asciiTheme="minorHAnsi" w:hAnsiTheme="minorHAnsi" w:cs="Arial"/>
          <w:bCs/>
          <w:sz w:val="20"/>
          <w:szCs w:val="20"/>
          <w:lang w:val="en-US"/>
        </w:rPr>
        <w:t xml:space="preserve"> (2021: £nil).</w:t>
      </w:r>
    </w:p>
    <w:p w14:paraId="2CDCE00D" w14:textId="77777777" w:rsidR="00A3021A" w:rsidRPr="00701439" w:rsidRDefault="00A3021A" w:rsidP="00A3021A">
      <w:pPr>
        <w:jc w:val="both"/>
        <w:rPr>
          <w:rFonts w:asciiTheme="minorHAnsi" w:hAnsiTheme="minorHAnsi" w:cs="Arial"/>
          <w:bCs/>
          <w:sz w:val="20"/>
          <w:szCs w:val="20"/>
        </w:rPr>
      </w:pPr>
    </w:p>
    <w:p w14:paraId="308C0A9F" w14:textId="77777777" w:rsidR="00A3021A" w:rsidRPr="00701439" w:rsidRDefault="00A3021A" w:rsidP="00A3021A">
      <w:pPr>
        <w:rPr>
          <w:rFonts w:asciiTheme="minorHAnsi" w:hAnsiTheme="minorHAnsi" w:cs="Arial"/>
          <w:b/>
          <w:sz w:val="20"/>
          <w:szCs w:val="20"/>
        </w:rPr>
      </w:pPr>
    </w:p>
    <w:p w14:paraId="7CC691D9" w14:textId="77777777" w:rsidR="00A3021A" w:rsidRPr="00701439" w:rsidRDefault="00A3021A" w:rsidP="00A3021A">
      <w:pPr>
        <w:rPr>
          <w:rFonts w:asciiTheme="minorHAnsi" w:hAnsiTheme="minorHAnsi" w:cs="Arial"/>
          <w:b/>
          <w:color w:val="4747FF"/>
          <w:sz w:val="22"/>
          <w:szCs w:val="22"/>
        </w:rPr>
      </w:pPr>
      <w:r w:rsidRPr="00701439">
        <w:rPr>
          <w:rFonts w:asciiTheme="minorHAnsi" w:hAnsiTheme="minorHAnsi" w:cs="Arial"/>
          <w:b/>
          <w:color w:val="4747FF"/>
          <w:sz w:val="22"/>
          <w:szCs w:val="22"/>
        </w:rPr>
        <w:lastRenderedPageBreak/>
        <w:t>Consolidated balance sheets</w:t>
      </w:r>
    </w:p>
    <w:p w14:paraId="68D61C14" w14:textId="77777777" w:rsidR="00A3021A" w:rsidRPr="00701439" w:rsidRDefault="00A3021A" w:rsidP="00A3021A">
      <w:pPr>
        <w:rPr>
          <w:rFonts w:asciiTheme="minorHAnsi" w:hAnsiTheme="minorHAnsi" w:cs="Arial"/>
          <w:b/>
          <w:sz w:val="20"/>
          <w:szCs w:val="20"/>
        </w:rPr>
      </w:pPr>
    </w:p>
    <w:tbl>
      <w:tblPr>
        <w:tblW w:w="9639" w:type="dxa"/>
        <w:tblLook w:val="0000" w:firstRow="0" w:lastRow="0" w:firstColumn="0" w:lastColumn="0" w:noHBand="0" w:noVBand="0"/>
      </w:tblPr>
      <w:tblGrid>
        <w:gridCol w:w="4689"/>
        <w:gridCol w:w="1407"/>
        <w:gridCol w:w="1701"/>
        <w:gridCol w:w="1842"/>
      </w:tblGrid>
      <w:tr w:rsidR="00A3021A" w:rsidRPr="00701439" w14:paraId="797D075F" w14:textId="77777777">
        <w:trPr>
          <w:trHeight w:val="142"/>
        </w:trPr>
        <w:tc>
          <w:tcPr>
            <w:tcW w:w="4689" w:type="dxa"/>
          </w:tcPr>
          <w:p w14:paraId="79001AFB" w14:textId="77777777" w:rsidR="00A3021A" w:rsidRPr="00701439" w:rsidRDefault="00A3021A">
            <w:pPr>
              <w:rPr>
                <w:rFonts w:asciiTheme="minorHAnsi" w:hAnsiTheme="minorHAnsi" w:cs="Arial"/>
                <w:sz w:val="20"/>
                <w:szCs w:val="20"/>
              </w:rPr>
            </w:pPr>
          </w:p>
        </w:tc>
        <w:tc>
          <w:tcPr>
            <w:tcW w:w="1407" w:type="dxa"/>
          </w:tcPr>
          <w:p w14:paraId="141808B8"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Note</w:t>
            </w:r>
          </w:p>
        </w:tc>
        <w:tc>
          <w:tcPr>
            <w:tcW w:w="1701" w:type="dxa"/>
          </w:tcPr>
          <w:p w14:paraId="7913464B" w14:textId="77777777" w:rsidR="00A3021A" w:rsidRPr="00701439" w:rsidRDefault="00A3021A">
            <w:pPr>
              <w:jc w:val="right"/>
              <w:rPr>
                <w:rFonts w:asciiTheme="minorHAnsi" w:hAnsiTheme="minorHAnsi" w:cs="Arial"/>
                <w:sz w:val="20"/>
                <w:szCs w:val="20"/>
                <w:lang w:val="fr-FR"/>
              </w:rPr>
            </w:pPr>
            <w:r w:rsidRPr="00701439">
              <w:rPr>
                <w:rFonts w:asciiTheme="minorHAnsi" w:hAnsiTheme="minorHAnsi" w:cs="Arial"/>
                <w:sz w:val="20"/>
                <w:szCs w:val="20"/>
                <w:lang w:val="fr-FR"/>
              </w:rPr>
              <w:t xml:space="preserve">31 </w:t>
            </w:r>
            <w:proofErr w:type="spellStart"/>
            <w:r w:rsidRPr="00701439">
              <w:rPr>
                <w:rFonts w:asciiTheme="minorHAnsi" w:hAnsiTheme="minorHAnsi" w:cs="Arial"/>
                <w:sz w:val="20"/>
                <w:szCs w:val="20"/>
                <w:lang w:val="fr-FR"/>
              </w:rPr>
              <w:t>December</w:t>
            </w:r>
            <w:proofErr w:type="spellEnd"/>
          </w:p>
          <w:p w14:paraId="737CA813" w14:textId="77777777" w:rsidR="00A3021A" w:rsidRPr="00701439" w:rsidRDefault="00A3021A">
            <w:pPr>
              <w:jc w:val="right"/>
              <w:rPr>
                <w:rFonts w:asciiTheme="minorHAnsi" w:hAnsiTheme="minorHAnsi" w:cs="Arial"/>
                <w:sz w:val="20"/>
                <w:szCs w:val="20"/>
                <w:lang w:val="fr-FR"/>
              </w:rPr>
            </w:pPr>
            <w:r w:rsidRPr="00701439">
              <w:rPr>
                <w:rFonts w:asciiTheme="minorHAnsi" w:hAnsiTheme="minorHAnsi" w:cs="Arial"/>
                <w:sz w:val="20"/>
                <w:szCs w:val="20"/>
                <w:lang w:val="fr-FR"/>
              </w:rPr>
              <w:t>2022</w:t>
            </w:r>
          </w:p>
        </w:tc>
        <w:tc>
          <w:tcPr>
            <w:tcW w:w="1842" w:type="dxa"/>
          </w:tcPr>
          <w:p w14:paraId="1048D26C" w14:textId="77777777" w:rsidR="00A3021A" w:rsidRPr="00701439" w:rsidRDefault="00A3021A">
            <w:pPr>
              <w:jc w:val="right"/>
              <w:rPr>
                <w:rFonts w:asciiTheme="minorHAnsi" w:hAnsiTheme="minorHAnsi" w:cs="Arial"/>
                <w:sz w:val="20"/>
                <w:szCs w:val="20"/>
                <w:lang w:val="fr-FR"/>
              </w:rPr>
            </w:pPr>
            <w:r w:rsidRPr="00701439">
              <w:rPr>
                <w:rFonts w:asciiTheme="minorHAnsi" w:hAnsiTheme="minorHAnsi" w:cs="Arial"/>
                <w:sz w:val="20"/>
                <w:szCs w:val="20"/>
                <w:lang w:val="fr-FR"/>
              </w:rPr>
              <w:t xml:space="preserve">31 </w:t>
            </w:r>
            <w:proofErr w:type="spellStart"/>
            <w:r w:rsidRPr="00701439">
              <w:rPr>
                <w:rFonts w:asciiTheme="minorHAnsi" w:hAnsiTheme="minorHAnsi" w:cs="Arial"/>
                <w:sz w:val="20"/>
                <w:szCs w:val="20"/>
                <w:lang w:val="fr-FR"/>
              </w:rPr>
              <w:t>December</w:t>
            </w:r>
            <w:proofErr w:type="spellEnd"/>
          </w:p>
          <w:p w14:paraId="54BD33E7" w14:textId="77777777" w:rsidR="00A3021A" w:rsidRPr="00701439" w:rsidRDefault="00A3021A">
            <w:pPr>
              <w:jc w:val="right"/>
              <w:rPr>
                <w:rFonts w:asciiTheme="minorHAnsi" w:hAnsiTheme="minorHAnsi" w:cs="Arial"/>
                <w:sz w:val="20"/>
                <w:szCs w:val="20"/>
                <w:lang w:val="fr-FR"/>
              </w:rPr>
            </w:pPr>
            <w:r w:rsidRPr="00701439">
              <w:rPr>
                <w:rFonts w:asciiTheme="minorHAnsi" w:hAnsiTheme="minorHAnsi" w:cs="Arial"/>
                <w:sz w:val="20"/>
                <w:szCs w:val="20"/>
                <w:lang w:val="fr-FR"/>
              </w:rPr>
              <w:t>2021</w:t>
            </w:r>
          </w:p>
        </w:tc>
      </w:tr>
      <w:tr w:rsidR="00A3021A" w:rsidRPr="00701439" w14:paraId="1442A50D" w14:textId="77777777">
        <w:trPr>
          <w:trHeight w:val="142"/>
        </w:trPr>
        <w:tc>
          <w:tcPr>
            <w:tcW w:w="4689" w:type="dxa"/>
          </w:tcPr>
          <w:p w14:paraId="4C90BB47" w14:textId="77777777" w:rsidR="00A3021A" w:rsidRPr="00701439" w:rsidRDefault="00A3021A">
            <w:pPr>
              <w:rPr>
                <w:rFonts w:asciiTheme="minorHAnsi" w:hAnsiTheme="minorHAnsi" w:cs="Arial"/>
                <w:sz w:val="20"/>
                <w:szCs w:val="20"/>
                <w:lang w:val="fr-FR"/>
              </w:rPr>
            </w:pPr>
          </w:p>
        </w:tc>
        <w:tc>
          <w:tcPr>
            <w:tcW w:w="1407" w:type="dxa"/>
          </w:tcPr>
          <w:p w14:paraId="676D5EB1" w14:textId="77777777" w:rsidR="00A3021A" w:rsidRPr="00701439" w:rsidRDefault="00A3021A">
            <w:pPr>
              <w:jc w:val="right"/>
              <w:rPr>
                <w:rFonts w:asciiTheme="minorHAnsi" w:hAnsiTheme="minorHAnsi" w:cs="Arial"/>
                <w:sz w:val="20"/>
                <w:szCs w:val="20"/>
                <w:lang w:val="fr-FR"/>
              </w:rPr>
            </w:pPr>
          </w:p>
        </w:tc>
        <w:tc>
          <w:tcPr>
            <w:tcW w:w="1701" w:type="dxa"/>
            <w:tcBorders>
              <w:top w:val="nil"/>
              <w:left w:val="nil"/>
              <w:bottom w:val="single" w:sz="4" w:space="0" w:color="auto"/>
              <w:right w:val="nil"/>
            </w:tcBorders>
          </w:tcPr>
          <w:p w14:paraId="69D6AC93" w14:textId="77777777" w:rsidR="00A3021A" w:rsidRPr="00701439" w:rsidRDefault="00A3021A">
            <w:pPr>
              <w:jc w:val="right"/>
              <w:rPr>
                <w:rFonts w:asciiTheme="minorHAnsi" w:hAnsiTheme="minorHAnsi" w:cs="Arial"/>
                <w:sz w:val="20"/>
                <w:szCs w:val="20"/>
                <w:lang w:val="fr-FR"/>
              </w:rPr>
            </w:pPr>
            <w:r w:rsidRPr="00701439">
              <w:rPr>
                <w:rFonts w:asciiTheme="minorHAnsi" w:hAnsiTheme="minorHAnsi" w:cs="Arial"/>
                <w:sz w:val="20"/>
                <w:szCs w:val="20"/>
                <w:lang w:val="fr-FR"/>
              </w:rPr>
              <w:t>£m </w:t>
            </w:r>
          </w:p>
        </w:tc>
        <w:tc>
          <w:tcPr>
            <w:tcW w:w="1842" w:type="dxa"/>
            <w:tcBorders>
              <w:top w:val="nil"/>
              <w:left w:val="nil"/>
              <w:bottom w:val="single" w:sz="4" w:space="0" w:color="auto"/>
              <w:right w:val="nil"/>
            </w:tcBorders>
          </w:tcPr>
          <w:p w14:paraId="6BA78267" w14:textId="77777777" w:rsidR="00A3021A" w:rsidRPr="00701439" w:rsidRDefault="00A3021A">
            <w:pPr>
              <w:jc w:val="right"/>
              <w:rPr>
                <w:rFonts w:asciiTheme="minorHAnsi" w:hAnsiTheme="minorHAnsi" w:cs="Arial"/>
                <w:sz w:val="20"/>
                <w:szCs w:val="20"/>
                <w:lang w:val="fr-FR"/>
              </w:rPr>
            </w:pPr>
            <w:r w:rsidRPr="00701439">
              <w:rPr>
                <w:rFonts w:asciiTheme="minorHAnsi" w:hAnsiTheme="minorHAnsi" w:cs="Arial"/>
                <w:sz w:val="20"/>
                <w:szCs w:val="20"/>
                <w:lang w:val="fr-FR"/>
              </w:rPr>
              <w:t>£m </w:t>
            </w:r>
          </w:p>
        </w:tc>
      </w:tr>
      <w:tr w:rsidR="00A3021A" w:rsidRPr="00701439" w14:paraId="09997EA7" w14:textId="77777777">
        <w:trPr>
          <w:trHeight w:val="142"/>
        </w:trPr>
        <w:tc>
          <w:tcPr>
            <w:tcW w:w="4689" w:type="dxa"/>
            <w:vAlign w:val="bottom"/>
          </w:tcPr>
          <w:p w14:paraId="5BC2B279" w14:textId="77777777" w:rsidR="00A3021A" w:rsidRPr="00701439" w:rsidRDefault="00A3021A">
            <w:pPr>
              <w:rPr>
                <w:rFonts w:asciiTheme="minorHAnsi" w:hAnsiTheme="minorHAnsi" w:cs="Arial"/>
                <w:b/>
                <w:sz w:val="20"/>
                <w:szCs w:val="20"/>
                <w:lang w:val="fr-FR"/>
              </w:rPr>
            </w:pPr>
            <w:r w:rsidRPr="00701439">
              <w:rPr>
                <w:rFonts w:asciiTheme="minorHAnsi" w:hAnsiTheme="minorHAnsi" w:cs="Arial"/>
                <w:b/>
                <w:sz w:val="20"/>
                <w:szCs w:val="20"/>
              </w:rPr>
              <w:t>ASSETS</w:t>
            </w:r>
          </w:p>
        </w:tc>
        <w:tc>
          <w:tcPr>
            <w:tcW w:w="1407" w:type="dxa"/>
          </w:tcPr>
          <w:p w14:paraId="5745A220" w14:textId="77777777" w:rsidR="00A3021A" w:rsidRPr="00701439" w:rsidRDefault="00A3021A">
            <w:pPr>
              <w:jc w:val="right"/>
              <w:rPr>
                <w:rFonts w:asciiTheme="minorHAnsi" w:hAnsiTheme="minorHAnsi" w:cs="Arial"/>
                <w:sz w:val="20"/>
                <w:szCs w:val="20"/>
                <w:lang w:val="fr-FR"/>
              </w:rPr>
            </w:pPr>
          </w:p>
        </w:tc>
        <w:tc>
          <w:tcPr>
            <w:tcW w:w="1701" w:type="dxa"/>
            <w:tcBorders>
              <w:top w:val="single" w:sz="4" w:space="0" w:color="auto"/>
              <w:left w:val="nil"/>
              <w:bottom w:val="nil"/>
              <w:right w:val="nil"/>
            </w:tcBorders>
          </w:tcPr>
          <w:p w14:paraId="25697B1F" w14:textId="77777777" w:rsidR="00A3021A" w:rsidRPr="00701439" w:rsidRDefault="00A3021A">
            <w:pPr>
              <w:jc w:val="right"/>
              <w:rPr>
                <w:rFonts w:asciiTheme="minorHAnsi" w:hAnsiTheme="minorHAnsi" w:cs="Arial"/>
                <w:sz w:val="20"/>
                <w:szCs w:val="20"/>
                <w:lang w:val="fr-FR"/>
              </w:rPr>
            </w:pPr>
          </w:p>
        </w:tc>
        <w:tc>
          <w:tcPr>
            <w:tcW w:w="1842" w:type="dxa"/>
            <w:tcBorders>
              <w:top w:val="single" w:sz="4" w:space="0" w:color="auto"/>
              <w:left w:val="nil"/>
              <w:bottom w:val="nil"/>
              <w:right w:val="nil"/>
            </w:tcBorders>
          </w:tcPr>
          <w:p w14:paraId="5AA51167" w14:textId="77777777" w:rsidR="00A3021A" w:rsidRPr="00701439" w:rsidRDefault="00A3021A">
            <w:pPr>
              <w:jc w:val="right"/>
              <w:rPr>
                <w:rFonts w:asciiTheme="minorHAnsi" w:hAnsiTheme="minorHAnsi" w:cs="Arial"/>
                <w:sz w:val="20"/>
                <w:szCs w:val="20"/>
                <w:lang w:val="fr-FR"/>
              </w:rPr>
            </w:pPr>
          </w:p>
        </w:tc>
      </w:tr>
      <w:tr w:rsidR="00A3021A" w:rsidRPr="00701439" w14:paraId="42E02DB4" w14:textId="77777777">
        <w:trPr>
          <w:trHeight w:val="142"/>
        </w:trPr>
        <w:tc>
          <w:tcPr>
            <w:tcW w:w="4689" w:type="dxa"/>
            <w:vAlign w:val="bottom"/>
          </w:tcPr>
          <w:p w14:paraId="609C852A" w14:textId="77777777" w:rsidR="00A3021A" w:rsidRPr="00701439" w:rsidRDefault="00A3021A">
            <w:pPr>
              <w:rPr>
                <w:rFonts w:asciiTheme="minorHAnsi" w:hAnsiTheme="minorHAnsi" w:cs="Arial"/>
                <w:b/>
                <w:sz w:val="20"/>
                <w:szCs w:val="20"/>
                <w:lang w:val="fr-FR"/>
              </w:rPr>
            </w:pPr>
            <w:r w:rsidRPr="00701439">
              <w:rPr>
                <w:rFonts w:asciiTheme="minorHAnsi" w:hAnsiTheme="minorHAnsi" w:cs="Arial"/>
                <w:sz w:val="20"/>
                <w:szCs w:val="20"/>
              </w:rPr>
              <w:t>Cash and cash equivalents</w:t>
            </w:r>
          </w:p>
        </w:tc>
        <w:tc>
          <w:tcPr>
            <w:tcW w:w="1407" w:type="dxa"/>
            <w:vAlign w:val="bottom"/>
          </w:tcPr>
          <w:p w14:paraId="6FAD7472" w14:textId="77777777" w:rsidR="00A3021A" w:rsidRPr="00701439" w:rsidRDefault="00A3021A">
            <w:pPr>
              <w:jc w:val="right"/>
              <w:rPr>
                <w:rFonts w:asciiTheme="minorHAnsi" w:hAnsiTheme="minorHAnsi" w:cs="Arial"/>
                <w:sz w:val="20"/>
                <w:szCs w:val="20"/>
                <w:lang w:val="fr-FR"/>
              </w:rPr>
            </w:pPr>
          </w:p>
        </w:tc>
        <w:tc>
          <w:tcPr>
            <w:tcW w:w="1701" w:type="dxa"/>
            <w:vAlign w:val="bottom"/>
          </w:tcPr>
          <w:p w14:paraId="6C593199" w14:textId="77777777" w:rsidR="00A3021A" w:rsidRPr="00701439" w:rsidRDefault="00A3021A">
            <w:pPr>
              <w:jc w:val="right"/>
              <w:rPr>
                <w:rFonts w:asciiTheme="minorHAnsi" w:hAnsiTheme="minorHAnsi" w:cs="Arial"/>
                <w:sz w:val="20"/>
                <w:szCs w:val="20"/>
                <w:lang w:val="fr-FR"/>
              </w:rPr>
            </w:pPr>
            <w:r w:rsidRPr="00701439">
              <w:rPr>
                <w:rFonts w:asciiTheme="minorHAnsi" w:hAnsiTheme="minorHAnsi" w:cs="Arial"/>
                <w:sz w:val="20"/>
                <w:szCs w:val="20"/>
                <w:lang w:val="fr-FR"/>
              </w:rPr>
              <w:t>464.9</w:t>
            </w:r>
          </w:p>
        </w:tc>
        <w:tc>
          <w:tcPr>
            <w:tcW w:w="1842" w:type="dxa"/>
            <w:vAlign w:val="bottom"/>
          </w:tcPr>
          <w:p w14:paraId="34D0A1E9" w14:textId="77777777" w:rsidR="00A3021A" w:rsidRPr="00701439" w:rsidRDefault="00A3021A">
            <w:pPr>
              <w:jc w:val="right"/>
              <w:rPr>
                <w:rFonts w:asciiTheme="minorHAnsi" w:hAnsiTheme="minorHAnsi" w:cs="Arial"/>
                <w:sz w:val="20"/>
                <w:szCs w:val="20"/>
                <w:lang w:val="fr-FR"/>
              </w:rPr>
            </w:pPr>
            <w:r w:rsidRPr="00701439">
              <w:rPr>
                <w:rFonts w:asciiTheme="minorHAnsi" w:hAnsiTheme="minorHAnsi" w:cs="Arial"/>
                <w:sz w:val="20"/>
                <w:szCs w:val="20"/>
                <w:lang w:val="fr-FR"/>
              </w:rPr>
              <w:t>717.7</w:t>
            </w:r>
          </w:p>
        </w:tc>
      </w:tr>
      <w:tr w:rsidR="00A3021A" w:rsidRPr="00701439" w14:paraId="4BE2A580" w14:textId="77777777">
        <w:trPr>
          <w:trHeight w:val="142"/>
        </w:trPr>
        <w:tc>
          <w:tcPr>
            <w:tcW w:w="4689" w:type="dxa"/>
            <w:vAlign w:val="bottom"/>
          </w:tcPr>
          <w:p w14:paraId="2D4625DD" w14:textId="77777777" w:rsidR="00A3021A" w:rsidRPr="00701439" w:rsidRDefault="00A3021A">
            <w:pPr>
              <w:rPr>
                <w:rFonts w:asciiTheme="minorHAnsi" w:hAnsiTheme="minorHAnsi" w:cs="Arial"/>
                <w:b/>
                <w:sz w:val="20"/>
                <w:szCs w:val="20"/>
                <w:lang w:val="fr-FR"/>
              </w:rPr>
            </w:pPr>
            <w:r w:rsidRPr="00701439">
              <w:rPr>
                <w:rFonts w:asciiTheme="minorHAnsi" w:hAnsiTheme="minorHAnsi" w:cs="Arial"/>
                <w:sz w:val="20"/>
                <w:szCs w:val="20"/>
              </w:rPr>
              <w:t>Amounts receivable from customers</w:t>
            </w:r>
          </w:p>
        </w:tc>
        <w:tc>
          <w:tcPr>
            <w:tcW w:w="1407" w:type="dxa"/>
            <w:vAlign w:val="bottom"/>
          </w:tcPr>
          <w:p w14:paraId="77275018" w14:textId="77777777" w:rsidR="00A3021A" w:rsidRPr="00701439" w:rsidRDefault="00A3021A">
            <w:pPr>
              <w:jc w:val="right"/>
              <w:rPr>
                <w:rFonts w:asciiTheme="minorHAnsi" w:hAnsiTheme="minorHAnsi" w:cs="Arial"/>
                <w:sz w:val="20"/>
                <w:szCs w:val="20"/>
                <w:lang w:val="fr-FR"/>
              </w:rPr>
            </w:pPr>
            <w:r w:rsidRPr="00701439">
              <w:rPr>
                <w:rFonts w:asciiTheme="minorHAnsi" w:hAnsiTheme="minorHAnsi" w:cs="Arial"/>
                <w:sz w:val="20"/>
                <w:szCs w:val="20"/>
                <w:lang w:val="fr-FR"/>
              </w:rPr>
              <w:t>8</w:t>
            </w:r>
          </w:p>
        </w:tc>
        <w:tc>
          <w:tcPr>
            <w:tcW w:w="1701" w:type="dxa"/>
            <w:vAlign w:val="bottom"/>
          </w:tcPr>
          <w:p w14:paraId="3A38AD7E" w14:textId="77777777" w:rsidR="00A3021A" w:rsidRPr="00701439" w:rsidRDefault="00A3021A">
            <w:pPr>
              <w:jc w:val="right"/>
              <w:rPr>
                <w:rFonts w:asciiTheme="minorHAnsi" w:hAnsiTheme="minorHAnsi" w:cs="Arial"/>
                <w:sz w:val="20"/>
                <w:szCs w:val="20"/>
                <w:lang w:val="fr-FR"/>
              </w:rPr>
            </w:pPr>
            <w:r w:rsidRPr="00701439">
              <w:rPr>
                <w:rFonts w:asciiTheme="minorHAnsi" w:hAnsiTheme="minorHAnsi" w:cs="Arial"/>
                <w:sz w:val="20"/>
                <w:szCs w:val="20"/>
                <w:lang w:val="fr-FR"/>
              </w:rPr>
              <w:t>1,896.1</w:t>
            </w:r>
          </w:p>
        </w:tc>
        <w:tc>
          <w:tcPr>
            <w:tcW w:w="1842" w:type="dxa"/>
            <w:vAlign w:val="bottom"/>
          </w:tcPr>
          <w:p w14:paraId="2B648F85" w14:textId="77777777" w:rsidR="00A3021A" w:rsidRPr="00701439" w:rsidRDefault="00A3021A">
            <w:pPr>
              <w:jc w:val="right"/>
              <w:rPr>
                <w:rFonts w:asciiTheme="minorHAnsi" w:hAnsiTheme="minorHAnsi" w:cs="Arial"/>
                <w:sz w:val="20"/>
                <w:szCs w:val="20"/>
                <w:lang w:val="fr-FR"/>
              </w:rPr>
            </w:pPr>
            <w:r w:rsidRPr="00701439">
              <w:rPr>
                <w:rFonts w:asciiTheme="minorHAnsi" w:hAnsiTheme="minorHAnsi" w:cs="Arial"/>
                <w:sz w:val="20"/>
                <w:szCs w:val="20"/>
                <w:lang w:val="fr-FR"/>
              </w:rPr>
              <w:t>1,677.7</w:t>
            </w:r>
          </w:p>
        </w:tc>
      </w:tr>
      <w:tr w:rsidR="00A3021A" w:rsidRPr="00701439" w14:paraId="41731113" w14:textId="77777777">
        <w:trPr>
          <w:trHeight w:val="142"/>
        </w:trPr>
        <w:tc>
          <w:tcPr>
            <w:tcW w:w="4689" w:type="dxa"/>
            <w:vAlign w:val="bottom"/>
          </w:tcPr>
          <w:p w14:paraId="50F40494" w14:textId="77777777" w:rsidR="00A3021A" w:rsidRPr="00701439" w:rsidRDefault="00A3021A">
            <w:pPr>
              <w:rPr>
                <w:rFonts w:asciiTheme="minorHAnsi" w:hAnsiTheme="minorHAnsi" w:cs="Arial"/>
                <w:b/>
                <w:sz w:val="20"/>
                <w:szCs w:val="20"/>
                <w:lang w:val="fr-FR"/>
              </w:rPr>
            </w:pPr>
            <w:r w:rsidRPr="00701439">
              <w:rPr>
                <w:rFonts w:asciiTheme="minorHAnsi" w:hAnsiTheme="minorHAnsi" w:cs="Arial"/>
                <w:sz w:val="20"/>
                <w:szCs w:val="20"/>
              </w:rPr>
              <w:t>Trade and other receivables</w:t>
            </w:r>
          </w:p>
        </w:tc>
        <w:tc>
          <w:tcPr>
            <w:tcW w:w="1407" w:type="dxa"/>
            <w:vAlign w:val="bottom"/>
          </w:tcPr>
          <w:p w14:paraId="3C607CE1" w14:textId="77777777" w:rsidR="00A3021A" w:rsidRPr="00701439" w:rsidRDefault="00A3021A">
            <w:pPr>
              <w:jc w:val="right"/>
              <w:rPr>
                <w:rFonts w:asciiTheme="minorHAnsi" w:hAnsiTheme="minorHAnsi" w:cs="Arial"/>
                <w:sz w:val="20"/>
                <w:szCs w:val="20"/>
                <w:lang w:val="fr-FR"/>
              </w:rPr>
            </w:pPr>
          </w:p>
        </w:tc>
        <w:tc>
          <w:tcPr>
            <w:tcW w:w="1701" w:type="dxa"/>
            <w:vAlign w:val="bottom"/>
          </w:tcPr>
          <w:p w14:paraId="5CA398C8" w14:textId="09698846" w:rsidR="00A3021A" w:rsidRPr="00701439" w:rsidRDefault="00743CCE">
            <w:pPr>
              <w:jc w:val="right"/>
              <w:rPr>
                <w:rFonts w:asciiTheme="minorHAnsi" w:hAnsiTheme="minorHAnsi" w:cs="Arial"/>
                <w:sz w:val="20"/>
                <w:szCs w:val="20"/>
                <w:lang w:val="fr-FR"/>
              </w:rPr>
            </w:pPr>
            <w:r w:rsidRPr="00701439">
              <w:rPr>
                <w:rFonts w:asciiTheme="minorHAnsi" w:hAnsiTheme="minorHAnsi" w:cs="Arial"/>
                <w:sz w:val="20"/>
                <w:szCs w:val="20"/>
                <w:lang w:val="fr-FR"/>
              </w:rPr>
              <w:t>50.6</w:t>
            </w:r>
          </w:p>
        </w:tc>
        <w:tc>
          <w:tcPr>
            <w:tcW w:w="1842" w:type="dxa"/>
            <w:vAlign w:val="bottom"/>
          </w:tcPr>
          <w:p w14:paraId="0B2910B8" w14:textId="77777777" w:rsidR="00A3021A" w:rsidRPr="00701439" w:rsidRDefault="00A3021A">
            <w:pPr>
              <w:jc w:val="right"/>
              <w:rPr>
                <w:rFonts w:asciiTheme="minorHAnsi" w:hAnsiTheme="minorHAnsi" w:cs="Arial"/>
                <w:sz w:val="20"/>
                <w:szCs w:val="20"/>
                <w:lang w:val="fr-FR"/>
              </w:rPr>
            </w:pPr>
            <w:r w:rsidRPr="00701439">
              <w:rPr>
                <w:rFonts w:asciiTheme="minorHAnsi" w:hAnsiTheme="minorHAnsi" w:cs="Arial"/>
                <w:sz w:val="20"/>
                <w:szCs w:val="20"/>
                <w:lang w:val="fr-FR"/>
              </w:rPr>
              <w:t>18.8</w:t>
            </w:r>
          </w:p>
        </w:tc>
      </w:tr>
      <w:tr w:rsidR="00A3021A" w:rsidRPr="00701439" w14:paraId="1957F55C" w14:textId="77777777">
        <w:trPr>
          <w:trHeight w:val="142"/>
        </w:trPr>
        <w:tc>
          <w:tcPr>
            <w:tcW w:w="4689" w:type="dxa"/>
            <w:vAlign w:val="bottom"/>
          </w:tcPr>
          <w:p w14:paraId="7662E283" w14:textId="77777777" w:rsidR="00A3021A" w:rsidRPr="00701439" w:rsidRDefault="00A3021A">
            <w:pPr>
              <w:rPr>
                <w:rFonts w:asciiTheme="minorHAnsi" w:hAnsiTheme="minorHAnsi" w:cs="Arial"/>
                <w:b/>
                <w:sz w:val="20"/>
                <w:szCs w:val="20"/>
                <w:lang w:val="en-US"/>
              </w:rPr>
            </w:pPr>
            <w:r w:rsidRPr="00701439">
              <w:rPr>
                <w:rFonts w:asciiTheme="minorHAnsi" w:hAnsiTheme="minorHAnsi" w:cs="Arial"/>
                <w:color w:val="000000" w:themeColor="text1"/>
                <w:sz w:val="20"/>
                <w:szCs w:val="20"/>
              </w:rPr>
              <w:t>Investments held at fair value through profit and loss</w:t>
            </w:r>
          </w:p>
        </w:tc>
        <w:tc>
          <w:tcPr>
            <w:tcW w:w="1407" w:type="dxa"/>
            <w:vAlign w:val="bottom"/>
          </w:tcPr>
          <w:p w14:paraId="4A98A8E9" w14:textId="77777777" w:rsidR="00A3021A" w:rsidRPr="00701439" w:rsidRDefault="00A3021A">
            <w:pPr>
              <w:jc w:val="right"/>
              <w:rPr>
                <w:rFonts w:asciiTheme="minorHAnsi" w:hAnsiTheme="minorHAnsi" w:cs="Arial"/>
                <w:sz w:val="20"/>
                <w:szCs w:val="20"/>
                <w:lang w:val="fr-FR"/>
              </w:rPr>
            </w:pPr>
            <w:r w:rsidRPr="00701439">
              <w:rPr>
                <w:rFonts w:asciiTheme="minorHAnsi" w:hAnsiTheme="minorHAnsi" w:cs="Arial"/>
                <w:sz w:val="20"/>
                <w:szCs w:val="20"/>
                <w:lang w:val="fr-FR"/>
              </w:rPr>
              <w:t>9</w:t>
            </w:r>
          </w:p>
        </w:tc>
        <w:tc>
          <w:tcPr>
            <w:tcW w:w="1701" w:type="dxa"/>
            <w:vAlign w:val="bottom"/>
          </w:tcPr>
          <w:p w14:paraId="5D94CD15" w14:textId="77777777" w:rsidR="00A3021A" w:rsidRPr="00701439" w:rsidRDefault="00A3021A">
            <w:pPr>
              <w:jc w:val="right"/>
              <w:rPr>
                <w:rFonts w:asciiTheme="minorHAnsi" w:hAnsiTheme="minorHAnsi" w:cs="Arial"/>
                <w:sz w:val="20"/>
                <w:szCs w:val="20"/>
                <w:lang w:val="fr-FR"/>
              </w:rPr>
            </w:pPr>
            <w:r w:rsidRPr="00701439">
              <w:rPr>
                <w:rFonts w:asciiTheme="minorHAnsi" w:hAnsiTheme="minorHAnsi" w:cs="Arial"/>
                <w:sz w:val="20"/>
                <w:szCs w:val="20"/>
                <w:lang w:val="fr-FR"/>
              </w:rPr>
              <w:t>10.7</w:t>
            </w:r>
          </w:p>
        </w:tc>
        <w:tc>
          <w:tcPr>
            <w:tcW w:w="1842" w:type="dxa"/>
            <w:vAlign w:val="bottom"/>
          </w:tcPr>
          <w:p w14:paraId="308C81AF" w14:textId="77777777" w:rsidR="00A3021A" w:rsidRPr="00701439" w:rsidRDefault="00A3021A">
            <w:pPr>
              <w:jc w:val="right"/>
              <w:rPr>
                <w:rFonts w:asciiTheme="minorHAnsi" w:hAnsiTheme="minorHAnsi" w:cs="Arial"/>
                <w:sz w:val="20"/>
                <w:szCs w:val="20"/>
                <w:lang w:val="fr-FR"/>
              </w:rPr>
            </w:pPr>
            <w:r w:rsidRPr="00701439">
              <w:rPr>
                <w:rFonts w:asciiTheme="minorHAnsi" w:hAnsiTheme="minorHAnsi" w:cs="Arial"/>
                <w:sz w:val="20"/>
                <w:szCs w:val="20"/>
                <w:lang w:val="fr-FR"/>
              </w:rPr>
              <w:t>9.1</w:t>
            </w:r>
          </w:p>
        </w:tc>
      </w:tr>
      <w:tr w:rsidR="00A3021A" w:rsidRPr="00701439" w14:paraId="64BC9EF7" w14:textId="77777777">
        <w:trPr>
          <w:trHeight w:val="142"/>
        </w:trPr>
        <w:tc>
          <w:tcPr>
            <w:tcW w:w="4689" w:type="dxa"/>
            <w:vAlign w:val="bottom"/>
          </w:tcPr>
          <w:p w14:paraId="5E6C9BA5"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Current tax asset</w:t>
            </w:r>
          </w:p>
        </w:tc>
        <w:tc>
          <w:tcPr>
            <w:tcW w:w="1407" w:type="dxa"/>
            <w:vAlign w:val="bottom"/>
          </w:tcPr>
          <w:p w14:paraId="079BDEE3" w14:textId="77777777" w:rsidR="00A3021A" w:rsidRPr="00701439" w:rsidRDefault="00A3021A">
            <w:pPr>
              <w:jc w:val="right"/>
              <w:rPr>
                <w:rFonts w:asciiTheme="minorHAnsi" w:hAnsiTheme="minorHAnsi" w:cs="Arial"/>
                <w:sz w:val="20"/>
                <w:szCs w:val="20"/>
                <w:lang w:val="fr-FR"/>
              </w:rPr>
            </w:pPr>
          </w:p>
        </w:tc>
        <w:tc>
          <w:tcPr>
            <w:tcW w:w="1701" w:type="dxa"/>
            <w:vAlign w:val="bottom"/>
          </w:tcPr>
          <w:p w14:paraId="01C26B0F" w14:textId="77777777" w:rsidR="00A3021A" w:rsidRPr="00701439" w:rsidRDefault="00A3021A">
            <w:pPr>
              <w:jc w:val="right"/>
              <w:rPr>
                <w:rFonts w:asciiTheme="minorHAnsi" w:hAnsiTheme="minorHAnsi" w:cs="Arial"/>
                <w:sz w:val="20"/>
                <w:szCs w:val="20"/>
                <w:lang w:val="fr-FR"/>
              </w:rPr>
            </w:pPr>
            <w:r w:rsidRPr="00701439">
              <w:rPr>
                <w:rFonts w:asciiTheme="minorHAnsi" w:hAnsiTheme="minorHAnsi" w:cs="Arial"/>
                <w:sz w:val="20"/>
                <w:szCs w:val="20"/>
                <w:lang w:val="fr-FR"/>
              </w:rPr>
              <w:t>1.8</w:t>
            </w:r>
          </w:p>
        </w:tc>
        <w:tc>
          <w:tcPr>
            <w:tcW w:w="1842" w:type="dxa"/>
            <w:vAlign w:val="bottom"/>
          </w:tcPr>
          <w:p w14:paraId="1A91C198" w14:textId="77777777" w:rsidR="00A3021A" w:rsidRPr="00701439" w:rsidRDefault="00A3021A">
            <w:pPr>
              <w:jc w:val="right"/>
              <w:rPr>
                <w:rFonts w:asciiTheme="minorHAnsi" w:hAnsiTheme="minorHAnsi" w:cs="Arial"/>
                <w:sz w:val="20"/>
                <w:szCs w:val="20"/>
                <w:lang w:val="fr-FR"/>
              </w:rPr>
            </w:pPr>
            <w:r w:rsidRPr="00701439">
              <w:rPr>
                <w:rFonts w:asciiTheme="minorHAnsi" w:hAnsiTheme="minorHAnsi" w:cs="Arial"/>
                <w:sz w:val="20"/>
                <w:szCs w:val="20"/>
                <w:lang w:val="fr-FR"/>
              </w:rPr>
              <w:t>-</w:t>
            </w:r>
          </w:p>
        </w:tc>
      </w:tr>
      <w:tr w:rsidR="00A3021A" w:rsidRPr="00701439" w14:paraId="4DF8BD00" w14:textId="77777777">
        <w:trPr>
          <w:trHeight w:val="142"/>
        </w:trPr>
        <w:tc>
          <w:tcPr>
            <w:tcW w:w="4689" w:type="dxa"/>
            <w:vAlign w:val="bottom"/>
          </w:tcPr>
          <w:p w14:paraId="332B43CC"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 xml:space="preserve">Property, </w:t>
            </w:r>
            <w:proofErr w:type="gramStart"/>
            <w:r w:rsidRPr="00701439">
              <w:rPr>
                <w:rFonts w:asciiTheme="minorHAnsi" w:hAnsiTheme="minorHAnsi" w:cs="Arial"/>
                <w:sz w:val="20"/>
                <w:szCs w:val="20"/>
              </w:rPr>
              <w:t>plant</w:t>
            </w:r>
            <w:proofErr w:type="gramEnd"/>
            <w:r w:rsidRPr="00701439">
              <w:rPr>
                <w:rFonts w:asciiTheme="minorHAnsi" w:hAnsiTheme="minorHAnsi" w:cs="Arial"/>
                <w:sz w:val="20"/>
                <w:szCs w:val="20"/>
              </w:rPr>
              <w:t xml:space="preserve"> and equipment</w:t>
            </w:r>
          </w:p>
        </w:tc>
        <w:tc>
          <w:tcPr>
            <w:tcW w:w="1407" w:type="dxa"/>
            <w:vAlign w:val="bottom"/>
          </w:tcPr>
          <w:p w14:paraId="1DD4A953" w14:textId="77777777" w:rsidR="00A3021A" w:rsidRPr="00701439" w:rsidRDefault="00A3021A">
            <w:pPr>
              <w:jc w:val="right"/>
              <w:rPr>
                <w:rFonts w:asciiTheme="minorHAnsi" w:hAnsiTheme="minorHAnsi" w:cs="Arial"/>
                <w:sz w:val="20"/>
                <w:szCs w:val="20"/>
                <w:lang w:val="fr-FR"/>
              </w:rPr>
            </w:pPr>
          </w:p>
        </w:tc>
        <w:tc>
          <w:tcPr>
            <w:tcW w:w="1701" w:type="dxa"/>
            <w:vAlign w:val="bottom"/>
          </w:tcPr>
          <w:p w14:paraId="0270A22F" w14:textId="77777777" w:rsidR="00A3021A" w:rsidRPr="00701439" w:rsidRDefault="00A3021A">
            <w:pPr>
              <w:jc w:val="right"/>
              <w:rPr>
                <w:rFonts w:asciiTheme="minorHAnsi" w:hAnsiTheme="minorHAnsi" w:cs="Arial"/>
                <w:sz w:val="20"/>
                <w:szCs w:val="20"/>
                <w:lang w:val="fr-FR"/>
              </w:rPr>
            </w:pPr>
            <w:r w:rsidRPr="00701439">
              <w:rPr>
                <w:rFonts w:asciiTheme="minorHAnsi" w:hAnsiTheme="minorHAnsi" w:cs="Arial"/>
                <w:sz w:val="20"/>
                <w:szCs w:val="20"/>
                <w:lang w:val="fr-FR"/>
              </w:rPr>
              <w:t>8.3</w:t>
            </w:r>
          </w:p>
        </w:tc>
        <w:tc>
          <w:tcPr>
            <w:tcW w:w="1842" w:type="dxa"/>
            <w:vAlign w:val="bottom"/>
          </w:tcPr>
          <w:p w14:paraId="360A8E10"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lang w:val="fr-FR"/>
              </w:rPr>
              <w:t>8.4</w:t>
            </w:r>
          </w:p>
        </w:tc>
      </w:tr>
      <w:tr w:rsidR="00A3021A" w:rsidRPr="00701439" w14:paraId="4F98AEAC" w14:textId="77777777">
        <w:trPr>
          <w:trHeight w:val="142"/>
        </w:trPr>
        <w:tc>
          <w:tcPr>
            <w:tcW w:w="4689" w:type="dxa"/>
            <w:vAlign w:val="bottom"/>
          </w:tcPr>
          <w:p w14:paraId="5A779AE4" w14:textId="77777777" w:rsidR="00A3021A" w:rsidRPr="00701439" w:rsidRDefault="00A3021A">
            <w:pPr>
              <w:rPr>
                <w:rFonts w:asciiTheme="minorHAnsi" w:hAnsiTheme="minorHAnsi" w:cs="Arial"/>
                <w:b/>
                <w:sz w:val="20"/>
                <w:szCs w:val="20"/>
                <w:lang w:val="fr-FR"/>
              </w:rPr>
            </w:pPr>
            <w:r w:rsidRPr="00701439">
              <w:rPr>
                <w:rFonts w:asciiTheme="minorHAnsi" w:hAnsiTheme="minorHAnsi" w:cs="Arial"/>
                <w:sz w:val="20"/>
                <w:szCs w:val="20"/>
              </w:rPr>
              <w:t>Right of use assets</w:t>
            </w:r>
          </w:p>
        </w:tc>
        <w:tc>
          <w:tcPr>
            <w:tcW w:w="1407" w:type="dxa"/>
            <w:vAlign w:val="bottom"/>
          </w:tcPr>
          <w:p w14:paraId="397DFA44" w14:textId="77777777" w:rsidR="00A3021A" w:rsidRPr="00701439" w:rsidRDefault="00A3021A">
            <w:pPr>
              <w:jc w:val="right"/>
              <w:rPr>
                <w:rFonts w:asciiTheme="minorHAnsi" w:hAnsiTheme="minorHAnsi" w:cs="Arial"/>
                <w:sz w:val="20"/>
                <w:szCs w:val="20"/>
                <w:lang w:val="fr-FR"/>
              </w:rPr>
            </w:pPr>
          </w:p>
        </w:tc>
        <w:tc>
          <w:tcPr>
            <w:tcW w:w="1701" w:type="dxa"/>
            <w:vAlign w:val="bottom"/>
          </w:tcPr>
          <w:p w14:paraId="30F6C996" w14:textId="309D9443" w:rsidR="00A3021A" w:rsidRPr="00701439" w:rsidRDefault="00FF39B5">
            <w:pPr>
              <w:jc w:val="right"/>
              <w:rPr>
                <w:rFonts w:asciiTheme="minorHAnsi" w:hAnsiTheme="minorHAnsi" w:cs="Arial"/>
                <w:sz w:val="20"/>
                <w:szCs w:val="20"/>
                <w:lang w:val="fr-FR"/>
              </w:rPr>
            </w:pPr>
            <w:r w:rsidRPr="00701439">
              <w:rPr>
                <w:rFonts w:asciiTheme="minorHAnsi" w:hAnsiTheme="minorHAnsi" w:cs="Arial"/>
                <w:sz w:val="20"/>
                <w:szCs w:val="20"/>
                <w:lang w:val="fr-FR"/>
              </w:rPr>
              <w:t>32.4</w:t>
            </w:r>
          </w:p>
        </w:tc>
        <w:tc>
          <w:tcPr>
            <w:tcW w:w="1842" w:type="dxa"/>
            <w:vAlign w:val="bottom"/>
          </w:tcPr>
          <w:p w14:paraId="06A052E4" w14:textId="77777777" w:rsidR="00A3021A" w:rsidRPr="00701439" w:rsidRDefault="00A3021A">
            <w:pPr>
              <w:jc w:val="right"/>
              <w:rPr>
                <w:rFonts w:asciiTheme="minorHAnsi" w:hAnsiTheme="minorHAnsi" w:cs="Arial"/>
                <w:sz w:val="20"/>
                <w:szCs w:val="20"/>
                <w:lang w:val="fr-FR"/>
              </w:rPr>
            </w:pPr>
            <w:r w:rsidRPr="00701439">
              <w:rPr>
                <w:rFonts w:asciiTheme="minorHAnsi" w:hAnsiTheme="minorHAnsi" w:cs="Arial"/>
                <w:sz w:val="20"/>
                <w:szCs w:val="20"/>
                <w:lang w:val="fr-FR"/>
              </w:rPr>
              <w:t>47.9</w:t>
            </w:r>
          </w:p>
        </w:tc>
      </w:tr>
      <w:tr w:rsidR="00A3021A" w:rsidRPr="00701439" w14:paraId="66414443" w14:textId="77777777">
        <w:trPr>
          <w:trHeight w:val="142"/>
        </w:trPr>
        <w:tc>
          <w:tcPr>
            <w:tcW w:w="4689" w:type="dxa"/>
            <w:vAlign w:val="bottom"/>
          </w:tcPr>
          <w:p w14:paraId="2F71DF04" w14:textId="77777777" w:rsidR="00A3021A" w:rsidRPr="00701439" w:rsidRDefault="00A3021A">
            <w:pPr>
              <w:rPr>
                <w:rFonts w:asciiTheme="minorHAnsi" w:hAnsiTheme="minorHAnsi" w:cs="Arial"/>
                <w:b/>
                <w:sz w:val="20"/>
                <w:szCs w:val="20"/>
                <w:lang w:val="fr-FR"/>
              </w:rPr>
            </w:pPr>
            <w:r w:rsidRPr="00701439">
              <w:rPr>
                <w:rFonts w:asciiTheme="minorHAnsi" w:hAnsiTheme="minorHAnsi" w:cs="Arial"/>
                <w:sz w:val="20"/>
                <w:szCs w:val="20"/>
              </w:rPr>
              <w:t>Goodwill</w:t>
            </w:r>
          </w:p>
        </w:tc>
        <w:tc>
          <w:tcPr>
            <w:tcW w:w="1407" w:type="dxa"/>
            <w:vAlign w:val="bottom"/>
          </w:tcPr>
          <w:p w14:paraId="3E8570D3" w14:textId="77777777" w:rsidR="00A3021A" w:rsidRPr="00701439" w:rsidRDefault="00A3021A">
            <w:pPr>
              <w:jc w:val="right"/>
              <w:rPr>
                <w:rFonts w:asciiTheme="minorHAnsi" w:hAnsiTheme="minorHAnsi" w:cs="Arial"/>
                <w:sz w:val="20"/>
                <w:szCs w:val="20"/>
                <w:lang w:val="fr-FR"/>
              </w:rPr>
            </w:pPr>
          </w:p>
        </w:tc>
        <w:tc>
          <w:tcPr>
            <w:tcW w:w="1701" w:type="dxa"/>
            <w:vAlign w:val="bottom"/>
          </w:tcPr>
          <w:p w14:paraId="2046165C" w14:textId="77777777" w:rsidR="00A3021A" w:rsidRPr="00701439" w:rsidRDefault="00A3021A">
            <w:pPr>
              <w:jc w:val="right"/>
              <w:rPr>
                <w:rFonts w:asciiTheme="minorHAnsi" w:hAnsiTheme="minorHAnsi" w:cs="Arial"/>
                <w:sz w:val="20"/>
                <w:szCs w:val="20"/>
                <w:lang w:val="fr-FR"/>
              </w:rPr>
            </w:pPr>
            <w:r w:rsidRPr="00701439">
              <w:rPr>
                <w:rFonts w:asciiTheme="minorHAnsi" w:hAnsiTheme="minorHAnsi" w:cs="Arial"/>
                <w:sz w:val="20"/>
                <w:szCs w:val="20"/>
                <w:lang w:val="fr-FR"/>
              </w:rPr>
              <w:t>71.2</w:t>
            </w:r>
          </w:p>
        </w:tc>
        <w:tc>
          <w:tcPr>
            <w:tcW w:w="1842" w:type="dxa"/>
            <w:vAlign w:val="bottom"/>
          </w:tcPr>
          <w:p w14:paraId="3BD49ABE" w14:textId="77777777" w:rsidR="00A3021A" w:rsidRPr="00701439" w:rsidRDefault="00A3021A">
            <w:pPr>
              <w:jc w:val="right"/>
              <w:rPr>
                <w:rFonts w:asciiTheme="minorHAnsi" w:hAnsiTheme="minorHAnsi" w:cs="Arial"/>
                <w:sz w:val="20"/>
                <w:szCs w:val="20"/>
                <w:lang w:val="fr-FR"/>
              </w:rPr>
            </w:pPr>
            <w:r w:rsidRPr="00701439">
              <w:rPr>
                <w:rFonts w:asciiTheme="minorHAnsi" w:hAnsiTheme="minorHAnsi" w:cs="Arial"/>
                <w:sz w:val="20"/>
                <w:szCs w:val="20"/>
                <w:lang w:val="fr-FR"/>
              </w:rPr>
              <w:t>71.2</w:t>
            </w:r>
          </w:p>
        </w:tc>
      </w:tr>
      <w:tr w:rsidR="00A3021A" w:rsidRPr="00701439" w14:paraId="0CA5543F" w14:textId="77777777">
        <w:trPr>
          <w:trHeight w:val="142"/>
        </w:trPr>
        <w:tc>
          <w:tcPr>
            <w:tcW w:w="4689" w:type="dxa"/>
            <w:vAlign w:val="bottom"/>
          </w:tcPr>
          <w:p w14:paraId="70E4A4FD" w14:textId="77777777" w:rsidR="00A3021A" w:rsidRPr="00701439" w:rsidRDefault="00A3021A">
            <w:pPr>
              <w:rPr>
                <w:rFonts w:asciiTheme="minorHAnsi" w:hAnsiTheme="minorHAnsi" w:cs="Arial"/>
                <w:b/>
                <w:sz w:val="20"/>
                <w:szCs w:val="20"/>
                <w:lang w:val="fr-FR"/>
              </w:rPr>
            </w:pPr>
            <w:r w:rsidRPr="00701439">
              <w:rPr>
                <w:rFonts w:asciiTheme="minorHAnsi" w:hAnsiTheme="minorHAnsi" w:cs="Arial"/>
                <w:sz w:val="20"/>
                <w:szCs w:val="20"/>
              </w:rPr>
              <w:t>Other intangible assets</w:t>
            </w:r>
          </w:p>
        </w:tc>
        <w:tc>
          <w:tcPr>
            <w:tcW w:w="1407" w:type="dxa"/>
            <w:vAlign w:val="bottom"/>
          </w:tcPr>
          <w:p w14:paraId="0E9A7845" w14:textId="77777777" w:rsidR="00A3021A" w:rsidRPr="00701439" w:rsidRDefault="00A3021A">
            <w:pPr>
              <w:jc w:val="right"/>
              <w:rPr>
                <w:rFonts w:asciiTheme="minorHAnsi" w:hAnsiTheme="minorHAnsi" w:cs="Arial"/>
                <w:sz w:val="20"/>
                <w:szCs w:val="20"/>
                <w:lang w:val="fr-FR"/>
              </w:rPr>
            </w:pPr>
            <w:r w:rsidRPr="00701439">
              <w:rPr>
                <w:rFonts w:asciiTheme="minorHAnsi" w:hAnsiTheme="minorHAnsi" w:cs="Arial"/>
                <w:sz w:val="20"/>
                <w:szCs w:val="20"/>
                <w:lang w:val="fr-FR"/>
              </w:rPr>
              <w:t>10</w:t>
            </w:r>
          </w:p>
        </w:tc>
        <w:tc>
          <w:tcPr>
            <w:tcW w:w="1701" w:type="dxa"/>
            <w:vAlign w:val="bottom"/>
          </w:tcPr>
          <w:p w14:paraId="5704BA5E" w14:textId="77777777" w:rsidR="00A3021A" w:rsidRPr="00701439" w:rsidRDefault="00A3021A">
            <w:pPr>
              <w:jc w:val="right"/>
              <w:rPr>
                <w:rFonts w:asciiTheme="minorHAnsi" w:hAnsiTheme="minorHAnsi" w:cs="Arial"/>
                <w:sz w:val="20"/>
                <w:szCs w:val="20"/>
                <w:lang w:val="fr-FR"/>
              </w:rPr>
            </w:pPr>
            <w:r w:rsidRPr="00701439">
              <w:rPr>
                <w:rFonts w:asciiTheme="minorHAnsi" w:hAnsiTheme="minorHAnsi" w:cs="Arial"/>
                <w:sz w:val="20"/>
                <w:szCs w:val="20"/>
                <w:lang w:val="fr-FR"/>
              </w:rPr>
              <w:t>63.3</w:t>
            </w:r>
          </w:p>
        </w:tc>
        <w:tc>
          <w:tcPr>
            <w:tcW w:w="1842" w:type="dxa"/>
            <w:vAlign w:val="bottom"/>
          </w:tcPr>
          <w:p w14:paraId="6B6E970A" w14:textId="77777777" w:rsidR="00A3021A" w:rsidRPr="00701439" w:rsidRDefault="00A3021A">
            <w:pPr>
              <w:jc w:val="right"/>
              <w:rPr>
                <w:rFonts w:asciiTheme="minorHAnsi" w:hAnsiTheme="minorHAnsi" w:cs="Arial"/>
                <w:sz w:val="20"/>
                <w:szCs w:val="20"/>
                <w:lang w:val="fr-FR"/>
              </w:rPr>
            </w:pPr>
            <w:r w:rsidRPr="00701439">
              <w:rPr>
                <w:rFonts w:asciiTheme="minorHAnsi" w:hAnsiTheme="minorHAnsi" w:cs="Arial"/>
                <w:sz w:val="20"/>
                <w:szCs w:val="20"/>
                <w:lang w:val="fr-FR"/>
              </w:rPr>
              <w:t>52.3</w:t>
            </w:r>
          </w:p>
        </w:tc>
      </w:tr>
      <w:tr w:rsidR="00A3021A" w:rsidRPr="00701439" w14:paraId="38140CBA" w14:textId="77777777">
        <w:trPr>
          <w:trHeight w:val="142"/>
        </w:trPr>
        <w:tc>
          <w:tcPr>
            <w:tcW w:w="4689" w:type="dxa"/>
            <w:vAlign w:val="bottom"/>
          </w:tcPr>
          <w:p w14:paraId="3D9DA0DF"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Retirement benefit asset</w:t>
            </w:r>
          </w:p>
        </w:tc>
        <w:tc>
          <w:tcPr>
            <w:tcW w:w="1407" w:type="dxa"/>
            <w:vAlign w:val="bottom"/>
          </w:tcPr>
          <w:p w14:paraId="63315663" w14:textId="77777777" w:rsidR="00A3021A" w:rsidRPr="00701439" w:rsidRDefault="00A3021A">
            <w:pPr>
              <w:jc w:val="right"/>
              <w:rPr>
                <w:rFonts w:asciiTheme="minorHAnsi" w:hAnsiTheme="minorHAnsi" w:cs="Arial"/>
                <w:sz w:val="20"/>
                <w:szCs w:val="20"/>
                <w:lang w:val="fr-FR"/>
              </w:rPr>
            </w:pPr>
            <w:r w:rsidRPr="00701439">
              <w:rPr>
                <w:rFonts w:asciiTheme="minorHAnsi" w:hAnsiTheme="minorHAnsi" w:cs="Arial"/>
                <w:sz w:val="20"/>
                <w:szCs w:val="20"/>
                <w:lang w:val="fr-FR"/>
              </w:rPr>
              <w:t>11</w:t>
            </w:r>
          </w:p>
        </w:tc>
        <w:tc>
          <w:tcPr>
            <w:tcW w:w="1701" w:type="dxa"/>
            <w:vAlign w:val="bottom"/>
          </w:tcPr>
          <w:p w14:paraId="76CC09D3" w14:textId="77777777" w:rsidR="00A3021A" w:rsidRPr="00701439" w:rsidRDefault="00A3021A">
            <w:pPr>
              <w:jc w:val="right"/>
              <w:rPr>
                <w:rFonts w:asciiTheme="minorHAnsi" w:hAnsiTheme="minorHAnsi" w:cs="Arial"/>
                <w:sz w:val="20"/>
                <w:szCs w:val="20"/>
                <w:lang w:val="fr-FR"/>
              </w:rPr>
            </w:pPr>
            <w:r w:rsidRPr="00701439">
              <w:rPr>
                <w:rFonts w:asciiTheme="minorHAnsi" w:hAnsiTheme="minorHAnsi" w:cs="Arial"/>
                <w:sz w:val="20"/>
                <w:szCs w:val="20"/>
                <w:lang w:val="fr-FR"/>
              </w:rPr>
              <w:t>30.7</w:t>
            </w:r>
          </w:p>
        </w:tc>
        <w:tc>
          <w:tcPr>
            <w:tcW w:w="1842" w:type="dxa"/>
            <w:vAlign w:val="bottom"/>
          </w:tcPr>
          <w:p w14:paraId="0CA1D925" w14:textId="77777777" w:rsidR="00A3021A" w:rsidRPr="00701439" w:rsidRDefault="00A3021A">
            <w:pPr>
              <w:jc w:val="right"/>
              <w:rPr>
                <w:rFonts w:asciiTheme="minorHAnsi" w:hAnsiTheme="minorHAnsi" w:cs="Arial"/>
                <w:sz w:val="20"/>
                <w:szCs w:val="20"/>
                <w:lang w:val="fr-FR"/>
              </w:rPr>
            </w:pPr>
            <w:r w:rsidRPr="00701439">
              <w:rPr>
                <w:rFonts w:asciiTheme="minorHAnsi" w:hAnsiTheme="minorHAnsi" w:cs="Arial"/>
                <w:sz w:val="20"/>
                <w:szCs w:val="20"/>
                <w:lang w:val="fr-FR"/>
              </w:rPr>
              <w:t>112.2</w:t>
            </w:r>
          </w:p>
        </w:tc>
      </w:tr>
      <w:tr w:rsidR="00A3021A" w:rsidRPr="00701439" w14:paraId="033A4C71" w14:textId="77777777">
        <w:trPr>
          <w:trHeight w:val="142"/>
        </w:trPr>
        <w:tc>
          <w:tcPr>
            <w:tcW w:w="4689" w:type="dxa"/>
            <w:vAlign w:val="bottom"/>
          </w:tcPr>
          <w:p w14:paraId="7438FC75" w14:textId="77777777" w:rsidR="00A3021A" w:rsidRPr="00701439" w:rsidRDefault="00A3021A">
            <w:pPr>
              <w:rPr>
                <w:rFonts w:asciiTheme="minorHAnsi" w:hAnsiTheme="minorHAnsi" w:cs="Arial"/>
                <w:sz w:val="20"/>
                <w:szCs w:val="20"/>
                <w:lang w:val="fr-FR"/>
              </w:rPr>
            </w:pPr>
            <w:proofErr w:type="spellStart"/>
            <w:r w:rsidRPr="00701439">
              <w:rPr>
                <w:rFonts w:asciiTheme="minorHAnsi" w:hAnsiTheme="minorHAnsi" w:cs="Arial"/>
                <w:sz w:val="20"/>
                <w:szCs w:val="20"/>
                <w:lang w:val="fr-FR"/>
              </w:rPr>
              <w:t>Derivative</w:t>
            </w:r>
            <w:proofErr w:type="spellEnd"/>
            <w:r w:rsidRPr="00701439">
              <w:rPr>
                <w:rFonts w:asciiTheme="minorHAnsi" w:hAnsiTheme="minorHAnsi" w:cs="Arial"/>
                <w:sz w:val="20"/>
                <w:szCs w:val="20"/>
                <w:lang w:val="fr-FR"/>
              </w:rPr>
              <w:t xml:space="preserve"> </w:t>
            </w:r>
            <w:proofErr w:type="spellStart"/>
            <w:r w:rsidRPr="00701439">
              <w:rPr>
                <w:rFonts w:asciiTheme="minorHAnsi" w:hAnsiTheme="minorHAnsi" w:cs="Arial"/>
                <w:sz w:val="20"/>
                <w:szCs w:val="20"/>
                <w:lang w:val="fr-FR"/>
              </w:rPr>
              <w:t>financial</w:t>
            </w:r>
            <w:proofErr w:type="spellEnd"/>
            <w:r w:rsidRPr="00701439">
              <w:rPr>
                <w:rFonts w:asciiTheme="minorHAnsi" w:hAnsiTheme="minorHAnsi" w:cs="Arial"/>
                <w:sz w:val="20"/>
                <w:szCs w:val="20"/>
                <w:lang w:val="fr-FR"/>
              </w:rPr>
              <w:t xml:space="preserve"> instruments</w:t>
            </w:r>
          </w:p>
        </w:tc>
        <w:tc>
          <w:tcPr>
            <w:tcW w:w="1407" w:type="dxa"/>
            <w:vAlign w:val="bottom"/>
          </w:tcPr>
          <w:p w14:paraId="4939F9E2" w14:textId="77777777" w:rsidR="00A3021A" w:rsidRPr="00701439" w:rsidRDefault="00A3021A">
            <w:pPr>
              <w:jc w:val="right"/>
              <w:rPr>
                <w:rFonts w:asciiTheme="minorHAnsi" w:hAnsiTheme="minorHAnsi" w:cs="Arial"/>
                <w:sz w:val="20"/>
                <w:szCs w:val="20"/>
                <w:lang w:val="fr-FR"/>
              </w:rPr>
            </w:pPr>
          </w:p>
        </w:tc>
        <w:tc>
          <w:tcPr>
            <w:tcW w:w="1701" w:type="dxa"/>
            <w:vAlign w:val="bottom"/>
          </w:tcPr>
          <w:p w14:paraId="503423CC" w14:textId="77777777" w:rsidR="00A3021A" w:rsidRPr="00701439" w:rsidRDefault="00A3021A">
            <w:pPr>
              <w:jc w:val="right"/>
              <w:rPr>
                <w:rFonts w:asciiTheme="minorHAnsi" w:hAnsiTheme="minorHAnsi" w:cs="Arial"/>
                <w:sz w:val="20"/>
                <w:szCs w:val="20"/>
                <w:lang w:val="fr-FR"/>
              </w:rPr>
            </w:pPr>
            <w:r w:rsidRPr="00701439">
              <w:rPr>
                <w:rFonts w:asciiTheme="minorHAnsi" w:hAnsiTheme="minorHAnsi" w:cs="Arial"/>
                <w:sz w:val="20"/>
                <w:szCs w:val="20"/>
                <w:lang w:val="fr-FR"/>
              </w:rPr>
              <w:t>11.3</w:t>
            </w:r>
          </w:p>
        </w:tc>
        <w:tc>
          <w:tcPr>
            <w:tcW w:w="1842" w:type="dxa"/>
            <w:vAlign w:val="bottom"/>
          </w:tcPr>
          <w:p w14:paraId="7B4E3AFF" w14:textId="77777777" w:rsidR="00A3021A" w:rsidRPr="00701439" w:rsidRDefault="00A3021A">
            <w:pPr>
              <w:jc w:val="right"/>
              <w:rPr>
                <w:rFonts w:asciiTheme="minorHAnsi" w:hAnsiTheme="minorHAnsi" w:cs="Arial"/>
                <w:sz w:val="20"/>
                <w:szCs w:val="20"/>
                <w:lang w:val="fr-FR"/>
              </w:rPr>
            </w:pPr>
            <w:r w:rsidRPr="00701439">
              <w:rPr>
                <w:rFonts w:asciiTheme="minorHAnsi" w:hAnsiTheme="minorHAnsi" w:cs="Arial"/>
                <w:sz w:val="20"/>
                <w:szCs w:val="20"/>
                <w:lang w:val="fr-FR"/>
              </w:rPr>
              <w:t>3.1</w:t>
            </w:r>
          </w:p>
        </w:tc>
      </w:tr>
      <w:tr w:rsidR="00A3021A" w:rsidRPr="00701439" w14:paraId="07761141" w14:textId="77777777">
        <w:trPr>
          <w:trHeight w:val="142"/>
        </w:trPr>
        <w:tc>
          <w:tcPr>
            <w:tcW w:w="4689" w:type="dxa"/>
            <w:vAlign w:val="bottom"/>
          </w:tcPr>
          <w:p w14:paraId="6E932BA4" w14:textId="77777777" w:rsidR="00A3021A" w:rsidRPr="00701439" w:rsidRDefault="00A3021A">
            <w:pPr>
              <w:rPr>
                <w:rFonts w:asciiTheme="minorHAnsi" w:hAnsiTheme="minorHAnsi" w:cs="Arial"/>
                <w:b/>
                <w:sz w:val="20"/>
                <w:szCs w:val="20"/>
                <w:lang w:val="fr-FR"/>
              </w:rPr>
            </w:pPr>
            <w:r w:rsidRPr="00701439">
              <w:rPr>
                <w:rFonts w:asciiTheme="minorHAnsi" w:hAnsiTheme="minorHAnsi" w:cs="Arial"/>
                <w:sz w:val="20"/>
                <w:szCs w:val="20"/>
              </w:rPr>
              <w:t>Deferred tax assets</w:t>
            </w:r>
          </w:p>
        </w:tc>
        <w:tc>
          <w:tcPr>
            <w:tcW w:w="1407" w:type="dxa"/>
            <w:vAlign w:val="bottom"/>
          </w:tcPr>
          <w:p w14:paraId="1EFE334F" w14:textId="77777777" w:rsidR="00A3021A" w:rsidRPr="00701439" w:rsidRDefault="00A3021A">
            <w:pPr>
              <w:jc w:val="right"/>
              <w:rPr>
                <w:rFonts w:asciiTheme="minorHAnsi" w:hAnsiTheme="minorHAnsi" w:cs="Arial"/>
                <w:sz w:val="20"/>
                <w:szCs w:val="20"/>
                <w:lang w:val="fr-FR"/>
              </w:rPr>
            </w:pPr>
            <w:r w:rsidRPr="00701439">
              <w:rPr>
                <w:rFonts w:asciiTheme="minorHAnsi" w:hAnsiTheme="minorHAnsi" w:cs="Arial"/>
                <w:sz w:val="20"/>
                <w:szCs w:val="20"/>
                <w:lang w:val="fr-FR"/>
              </w:rPr>
              <w:t>5</w:t>
            </w:r>
          </w:p>
        </w:tc>
        <w:tc>
          <w:tcPr>
            <w:tcW w:w="1701" w:type="dxa"/>
            <w:vAlign w:val="bottom"/>
          </w:tcPr>
          <w:p w14:paraId="19032A81" w14:textId="77777777" w:rsidR="00A3021A" w:rsidRPr="00701439" w:rsidRDefault="00A3021A">
            <w:pPr>
              <w:jc w:val="right"/>
              <w:rPr>
                <w:rFonts w:asciiTheme="minorHAnsi" w:hAnsiTheme="minorHAnsi" w:cs="Arial"/>
                <w:sz w:val="20"/>
                <w:szCs w:val="20"/>
                <w:lang w:val="fr-FR"/>
              </w:rPr>
            </w:pPr>
            <w:r w:rsidRPr="00701439">
              <w:rPr>
                <w:rFonts w:asciiTheme="minorHAnsi" w:hAnsiTheme="minorHAnsi" w:cs="Arial"/>
                <w:sz w:val="20"/>
                <w:szCs w:val="20"/>
                <w:lang w:val="fr-FR"/>
              </w:rPr>
              <w:t>14.5</w:t>
            </w:r>
          </w:p>
        </w:tc>
        <w:tc>
          <w:tcPr>
            <w:tcW w:w="1842" w:type="dxa"/>
            <w:vAlign w:val="bottom"/>
          </w:tcPr>
          <w:p w14:paraId="2982514F" w14:textId="77777777" w:rsidR="00A3021A" w:rsidRPr="00701439" w:rsidRDefault="00A3021A">
            <w:pPr>
              <w:jc w:val="right"/>
              <w:rPr>
                <w:rFonts w:asciiTheme="minorHAnsi" w:hAnsiTheme="minorHAnsi" w:cs="Arial"/>
                <w:sz w:val="20"/>
                <w:szCs w:val="20"/>
                <w:lang w:val="fr-FR"/>
              </w:rPr>
            </w:pPr>
            <w:r w:rsidRPr="00701439">
              <w:rPr>
                <w:rFonts w:asciiTheme="minorHAnsi" w:hAnsiTheme="minorHAnsi" w:cs="Arial"/>
                <w:sz w:val="20"/>
                <w:szCs w:val="20"/>
                <w:lang w:val="fr-FR"/>
              </w:rPr>
              <w:t>6.9</w:t>
            </w:r>
          </w:p>
        </w:tc>
      </w:tr>
      <w:tr w:rsidR="00A3021A" w:rsidRPr="00701439" w14:paraId="3FAFC92E" w14:textId="77777777">
        <w:trPr>
          <w:trHeight w:val="142"/>
        </w:trPr>
        <w:tc>
          <w:tcPr>
            <w:tcW w:w="4689" w:type="dxa"/>
            <w:vAlign w:val="bottom"/>
          </w:tcPr>
          <w:p w14:paraId="57809E03" w14:textId="77777777" w:rsidR="00A3021A" w:rsidRPr="00701439" w:rsidRDefault="00A3021A">
            <w:pPr>
              <w:rPr>
                <w:rFonts w:asciiTheme="minorHAnsi" w:hAnsiTheme="minorHAnsi" w:cs="Arial"/>
                <w:b/>
                <w:sz w:val="20"/>
                <w:szCs w:val="20"/>
                <w:lang w:val="fr-FR"/>
              </w:rPr>
            </w:pPr>
            <w:r w:rsidRPr="00701439">
              <w:rPr>
                <w:rFonts w:asciiTheme="minorHAnsi" w:hAnsiTheme="minorHAnsi" w:cs="Arial"/>
                <w:b/>
                <w:sz w:val="20"/>
                <w:szCs w:val="20"/>
                <w:lang w:val="fr-FR"/>
              </w:rPr>
              <w:t>TOTAL ASSETS</w:t>
            </w:r>
          </w:p>
        </w:tc>
        <w:tc>
          <w:tcPr>
            <w:tcW w:w="1407" w:type="dxa"/>
            <w:vAlign w:val="bottom"/>
          </w:tcPr>
          <w:p w14:paraId="7C3ACA27" w14:textId="77777777" w:rsidR="00A3021A" w:rsidRPr="00701439" w:rsidRDefault="00A3021A">
            <w:pPr>
              <w:jc w:val="right"/>
              <w:rPr>
                <w:rFonts w:asciiTheme="minorHAnsi" w:hAnsiTheme="minorHAnsi" w:cs="Arial"/>
                <w:sz w:val="20"/>
                <w:szCs w:val="20"/>
                <w:lang w:val="fr-FR"/>
              </w:rPr>
            </w:pPr>
            <w:r w:rsidRPr="00701439">
              <w:rPr>
                <w:rFonts w:asciiTheme="minorHAnsi" w:hAnsiTheme="minorHAnsi" w:cs="Arial"/>
                <w:sz w:val="20"/>
                <w:szCs w:val="20"/>
                <w:lang w:val="fr-FR"/>
              </w:rPr>
              <w:t>3</w:t>
            </w:r>
          </w:p>
        </w:tc>
        <w:tc>
          <w:tcPr>
            <w:tcW w:w="1701" w:type="dxa"/>
            <w:tcBorders>
              <w:top w:val="single" w:sz="4" w:space="0" w:color="auto"/>
              <w:left w:val="nil"/>
              <w:bottom w:val="single" w:sz="4" w:space="0" w:color="auto"/>
              <w:right w:val="nil"/>
            </w:tcBorders>
            <w:vAlign w:val="bottom"/>
          </w:tcPr>
          <w:p w14:paraId="766A3E0A"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2,655.8</w:t>
            </w:r>
          </w:p>
        </w:tc>
        <w:tc>
          <w:tcPr>
            <w:tcW w:w="1842" w:type="dxa"/>
            <w:tcBorders>
              <w:top w:val="single" w:sz="4" w:space="0" w:color="auto"/>
              <w:left w:val="nil"/>
              <w:bottom w:val="single" w:sz="4" w:space="0" w:color="auto"/>
              <w:right w:val="nil"/>
            </w:tcBorders>
            <w:vAlign w:val="bottom"/>
          </w:tcPr>
          <w:p w14:paraId="64DAF9D8"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2,725.3</w:t>
            </w:r>
          </w:p>
        </w:tc>
      </w:tr>
      <w:tr w:rsidR="00A3021A" w:rsidRPr="00701439" w14:paraId="6590A456" w14:textId="77777777">
        <w:trPr>
          <w:trHeight w:val="142"/>
        </w:trPr>
        <w:tc>
          <w:tcPr>
            <w:tcW w:w="4689" w:type="dxa"/>
            <w:vAlign w:val="bottom"/>
          </w:tcPr>
          <w:p w14:paraId="55C5D143" w14:textId="77777777" w:rsidR="00A3021A" w:rsidRPr="00701439" w:rsidRDefault="00A3021A">
            <w:pPr>
              <w:rPr>
                <w:rFonts w:asciiTheme="minorHAnsi" w:hAnsiTheme="minorHAnsi" w:cs="Arial"/>
                <w:b/>
                <w:sz w:val="20"/>
                <w:szCs w:val="20"/>
              </w:rPr>
            </w:pPr>
            <w:r w:rsidRPr="00701439">
              <w:rPr>
                <w:rFonts w:asciiTheme="minorHAnsi" w:hAnsiTheme="minorHAnsi" w:cs="Arial"/>
                <w:b/>
                <w:sz w:val="20"/>
                <w:szCs w:val="20"/>
              </w:rPr>
              <w:t>LIABILITIES AND EQUITY</w:t>
            </w:r>
          </w:p>
        </w:tc>
        <w:tc>
          <w:tcPr>
            <w:tcW w:w="1407" w:type="dxa"/>
            <w:vAlign w:val="bottom"/>
          </w:tcPr>
          <w:p w14:paraId="20F9D23B" w14:textId="77777777" w:rsidR="00A3021A" w:rsidRPr="00701439" w:rsidRDefault="00A3021A">
            <w:pPr>
              <w:jc w:val="right"/>
              <w:rPr>
                <w:rFonts w:asciiTheme="minorHAnsi" w:hAnsiTheme="minorHAnsi" w:cs="Arial"/>
                <w:sz w:val="20"/>
                <w:szCs w:val="20"/>
              </w:rPr>
            </w:pPr>
          </w:p>
        </w:tc>
        <w:tc>
          <w:tcPr>
            <w:tcW w:w="1701" w:type="dxa"/>
            <w:vAlign w:val="bottom"/>
          </w:tcPr>
          <w:p w14:paraId="2B02E193" w14:textId="77777777" w:rsidR="00A3021A" w:rsidRPr="00701439" w:rsidRDefault="00A3021A">
            <w:pPr>
              <w:jc w:val="right"/>
              <w:rPr>
                <w:rFonts w:asciiTheme="minorHAnsi" w:hAnsiTheme="minorHAnsi" w:cs="Arial"/>
                <w:sz w:val="20"/>
                <w:szCs w:val="20"/>
              </w:rPr>
            </w:pPr>
          </w:p>
        </w:tc>
        <w:tc>
          <w:tcPr>
            <w:tcW w:w="1842" w:type="dxa"/>
            <w:vAlign w:val="bottom"/>
          </w:tcPr>
          <w:p w14:paraId="28948A76" w14:textId="77777777" w:rsidR="00A3021A" w:rsidRPr="00701439" w:rsidRDefault="00A3021A">
            <w:pPr>
              <w:jc w:val="right"/>
              <w:rPr>
                <w:rFonts w:asciiTheme="minorHAnsi" w:hAnsiTheme="minorHAnsi" w:cs="Arial"/>
                <w:sz w:val="20"/>
                <w:szCs w:val="20"/>
              </w:rPr>
            </w:pPr>
          </w:p>
        </w:tc>
      </w:tr>
      <w:tr w:rsidR="00A3021A" w:rsidRPr="00701439" w14:paraId="13B8B3AD" w14:textId="77777777">
        <w:trPr>
          <w:trHeight w:val="142"/>
        </w:trPr>
        <w:tc>
          <w:tcPr>
            <w:tcW w:w="4689" w:type="dxa"/>
            <w:vAlign w:val="bottom"/>
          </w:tcPr>
          <w:p w14:paraId="78FD5E6A" w14:textId="77777777" w:rsidR="00A3021A" w:rsidRPr="00701439" w:rsidRDefault="00A3021A">
            <w:pPr>
              <w:rPr>
                <w:rFonts w:asciiTheme="minorHAnsi" w:hAnsiTheme="minorHAnsi" w:cs="Arial"/>
                <w:b/>
                <w:sz w:val="20"/>
                <w:szCs w:val="20"/>
              </w:rPr>
            </w:pPr>
            <w:r w:rsidRPr="00701439">
              <w:rPr>
                <w:rFonts w:asciiTheme="minorHAnsi" w:hAnsiTheme="minorHAnsi" w:cs="Arial"/>
                <w:b/>
                <w:sz w:val="20"/>
                <w:szCs w:val="20"/>
              </w:rPr>
              <w:t>Liabilities</w:t>
            </w:r>
          </w:p>
        </w:tc>
        <w:tc>
          <w:tcPr>
            <w:tcW w:w="1407" w:type="dxa"/>
            <w:vAlign w:val="bottom"/>
          </w:tcPr>
          <w:p w14:paraId="2B1C0D48" w14:textId="77777777" w:rsidR="00A3021A" w:rsidRPr="00701439" w:rsidRDefault="00A3021A">
            <w:pPr>
              <w:jc w:val="right"/>
              <w:rPr>
                <w:rFonts w:asciiTheme="minorHAnsi" w:hAnsiTheme="minorHAnsi" w:cs="Arial"/>
                <w:sz w:val="20"/>
                <w:szCs w:val="20"/>
              </w:rPr>
            </w:pPr>
          </w:p>
        </w:tc>
        <w:tc>
          <w:tcPr>
            <w:tcW w:w="1701" w:type="dxa"/>
            <w:vAlign w:val="bottom"/>
          </w:tcPr>
          <w:p w14:paraId="6E3657E6" w14:textId="77777777" w:rsidR="00A3021A" w:rsidRPr="00701439" w:rsidRDefault="00A3021A">
            <w:pPr>
              <w:jc w:val="right"/>
              <w:rPr>
                <w:rFonts w:asciiTheme="minorHAnsi" w:hAnsiTheme="minorHAnsi" w:cs="Arial"/>
                <w:sz w:val="20"/>
                <w:szCs w:val="20"/>
              </w:rPr>
            </w:pPr>
          </w:p>
        </w:tc>
        <w:tc>
          <w:tcPr>
            <w:tcW w:w="1842" w:type="dxa"/>
            <w:vAlign w:val="bottom"/>
          </w:tcPr>
          <w:p w14:paraId="35D6FD1B" w14:textId="77777777" w:rsidR="00A3021A" w:rsidRPr="00701439" w:rsidRDefault="00A3021A">
            <w:pPr>
              <w:jc w:val="right"/>
              <w:rPr>
                <w:rFonts w:asciiTheme="minorHAnsi" w:hAnsiTheme="minorHAnsi" w:cs="Arial"/>
                <w:sz w:val="20"/>
                <w:szCs w:val="20"/>
              </w:rPr>
            </w:pPr>
          </w:p>
        </w:tc>
      </w:tr>
      <w:tr w:rsidR="00A3021A" w:rsidRPr="00701439" w14:paraId="223B165E" w14:textId="77777777">
        <w:trPr>
          <w:trHeight w:val="142"/>
        </w:trPr>
        <w:tc>
          <w:tcPr>
            <w:tcW w:w="4689" w:type="dxa"/>
            <w:vAlign w:val="bottom"/>
          </w:tcPr>
          <w:p w14:paraId="2FD1B689" w14:textId="77777777" w:rsidR="00A3021A" w:rsidRPr="00701439" w:rsidRDefault="00A3021A">
            <w:pPr>
              <w:rPr>
                <w:rFonts w:asciiTheme="minorHAnsi" w:hAnsiTheme="minorHAnsi" w:cs="Arial"/>
                <w:b/>
                <w:sz w:val="20"/>
                <w:szCs w:val="20"/>
              </w:rPr>
            </w:pPr>
            <w:r w:rsidRPr="00701439">
              <w:rPr>
                <w:rFonts w:asciiTheme="minorHAnsi" w:hAnsiTheme="minorHAnsi" w:cs="Arial"/>
                <w:sz w:val="20"/>
                <w:szCs w:val="20"/>
                <w:lang w:val="en-US"/>
              </w:rPr>
              <w:t>Trade and other payables</w:t>
            </w:r>
          </w:p>
        </w:tc>
        <w:tc>
          <w:tcPr>
            <w:tcW w:w="1407" w:type="dxa"/>
            <w:vAlign w:val="bottom"/>
          </w:tcPr>
          <w:p w14:paraId="1B547293" w14:textId="77777777" w:rsidR="00A3021A" w:rsidRPr="00701439" w:rsidRDefault="00A3021A">
            <w:pPr>
              <w:jc w:val="right"/>
              <w:rPr>
                <w:rFonts w:asciiTheme="minorHAnsi" w:hAnsiTheme="minorHAnsi" w:cs="Arial"/>
                <w:sz w:val="20"/>
                <w:szCs w:val="20"/>
              </w:rPr>
            </w:pPr>
          </w:p>
        </w:tc>
        <w:tc>
          <w:tcPr>
            <w:tcW w:w="1701" w:type="dxa"/>
            <w:vAlign w:val="bottom"/>
          </w:tcPr>
          <w:p w14:paraId="11BC2BD9" w14:textId="437F3DCF"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6</w:t>
            </w:r>
            <w:r w:rsidR="00324E2D" w:rsidRPr="00701439">
              <w:rPr>
                <w:rFonts w:asciiTheme="minorHAnsi" w:hAnsiTheme="minorHAnsi" w:cs="Arial"/>
                <w:sz w:val="20"/>
                <w:szCs w:val="20"/>
              </w:rPr>
              <w:t>2</w:t>
            </w:r>
            <w:r w:rsidRPr="00701439">
              <w:rPr>
                <w:rFonts w:asciiTheme="minorHAnsi" w:hAnsiTheme="minorHAnsi" w:cs="Arial"/>
                <w:sz w:val="20"/>
                <w:szCs w:val="20"/>
              </w:rPr>
              <w:t>.</w:t>
            </w:r>
            <w:r w:rsidR="00324E2D" w:rsidRPr="00701439">
              <w:rPr>
                <w:rFonts w:asciiTheme="minorHAnsi" w:hAnsiTheme="minorHAnsi" w:cs="Arial"/>
                <w:sz w:val="20"/>
                <w:szCs w:val="20"/>
              </w:rPr>
              <w:t>8</w:t>
            </w:r>
          </w:p>
        </w:tc>
        <w:tc>
          <w:tcPr>
            <w:tcW w:w="1842" w:type="dxa"/>
            <w:vAlign w:val="bottom"/>
          </w:tcPr>
          <w:p w14:paraId="7AEAF161"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95.6</w:t>
            </w:r>
          </w:p>
        </w:tc>
      </w:tr>
      <w:tr w:rsidR="00A3021A" w:rsidRPr="00701439" w14:paraId="29342374" w14:textId="77777777">
        <w:trPr>
          <w:trHeight w:val="142"/>
        </w:trPr>
        <w:tc>
          <w:tcPr>
            <w:tcW w:w="4689" w:type="dxa"/>
            <w:vAlign w:val="bottom"/>
          </w:tcPr>
          <w:p w14:paraId="4FD5DF00" w14:textId="77777777" w:rsidR="00A3021A" w:rsidRPr="00701439" w:rsidRDefault="00A3021A">
            <w:pPr>
              <w:rPr>
                <w:rFonts w:asciiTheme="minorHAnsi" w:hAnsiTheme="minorHAnsi" w:cs="Arial"/>
                <w:sz w:val="20"/>
                <w:szCs w:val="20"/>
                <w:lang w:val="en-US"/>
              </w:rPr>
            </w:pPr>
            <w:proofErr w:type="spellStart"/>
            <w:r w:rsidRPr="00701439">
              <w:rPr>
                <w:rFonts w:asciiTheme="minorHAnsi" w:hAnsiTheme="minorHAnsi" w:cs="Arial"/>
                <w:sz w:val="20"/>
                <w:szCs w:val="20"/>
                <w:lang w:val="fr-FR"/>
              </w:rPr>
              <w:t>Current</w:t>
            </w:r>
            <w:proofErr w:type="spellEnd"/>
            <w:r w:rsidRPr="00701439">
              <w:rPr>
                <w:rFonts w:asciiTheme="minorHAnsi" w:hAnsiTheme="minorHAnsi" w:cs="Arial"/>
                <w:sz w:val="20"/>
                <w:szCs w:val="20"/>
                <w:lang w:val="fr-FR"/>
              </w:rPr>
              <w:t xml:space="preserve"> </w:t>
            </w:r>
            <w:proofErr w:type="spellStart"/>
            <w:r w:rsidRPr="00701439">
              <w:rPr>
                <w:rFonts w:asciiTheme="minorHAnsi" w:hAnsiTheme="minorHAnsi" w:cs="Arial"/>
                <w:sz w:val="20"/>
                <w:szCs w:val="20"/>
                <w:lang w:val="fr-FR"/>
              </w:rPr>
              <w:t>tax</w:t>
            </w:r>
            <w:proofErr w:type="spellEnd"/>
            <w:r w:rsidRPr="00701439">
              <w:rPr>
                <w:rFonts w:asciiTheme="minorHAnsi" w:hAnsiTheme="minorHAnsi" w:cs="Arial"/>
                <w:sz w:val="20"/>
                <w:szCs w:val="20"/>
                <w:lang w:val="fr-FR"/>
              </w:rPr>
              <w:t xml:space="preserve"> </w:t>
            </w:r>
            <w:proofErr w:type="spellStart"/>
            <w:r w:rsidRPr="00701439">
              <w:rPr>
                <w:rFonts w:asciiTheme="minorHAnsi" w:hAnsiTheme="minorHAnsi" w:cs="Arial"/>
                <w:sz w:val="20"/>
                <w:szCs w:val="20"/>
                <w:lang w:val="fr-FR"/>
              </w:rPr>
              <w:t>liabilities</w:t>
            </w:r>
            <w:proofErr w:type="spellEnd"/>
          </w:p>
        </w:tc>
        <w:tc>
          <w:tcPr>
            <w:tcW w:w="1407" w:type="dxa"/>
            <w:vAlign w:val="bottom"/>
          </w:tcPr>
          <w:p w14:paraId="5AD8EE72" w14:textId="77777777" w:rsidR="00A3021A" w:rsidRPr="00701439" w:rsidRDefault="00A3021A">
            <w:pPr>
              <w:jc w:val="right"/>
              <w:rPr>
                <w:rFonts w:asciiTheme="minorHAnsi" w:hAnsiTheme="minorHAnsi" w:cs="Arial"/>
                <w:sz w:val="20"/>
                <w:szCs w:val="20"/>
              </w:rPr>
            </w:pPr>
          </w:p>
        </w:tc>
        <w:tc>
          <w:tcPr>
            <w:tcW w:w="1701" w:type="dxa"/>
            <w:vAlign w:val="bottom"/>
          </w:tcPr>
          <w:p w14:paraId="4F407763"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c>
          <w:tcPr>
            <w:tcW w:w="1842" w:type="dxa"/>
            <w:vAlign w:val="bottom"/>
          </w:tcPr>
          <w:p w14:paraId="7730E0FC"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3.8</w:t>
            </w:r>
          </w:p>
        </w:tc>
      </w:tr>
      <w:tr w:rsidR="00A3021A" w:rsidRPr="00701439" w14:paraId="3E69D980" w14:textId="77777777">
        <w:trPr>
          <w:trHeight w:val="142"/>
        </w:trPr>
        <w:tc>
          <w:tcPr>
            <w:tcW w:w="4689" w:type="dxa"/>
            <w:vAlign w:val="bottom"/>
          </w:tcPr>
          <w:p w14:paraId="5040CF03" w14:textId="77777777" w:rsidR="00A3021A" w:rsidRPr="00701439" w:rsidRDefault="00A3021A">
            <w:pPr>
              <w:rPr>
                <w:rFonts w:asciiTheme="minorHAnsi" w:hAnsiTheme="minorHAnsi" w:cs="Arial"/>
                <w:sz w:val="20"/>
                <w:szCs w:val="20"/>
                <w:lang w:val="fr-FR"/>
              </w:rPr>
            </w:pPr>
            <w:r w:rsidRPr="00701439">
              <w:rPr>
                <w:rFonts w:asciiTheme="minorHAnsi" w:hAnsiTheme="minorHAnsi" w:cs="Arial"/>
                <w:sz w:val="20"/>
                <w:szCs w:val="20"/>
                <w:lang w:val="fr-FR"/>
              </w:rPr>
              <w:t>Provisions</w:t>
            </w:r>
          </w:p>
        </w:tc>
        <w:tc>
          <w:tcPr>
            <w:tcW w:w="1407" w:type="dxa"/>
            <w:vAlign w:val="bottom"/>
          </w:tcPr>
          <w:p w14:paraId="615296EE"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12</w:t>
            </w:r>
          </w:p>
        </w:tc>
        <w:tc>
          <w:tcPr>
            <w:tcW w:w="1701" w:type="dxa"/>
            <w:vAlign w:val="bottom"/>
          </w:tcPr>
          <w:p w14:paraId="3875176E"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5.2</w:t>
            </w:r>
          </w:p>
        </w:tc>
        <w:tc>
          <w:tcPr>
            <w:tcW w:w="1842" w:type="dxa"/>
            <w:vAlign w:val="bottom"/>
          </w:tcPr>
          <w:p w14:paraId="7F10B12C"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72.1</w:t>
            </w:r>
          </w:p>
        </w:tc>
      </w:tr>
      <w:tr w:rsidR="00A3021A" w:rsidRPr="00701439" w14:paraId="25314831" w14:textId="77777777">
        <w:trPr>
          <w:trHeight w:val="142"/>
        </w:trPr>
        <w:tc>
          <w:tcPr>
            <w:tcW w:w="4689" w:type="dxa"/>
            <w:vAlign w:val="bottom"/>
          </w:tcPr>
          <w:p w14:paraId="7DC9C85B" w14:textId="77777777" w:rsidR="00A3021A" w:rsidRPr="00701439" w:rsidRDefault="00A3021A">
            <w:pPr>
              <w:rPr>
                <w:rFonts w:asciiTheme="minorHAnsi" w:hAnsiTheme="minorHAnsi" w:cs="Arial"/>
                <w:sz w:val="20"/>
                <w:szCs w:val="20"/>
                <w:lang w:val="fr-FR"/>
              </w:rPr>
            </w:pPr>
            <w:r w:rsidRPr="00701439">
              <w:rPr>
                <w:rFonts w:asciiTheme="minorHAnsi" w:hAnsiTheme="minorHAnsi" w:cs="Arial"/>
                <w:sz w:val="20"/>
                <w:szCs w:val="20"/>
                <w:lang w:val="en-US"/>
              </w:rPr>
              <w:t>Lease liabilities</w:t>
            </w:r>
          </w:p>
        </w:tc>
        <w:tc>
          <w:tcPr>
            <w:tcW w:w="1407" w:type="dxa"/>
            <w:vAlign w:val="bottom"/>
          </w:tcPr>
          <w:p w14:paraId="4118487D" w14:textId="77777777" w:rsidR="00A3021A" w:rsidRPr="00701439" w:rsidRDefault="00A3021A">
            <w:pPr>
              <w:jc w:val="right"/>
              <w:rPr>
                <w:rFonts w:asciiTheme="minorHAnsi" w:hAnsiTheme="minorHAnsi" w:cs="Arial"/>
                <w:sz w:val="20"/>
                <w:szCs w:val="20"/>
              </w:rPr>
            </w:pPr>
          </w:p>
        </w:tc>
        <w:tc>
          <w:tcPr>
            <w:tcW w:w="1701" w:type="dxa"/>
            <w:vAlign w:val="bottom"/>
          </w:tcPr>
          <w:p w14:paraId="5BA1BFF2"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49.3</w:t>
            </w:r>
          </w:p>
        </w:tc>
        <w:tc>
          <w:tcPr>
            <w:tcW w:w="1842" w:type="dxa"/>
            <w:vAlign w:val="bottom"/>
          </w:tcPr>
          <w:p w14:paraId="674D8D44"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58.9</w:t>
            </w:r>
          </w:p>
        </w:tc>
      </w:tr>
      <w:tr w:rsidR="00A3021A" w:rsidRPr="00701439" w14:paraId="24162EC8" w14:textId="77777777">
        <w:trPr>
          <w:trHeight w:val="142"/>
        </w:trPr>
        <w:tc>
          <w:tcPr>
            <w:tcW w:w="4689" w:type="dxa"/>
            <w:vAlign w:val="bottom"/>
          </w:tcPr>
          <w:p w14:paraId="6EAB3526"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Retail deposits</w:t>
            </w:r>
          </w:p>
        </w:tc>
        <w:tc>
          <w:tcPr>
            <w:tcW w:w="1407" w:type="dxa"/>
            <w:vAlign w:val="bottom"/>
          </w:tcPr>
          <w:p w14:paraId="3922D93B" w14:textId="77777777" w:rsidR="00A3021A" w:rsidRPr="00701439" w:rsidRDefault="00A3021A">
            <w:pPr>
              <w:jc w:val="right"/>
              <w:rPr>
                <w:rFonts w:asciiTheme="minorHAnsi" w:hAnsiTheme="minorHAnsi" w:cs="Arial"/>
                <w:sz w:val="20"/>
                <w:szCs w:val="20"/>
              </w:rPr>
            </w:pPr>
          </w:p>
        </w:tc>
        <w:tc>
          <w:tcPr>
            <w:tcW w:w="1701" w:type="dxa"/>
            <w:vAlign w:val="bottom"/>
          </w:tcPr>
          <w:p w14:paraId="08F491F7" w14:textId="03730B90"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w:t>
            </w:r>
            <w:r w:rsidR="00324E2D" w:rsidRPr="00701439">
              <w:rPr>
                <w:rFonts w:asciiTheme="minorHAnsi" w:hAnsiTheme="minorHAnsi" w:cs="Arial"/>
                <w:sz w:val="20"/>
                <w:szCs w:val="20"/>
              </w:rPr>
              <w:t>100.6</w:t>
            </w:r>
          </w:p>
        </w:tc>
        <w:tc>
          <w:tcPr>
            <w:tcW w:w="1842" w:type="dxa"/>
            <w:vAlign w:val="bottom"/>
          </w:tcPr>
          <w:p w14:paraId="299068EE"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1,018.5</w:t>
            </w:r>
          </w:p>
        </w:tc>
      </w:tr>
      <w:tr w:rsidR="00A3021A" w:rsidRPr="00701439" w14:paraId="256EA373" w14:textId="77777777">
        <w:trPr>
          <w:trHeight w:val="142"/>
        </w:trPr>
        <w:tc>
          <w:tcPr>
            <w:tcW w:w="4689" w:type="dxa"/>
            <w:vAlign w:val="bottom"/>
          </w:tcPr>
          <w:p w14:paraId="020D6A9A"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Bank and other borrowings</w:t>
            </w:r>
          </w:p>
        </w:tc>
        <w:tc>
          <w:tcPr>
            <w:tcW w:w="1407" w:type="dxa"/>
            <w:vAlign w:val="bottom"/>
          </w:tcPr>
          <w:p w14:paraId="57BF5569" w14:textId="77777777" w:rsidR="00A3021A" w:rsidRPr="00701439" w:rsidRDefault="00A3021A">
            <w:pPr>
              <w:jc w:val="right"/>
              <w:rPr>
                <w:rFonts w:asciiTheme="minorHAnsi" w:hAnsiTheme="minorHAnsi" w:cs="Arial"/>
                <w:sz w:val="20"/>
                <w:szCs w:val="20"/>
              </w:rPr>
            </w:pPr>
          </w:p>
        </w:tc>
        <w:tc>
          <w:tcPr>
            <w:tcW w:w="1701" w:type="dxa"/>
            <w:vAlign w:val="bottom"/>
          </w:tcPr>
          <w:p w14:paraId="623C7137"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815.4</w:t>
            </w:r>
          </w:p>
        </w:tc>
        <w:tc>
          <w:tcPr>
            <w:tcW w:w="1842" w:type="dxa"/>
            <w:vAlign w:val="bottom"/>
          </w:tcPr>
          <w:p w14:paraId="43D0342E"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845.2</w:t>
            </w:r>
          </w:p>
        </w:tc>
      </w:tr>
      <w:tr w:rsidR="00A3021A" w:rsidRPr="00701439" w14:paraId="71C9206A" w14:textId="77777777">
        <w:trPr>
          <w:trHeight w:val="142"/>
        </w:trPr>
        <w:tc>
          <w:tcPr>
            <w:tcW w:w="4689" w:type="dxa"/>
            <w:vAlign w:val="bottom"/>
          </w:tcPr>
          <w:p w14:paraId="20814B58" w14:textId="77777777" w:rsidR="00A3021A" w:rsidRPr="00701439" w:rsidRDefault="00A3021A">
            <w:pPr>
              <w:rPr>
                <w:rFonts w:asciiTheme="minorHAnsi" w:hAnsiTheme="minorHAnsi" w:cs="Arial"/>
                <w:sz w:val="20"/>
                <w:szCs w:val="20"/>
                <w:lang w:val="en-US"/>
              </w:rPr>
            </w:pPr>
            <w:r w:rsidRPr="00701439">
              <w:rPr>
                <w:rFonts w:asciiTheme="minorHAnsi" w:hAnsiTheme="minorHAnsi" w:cs="Arial"/>
                <w:sz w:val="20"/>
                <w:szCs w:val="20"/>
                <w:lang w:val="en-US"/>
              </w:rPr>
              <w:t>Derivative financial instruments</w:t>
            </w:r>
          </w:p>
        </w:tc>
        <w:tc>
          <w:tcPr>
            <w:tcW w:w="1407" w:type="dxa"/>
            <w:vAlign w:val="bottom"/>
          </w:tcPr>
          <w:p w14:paraId="1B343D45" w14:textId="77777777" w:rsidR="00A3021A" w:rsidRPr="00701439" w:rsidRDefault="00A3021A">
            <w:pPr>
              <w:jc w:val="right"/>
              <w:rPr>
                <w:rFonts w:asciiTheme="minorHAnsi" w:hAnsiTheme="minorHAnsi" w:cs="Arial"/>
                <w:sz w:val="20"/>
                <w:szCs w:val="20"/>
              </w:rPr>
            </w:pPr>
          </w:p>
        </w:tc>
        <w:tc>
          <w:tcPr>
            <w:tcW w:w="1701" w:type="dxa"/>
            <w:vAlign w:val="bottom"/>
          </w:tcPr>
          <w:p w14:paraId="3E1F52CA"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15.3</w:t>
            </w:r>
          </w:p>
        </w:tc>
        <w:tc>
          <w:tcPr>
            <w:tcW w:w="1842" w:type="dxa"/>
            <w:vAlign w:val="bottom"/>
          </w:tcPr>
          <w:p w14:paraId="52B7D73D"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r>
      <w:tr w:rsidR="00A3021A" w:rsidRPr="00701439" w14:paraId="63BC49F1" w14:textId="77777777">
        <w:trPr>
          <w:trHeight w:val="142"/>
        </w:trPr>
        <w:tc>
          <w:tcPr>
            <w:tcW w:w="4689" w:type="dxa"/>
            <w:vAlign w:val="bottom"/>
          </w:tcPr>
          <w:p w14:paraId="4BED79DE" w14:textId="77777777" w:rsidR="00A3021A" w:rsidRPr="00701439" w:rsidRDefault="00A3021A">
            <w:pPr>
              <w:rPr>
                <w:rFonts w:asciiTheme="minorHAnsi" w:hAnsiTheme="minorHAnsi" w:cs="Arial"/>
                <w:b/>
                <w:sz w:val="20"/>
                <w:szCs w:val="20"/>
              </w:rPr>
            </w:pPr>
            <w:r w:rsidRPr="00701439">
              <w:rPr>
                <w:rFonts w:asciiTheme="minorHAnsi" w:hAnsiTheme="minorHAnsi" w:cs="Arial"/>
                <w:b/>
                <w:sz w:val="20"/>
                <w:szCs w:val="20"/>
              </w:rPr>
              <w:t>Total liabilities</w:t>
            </w:r>
          </w:p>
        </w:tc>
        <w:tc>
          <w:tcPr>
            <w:tcW w:w="1407" w:type="dxa"/>
            <w:vAlign w:val="bottom"/>
          </w:tcPr>
          <w:p w14:paraId="7069211F" w14:textId="77777777" w:rsidR="00A3021A" w:rsidRPr="00701439" w:rsidRDefault="00A3021A">
            <w:pPr>
              <w:jc w:val="right"/>
              <w:rPr>
                <w:rFonts w:asciiTheme="minorHAnsi" w:hAnsiTheme="minorHAnsi" w:cs="Arial"/>
                <w:sz w:val="20"/>
                <w:szCs w:val="20"/>
              </w:rPr>
            </w:pPr>
          </w:p>
        </w:tc>
        <w:tc>
          <w:tcPr>
            <w:tcW w:w="1701" w:type="dxa"/>
            <w:tcBorders>
              <w:top w:val="single" w:sz="4" w:space="0" w:color="auto"/>
              <w:left w:val="nil"/>
              <w:bottom w:val="single" w:sz="4" w:space="0" w:color="auto"/>
              <w:right w:val="nil"/>
            </w:tcBorders>
            <w:vAlign w:val="bottom"/>
          </w:tcPr>
          <w:p w14:paraId="0C289C8C"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2,048.6</w:t>
            </w:r>
          </w:p>
        </w:tc>
        <w:tc>
          <w:tcPr>
            <w:tcW w:w="1842" w:type="dxa"/>
            <w:tcBorders>
              <w:top w:val="single" w:sz="4" w:space="0" w:color="auto"/>
              <w:left w:val="nil"/>
              <w:bottom w:val="single" w:sz="4" w:space="0" w:color="auto"/>
              <w:right w:val="nil"/>
            </w:tcBorders>
            <w:vAlign w:val="bottom"/>
          </w:tcPr>
          <w:p w14:paraId="0D0A6B1F"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2,094.1</w:t>
            </w:r>
          </w:p>
        </w:tc>
      </w:tr>
      <w:tr w:rsidR="00A3021A" w:rsidRPr="00701439" w14:paraId="0411DD3F" w14:textId="77777777">
        <w:trPr>
          <w:trHeight w:val="142"/>
        </w:trPr>
        <w:tc>
          <w:tcPr>
            <w:tcW w:w="4689" w:type="dxa"/>
            <w:vAlign w:val="bottom"/>
          </w:tcPr>
          <w:p w14:paraId="496D9FE8" w14:textId="77777777" w:rsidR="00A3021A" w:rsidRPr="00701439" w:rsidRDefault="00A3021A">
            <w:pPr>
              <w:rPr>
                <w:rFonts w:asciiTheme="minorHAnsi" w:hAnsiTheme="minorHAnsi" w:cs="Arial"/>
                <w:b/>
                <w:sz w:val="20"/>
                <w:szCs w:val="20"/>
              </w:rPr>
            </w:pPr>
            <w:r w:rsidRPr="00701439">
              <w:rPr>
                <w:rFonts w:asciiTheme="minorHAnsi" w:hAnsiTheme="minorHAnsi" w:cs="Arial"/>
                <w:b/>
                <w:sz w:val="20"/>
                <w:szCs w:val="20"/>
              </w:rPr>
              <w:t>Equity attributable to owners of the parent</w:t>
            </w:r>
          </w:p>
        </w:tc>
        <w:tc>
          <w:tcPr>
            <w:tcW w:w="1407" w:type="dxa"/>
            <w:vAlign w:val="bottom"/>
          </w:tcPr>
          <w:p w14:paraId="0D9C5CB4" w14:textId="77777777" w:rsidR="00A3021A" w:rsidRPr="00701439" w:rsidRDefault="00A3021A">
            <w:pPr>
              <w:jc w:val="right"/>
              <w:rPr>
                <w:rFonts w:asciiTheme="minorHAnsi" w:hAnsiTheme="minorHAnsi" w:cs="Arial"/>
                <w:sz w:val="20"/>
                <w:szCs w:val="20"/>
              </w:rPr>
            </w:pPr>
          </w:p>
        </w:tc>
        <w:tc>
          <w:tcPr>
            <w:tcW w:w="1701" w:type="dxa"/>
            <w:vAlign w:val="bottom"/>
          </w:tcPr>
          <w:p w14:paraId="429D1B90" w14:textId="77777777" w:rsidR="00A3021A" w:rsidRPr="00701439" w:rsidRDefault="00A3021A">
            <w:pPr>
              <w:jc w:val="right"/>
              <w:rPr>
                <w:rFonts w:asciiTheme="minorHAnsi" w:hAnsiTheme="minorHAnsi" w:cs="Arial"/>
                <w:sz w:val="20"/>
                <w:szCs w:val="20"/>
              </w:rPr>
            </w:pPr>
          </w:p>
        </w:tc>
        <w:tc>
          <w:tcPr>
            <w:tcW w:w="1842" w:type="dxa"/>
            <w:vAlign w:val="bottom"/>
          </w:tcPr>
          <w:p w14:paraId="203749AB" w14:textId="77777777" w:rsidR="00A3021A" w:rsidRPr="00701439" w:rsidRDefault="00A3021A">
            <w:pPr>
              <w:jc w:val="right"/>
              <w:rPr>
                <w:rFonts w:asciiTheme="minorHAnsi" w:hAnsiTheme="minorHAnsi" w:cs="Arial"/>
                <w:sz w:val="20"/>
                <w:szCs w:val="20"/>
              </w:rPr>
            </w:pPr>
          </w:p>
        </w:tc>
      </w:tr>
      <w:tr w:rsidR="00A3021A" w:rsidRPr="00701439" w14:paraId="56B41650" w14:textId="77777777">
        <w:trPr>
          <w:trHeight w:val="142"/>
        </w:trPr>
        <w:tc>
          <w:tcPr>
            <w:tcW w:w="4689" w:type="dxa"/>
            <w:vAlign w:val="bottom"/>
          </w:tcPr>
          <w:p w14:paraId="3C616F3C"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Share capital</w:t>
            </w:r>
          </w:p>
        </w:tc>
        <w:tc>
          <w:tcPr>
            <w:tcW w:w="1407" w:type="dxa"/>
            <w:vAlign w:val="bottom"/>
          </w:tcPr>
          <w:p w14:paraId="00F5373A" w14:textId="77777777" w:rsidR="00A3021A" w:rsidRPr="00701439" w:rsidRDefault="00A3021A">
            <w:pPr>
              <w:jc w:val="right"/>
              <w:rPr>
                <w:rFonts w:asciiTheme="minorHAnsi" w:hAnsiTheme="minorHAnsi" w:cs="Arial"/>
                <w:sz w:val="20"/>
                <w:szCs w:val="20"/>
              </w:rPr>
            </w:pPr>
          </w:p>
        </w:tc>
        <w:tc>
          <w:tcPr>
            <w:tcW w:w="1701" w:type="dxa"/>
            <w:vAlign w:val="bottom"/>
          </w:tcPr>
          <w:p w14:paraId="5A546B29"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52.6</w:t>
            </w:r>
          </w:p>
        </w:tc>
        <w:tc>
          <w:tcPr>
            <w:tcW w:w="1842" w:type="dxa"/>
            <w:vAlign w:val="bottom"/>
          </w:tcPr>
          <w:p w14:paraId="739FDB7C"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52.6</w:t>
            </w:r>
          </w:p>
        </w:tc>
      </w:tr>
      <w:tr w:rsidR="00A3021A" w:rsidRPr="00701439" w14:paraId="3C94BF07" w14:textId="77777777">
        <w:trPr>
          <w:trHeight w:val="142"/>
        </w:trPr>
        <w:tc>
          <w:tcPr>
            <w:tcW w:w="4689" w:type="dxa"/>
            <w:vAlign w:val="bottom"/>
          </w:tcPr>
          <w:p w14:paraId="55C8D50D"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Share premium</w:t>
            </w:r>
          </w:p>
        </w:tc>
        <w:tc>
          <w:tcPr>
            <w:tcW w:w="1407" w:type="dxa"/>
            <w:vAlign w:val="bottom"/>
          </w:tcPr>
          <w:p w14:paraId="14A23356" w14:textId="77777777" w:rsidR="00A3021A" w:rsidRPr="00701439" w:rsidRDefault="00A3021A">
            <w:pPr>
              <w:jc w:val="right"/>
              <w:rPr>
                <w:rFonts w:asciiTheme="minorHAnsi" w:hAnsiTheme="minorHAnsi" w:cs="Arial"/>
                <w:sz w:val="20"/>
                <w:szCs w:val="20"/>
              </w:rPr>
            </w:pPr>
          </w:p>
        </w:tc>
        <w:tc>
          <w:tcPr>
            <w:tcW w:w="1701" w:type="dxa"/>
            <w:vAlign w:val="bottom"/>
          </w:tcPr>
          <w:p w14:paraId="2D981507"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273.5</w:t>
            </w:r>
          </w:p>
        </w:tc>
        <w:tc>
          <w:tcPr>
            <w:tcW w:w="1842" w:type="dxa"/>
            <w:vAlign w:val="bottom"/>
          </w:tcPr>
          <w:p w14:paraId="3E6B7C85"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273.3</w:t>
            </w:r>
          </w:p>
        </w:tc>
      </w:tr>
      <w:tr w:rsidR="00A3021A" w:rsidRPr="00701439" w14:paraId="597C0A6B" w14:textId="77777777">
        <w:trPr>
          <w:trHeight w:val="209"/>
        </w:trPr>
        <w:tc>
          <w:tcPr>
            <w:tcW w:w="4689" w:type="dxa"/>
            <w:vAlign w:val="bottom"/>
          </w:tcPr>
          <w:p w14:paraId="317138AD"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Merger reserves</w:t>
            </w:r>
          </w:p>
        </w:tc>
        <w:tc>
          <w:tcPr>
            <w:tcW w:w="1407" w:type="dxa"/>
            <w:vAlign w:val="bottom"/>
          </w:tcPr>
          <w:p w14:paraId="5F98031D" w14:textId="77777777" w:rsidR="00A3021A" w:rsidRPr="00701439" w:rsidRDefault="00A3021A">
            <w:pPr>
              <w:jc w:val="right"/>
              <w:rPr>
                <w:rFonts w:asciiTheme="minorHAnsi" w:hAnsiTheme="minorHAnsi" w:cs="Arial"/>
                <w:sz w:val="20"/>
                <w:szCs w:val="20"/>
              </w:rPr>
            </w:pPr>
          </w:p>
        </w:tc>
        <w:tc>
          <w:tcPr>
            <w:tcW w:w="1701" w:type="dxa"/>
            <w:vAlign w:val="bottom"/>
          </w:tcPr>
          <w:p w14:paraId="65BC4733"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278.2</w:t>
            </w:r>
          </w:p>
        </w:tc>
        <w:tc>
          <w:tcPr>
            <w:tcW w:w="1842" w:type="dxa"/>
            <w:vAlign w:val="bottom"/>
          </w:tcPr>
          <w:p w14:paraId="03045D4D" w14:textId="77777777" w:rsidR="00A3021A" w:rsidRPr="00701439" w:rsidRDefault="00A3021A">
            <w:pPr>
              <w:jc w:val="center"/>
              <w:rPr>
                <w:rFonts w:asciiTheme="minorHAnsi" w:hAnsiTheme="minorHAnsi" w:cs="Arial"/>
                <w:sz w:val="20"/>
                <w:szCs w:val="20"/>
              </w:rPr>
            </w:pPr>
            <w:r w:rsidRPr="00701439">
              <w:rPr>
                <w:rFonts w:asciiTheme="minorHAnsi" w:hAnsiTheme="minorHAnsi" w:cs="Arial"/>
                <w:sz w:val="20"/>
                <w:szCs w:val="20"/>
              </w:rPr>
              <w:t xml:space="preserve">                         278.2</w:t>
            </w:r>
          </w:p>
        </w:tc>
      </w:tr>
      <w:tr w:rsidR="00A3021A" w:rsidRPr="00701439" w14:paraId="50C469C2" w14:textId="77777777">
        <w:trPr>
          <w:trHeight w:val="142"/>
        </w:trPr>
        <w:tc>
          <w:tcPr>
            <w:tcW w:w="4689" w:type="dxa"/>
            <w:vAlign w:val="bottom"/>
          </w:tcPr>
          <w:p w14:paraId="06A8949A"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Other reserves</w:t>
            </w:r>
          </w:p>
        </w:tc>
        <w:tc>
          <w:tcPr>
            <w:tcW w:w="1407" w:type="dxa"/>
            <w:vAlign w:val="bottom"/>
          </w:tcPr>
          <w:p w14:paraId="0C598761" w14:textId="77777777" w:rsidR="00A3021A" w:rsidRPr="00701439" w:rsidRDefault="00A3021A">
            <w:pPr>
              <w:jc w:val="right"/>
              <w:rPr>
                <w:rFonts w:asciiTheme="minorHAnsi" w:hAnsiTheme="minorHAnsi" w:cs="Arial"/>
                <w:sz w:val="20"/>
                <w:szCs w:val="20"/>
              </w:rPr>
            </w:pPr>
          </w:p>
        </w:tc>
        <w:tc>
          <w:tcPr>
            <w:tcW w:w="1701" w:type="dxa"/>
            <w:vAlign w:val="bottom"/>
          </w:tcPr>
          <w:p w14:paraId="61AB46E3"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12.4</w:t>
            </w:r>
          </w:p>
        </w:tc>
        <w:tc>
          <w:tcPr>
            <w:tcW w:w="1842" w:type="dxa"/>
            <w:vAlign w:val="bottom"/>
          </w:tcPr>
          <w:p w14:paraId="02CB6A94"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9.8</w:t>
            </w:r>
          </w:p>
        </w:tc>
      </w:tr>
      <w:tr w:rsidR="00A3021A" w:rsidRPr="00701439" w14:paraId="1D7C0842" w14:textId="77777777">
        <w:trPr>
          <w:trHeight w:val="142"/>
        </w:trPr>
        <w:tc>
          <w:tcPr>
            <w:tcW w:w="4689" w:type="dxa"/>
            <w:vAlign w:val="bottom"/>
          </w:tcPr>
          <w:p w14:paraId="1A1A27F3"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Retained earnings</w:t>
            </w:r>
          </w:p>
        </w:tc>
        <w:tc>
          <w:tcPr>
            <w:tcW w:w="1407" w:type="dxa"/>
            <w:vAlign w:val="bottom"/>
          </w:tcPr>
          <w:p w14:paraId="787B520B" w14:textId="77777777" w:rsidR="00A3021A" w:rsidRPr="00701439" w:rsidRDefault="00A3021A">
            <w:pPr>
              <w:jc w:val="right"/>
              <w:rPr>
                <w:rFonts w:asciiTheme="minorHAnsi" w:hAnsiTheme="minorHAnsi" w:cs="Arial"/>
                <w:sz w:val="20"/>
                <w:szCs w:val="20"/>
              </w:rPr>
            </w:pPr>
          </w:p>
        </w:tc>
        <w:tc>
          <w:tcPr>
            <w:tcW w:w="1701" w:type="dxa"/>
            <w:tcBorders>
              <w:top w:val="nil"/>
              <w:left w:val="nil"/>
              <w:bottom w:val="single" w:sz="4" w:space="0" w:color="auto"/>
              <w:right w:val="nil"/>
            </w:tcBorders>
            <w:vAlign w:val="bottom"/>
          </w:tcPr>
          <w:p w14:paraId="2E0755C0"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(9.5)</w:t>
            </w:r>
          </w:p>
        </w:tc>
        <w:tc>
          <w:tcPr>
            <w:tcW w:w="1842" w:type="dxa"/>
            <w:tcBorders>
              <w:top w:val="nil"/>
              <w:left w:val="nil"/>
              <w:bottom w:val="single" w:sz="4" w:space="0" w:color="auto"/>
              <w:right w:val="nil"/>
            </w:tcBorders>
            <w:vAlign w:val="bottom"/>
          </w:tcPr>
          <w:p w14:paraId="6A717400"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17.3</w:t>
            </w:r>
          </w:p>
        </w:tc>
      </w:tr>
      <w:tr w:rsidR="00A3021A" w:rsidRPr="00701439" w14:paraId="263B0CEA" w14:textId="77777777">
        <w:trPr>
          <w:trHeight w:val="142"/>
        </w:trPr>
        <w:tc>
          <w:tcPr>
            <w:tcW w:w="4689" w:type="dxa"/>
            <w:vAlign w:val="bottom"/>
          </w:tcPr>
          <w:p w14:paraId="3A5580CD" w14:textId="77777777" w:rsidR="00A3021A" w:rsidRPr="00701439" w:rsidRDefault="00A3021A">
            <w:pPr>
              <w:rPr>
                <w:rFonts w:asciiTheme="minorHAnsi" w:hAnsiTheme="minorHAnsi" w:cs="Arial"/>
                <w:b/>
                <w:sz w:val="20"/>
                <w:szCs w:val="20"/>
              </w:rPr>
            </w:pPr>
            <w:r w:rsidRPr="00701439">
              <w:rPr>
                <w:rFonts w:asciiTheme="minorHAnsi" w:hAnsiTheme="minorHAnsi" w:cs="Arial"/>
                <w:b/>
                <w:sz w:val="20"/>
                <w:szCs w:val="20"/>
              </w:rPr>
              <w:t>Total equity</w:t>
            </w:r>
          </w:p>
        </w:tc>
        <w:tc>
          <w:tcPr>
            <w:tcW w:w="1407" w:type="dxa"/>
            <w:vAlign w:val="bottom"/>
          </w:tcPr>
          <w:p w14:paraId="7D3B147B"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3</w:t>
            </w:r>
          </w:p>
        </w:tc>
        <w:tc>
          <w:tcPr>
            <w:tcW w:w="1701" w:type="dxa"/>
            <w:tcBorders>
              <w:left w:val="nil"/>
              <w:bottom w:val="single" w:sz="4" w:space="0" w:color="auto"/>
              <w:right w:val="nil"/>
            </w:tcBorders>
            <w:vAlign w:val="bottom"/>
          </w:tcPr>
          <w:p w14:paraId="5E8DB4FB"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607.2</w:t>
            </w:r>
          </w:p>
        </w:tc>
        <w:tc>
          <w:tcPr>
            <w:tcW w:w="1842" w:type="dxa"/>
            <w:tcBorders>
              <w:left w:val="nil"/>
              <w:bottom w:val="single" w:sz="4" w:space="0" w:color="auto"/>
              <w:right w:val="nil"/>
            </w:tcBorders>
            <w:vAlign w:val="bottom"/>
          </w:tcPr>
          <w:p w14:paraId="7D64FC96"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631.2</w:t>
            </w:r>
          </w:p>
        </w:tc>
      </w:tr>
      <w:tr w:rsidR="00A3021A" w:rsidRPr="00701439" w14:paraId="60513FC4" w14:textId="77777777">
        <w:trPr>
          <w:trHeight w:val="142"/>
        </w:trPr>
        <w:tc>
          <w:tcPr>
            <w:tcW w:w="4689" w:type="dxa"/>
            <w:vAlign w:val="bottom"/>
          </w:tcPr>
          <w:p w14:paraId="426B41C0" w14:textId="77777777" w:rsidR="00A3021A" w:rsidRPr="00701439" w:rsidRDefault="00A3021A">
            <w:pPr>
              <w:rPr>
                <w:rFonts w:asciiTheme="minorHAnsi" w:hAnsiTheme="minorHAnsi" w:cs="Arial"/>
                <w:b/>
                <w:sz w:val="20"/>
                <w:szCs w:val="20"/>
              </w:rPr>
            </w:pPr>
            <w:r w:rsidRPr="00701439">
              <w:rPr>
                <w:rFonts w:asciiTheme="minorHAnsi" w:hAnsiTheme="minorHAnsi" w:cs="Arial"/>
                <w:b/>
                <w:sz w:val="20"/>
                <w:szCs w:val="20"/>
              </w:rPr>
              <w:t>TOTAL LIABILITIES AND EQUITY</w:t>
            </w:r>
          </w:p>
        </w:tc>
        <w:tc>
          <w:tcPr>
            <w:tcW w:w="1407" w:type="dxa"/>
            <w:vAlign w:val="bottom"/>
          </w:tcPr>
          <w:p w14:paraId="27C64D4D" w14:textId="77777777" w:rsidR="00A3021A" w:rsidRPr="00701439" w:rsidRDefault="00A3021A">
            <w:pPr>
              <w:jc w:val="right"/>
              <w:rPr>
                <w:rFonts w:asciiTheme="minorHAnsi" w:hAnsiTheme="minorHAnsi" w:cs="Arial"/>
                <w:sz w:val="20"/>
                <w:szCs w:val="20"/>
              </w:rPr>
            </w:pPr>
          </w:p>
        </w:tc>
        <w:tc>
          <w:tcPr>
            <w:tcW w:w="1701" w:type="dxa"/>
            <w:tcBorders>
              <w:top w:val="single" w:sz="4" w:space="0" w:color="auto"/>
              <w:left w:val="nil"/>
              <w:bottom w:val="single" w:sz="4" w:space="0" w:color="auto"/>
              <w:right w:val="nil"/>
            </w:tcBorders>
            <w:vAlign w:val="bottom"/>
          </w:tcPr>
          <w:p w14:paraId="7D9041AF"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2,655.8</w:t>
            </w:r>
          </w:p>
        </w:tc>
        <w:tc>
          <w:tcPr>
            <w:tcW w:w="1842" w:type="dxa"/>
            <w:tcBorders>
              <w:top w:val="single" w:sz="4" w:space="0" w:color="auto"/>
              <w:left w:val="nil"/>
              <w:bottom w:val="single" w:sz="4" w:space="0" w:color="auto"/>
              <w:right w:val="nil"/>
            </w:tcBorders>
            <w:vAlign w:val="bottom"/>
          </w:tcPr>
          <w:p w14:paraId="2234D80D"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2,725.3</w:t>
            </w:r>
          </w:p>
        </w:tc>
      </w:tr>
    </w:tbl>
    <w:p w14:paraId="28082243" w14:textId="77777777" w:rsidR="00A3021A" w:rsidRPr="00701439" w:rsidRDefault="00A3021A" w:rsidP="00A3021A">
      <w:pPr>
        <w:jc w:val="both"/>
        <w:rPr>
          <w:rFonts w:asciiTheme="minorHAnsi" w:hAnsiTheme="minorHAnsi" w:cs="Arial"/>
          <w:b/>
          <w:sz w:val="20"/>
          <w:szCs w:val="20"/>
        </w:rPr>
      </w:pPr>
    </w:p>
    <w:p w14:paraId="5B1738EF" w14:textId="77777777" w:rsidR="00A3021A" w:rsidRPr="00701439" w:rsidRDefault="00A3021A" w:rsidP="00A3021A">
      <w:pPr>
        <w:tabs>
          <w:tab w:val="left" w:pos="5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b/>
          <w:color w:val="4747FF"/>
          <w:sz w:val="22"/>
          <w:szCs w:val="22"/>
        </w:rPr>
      </w:pPr>
      <w:r w:rsidRPr="00701439">
        <w:rPr>
          <w:rFonts w:asciiTheme="minorHAnsi" w:hAnsiTheme="minorHAnsi" w:cs="Arial"/>
          <w:b/>
          <w:color w:val="4747FF"/>
          <w:sz w:val="22"/>
          <w:szCs w:val="22"/>
        </w:rPr>
        <w:br w:type="page"/>
      </w:r>
      <w:r w:rsidRPr="00701439">
        <w:rPr>
          <w:rFonts w:asciiTheme="minorHAnsi" w:hAnsiTheme="minorHAnsi" w:cs="Arial"/>
          <w:b/>
          <w:color w:val="4747FF"/>
          <w:sz w:val="22"/>
          <w:szCs w:val="22"/>
        </w:rPr>
        <w:lastRenderedPageBreak/>
        <w:t>Consolidated statement of changes in shareholders’ equity</w:t>
      </w:r>
    </w:p>
    <w:p w14:paraId="24F00570" w14:textId="77777777" w:rsidR="00A3021A" w:rsidRPr="00701439" w:rsidRDefault="00A3021A" w:rsidP="00A3021A">
      <w:pPr>
        <w:tabs>
          <w:tab w:val="left" w:pos="5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b/>
          <w:sz w:val="20"/>
          <w:szCs w:val="20"/>
        </w:rPr>
      </w:pPr>
    </w:p>
    <w:tbl>
      <w:tblPr>
        <w:tblW w:w="10466" w:type="dxa"/>
        <w:tblLayout w:type="fixed"/>
        <w:tblLook w:val="0000" w:firstRow="0" w:lastRow="0" w:firstColumn="0" w:lastColumn="0" w:noHBand="0" w:noVBand="0"/>
      </w:tblPr>
      <w:tblGrid>
        <w:gridCol w:w="4962"/>
        <w:gridCol w:w="850"/>
        <w:gridCol w:w="984"/>
        <w:gridCol w:w="859"/>
        <w:gridCol w:w="992"/>
        <w:gridCol w:w="1033"/>
        <w:gridCol w:w="786"/>
      </w:tblGrid>
      <w:tr w:rsidR="00A3021A" w:rsidRPr="00701439" w14:paraId="1D4F864C" w14:textId="77777777">
        <w:trPr>
          <w:trHeight w:val="966"/>
        </w:trPr>
        <w:tc>
          <w:tcPr>
            <w:tcW w:w="4962" w:type="dxa"/>
          </w:tcPr>
          <w:p w14:paraId="270D60A5" w14:textId="77777777" w:rsidR="00A3021A" w:rsidRPr="00701439" w:rsidRDefault="00A3021A">
            <w:pPr>
              <w:rPr>
                <w:rFonts w:asciiTheme="minorHAnsi" w:hAnsiTheme="minorHAnsi" w:cs="Arial"/>
                <w:sz w:val="20"/>
                <w:szCs w:val="20"/>
              </w:rPr>
            </w:pPr>
          </w:p>
        </w:tc>
        <w:tc>
          <w:tcPr>
            <w:tcW w:w="850" w:type="dxa"/>
            <w:tcBorders>
              <w:top w:val="nil"/>
              <w:left w:val="nil"/>
              <w:bottom w:val="single" w:sz="4" w:space="0" w:color="auto"/>
              <w:right w:val="nil"/>
            </w:tcBorders>
          </w:tcPr>
          <w:p w14:paraId="4741744E"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Share </w:t>
            </w:r>
          </w:p>
          <w:p w14:paraId="3517B06C"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capital </w:t>
            </w:r>
          </w:p>
          <w:p w14:paraId="68D80223" w14:textId="77777777" w:rsidR="00A3021A" w:rsidRPr="00701439" w:rsidRDefault="00A3021A">
            <w:pPr>
              <w:jc w:val="right"/>
              <w:rPr>
                <w:rFonts w:asciiTheme="minorHAnsi" w:hAnsiTheme="minorHAnsi" w:cs="Arial"/>
                <w:sz w:val="20"/>
                <w:szCs w:val="20"/>
              </w:rPr>
            </w:pPr>
          </w:p>
          <w:p w14:paraId="41D6EFED"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£m </w:t>
            </w:r>
          </w:p>
        </w:tc>
        <w:tc>
          <w:tcPr>
            <w:tcW w:w="984" w:type="dxa"/>
            <w:tcBorders>
              <w:top w:val="nil"/>
              <w:left w:val="nil"/>
              <w:bottom w:val="single" w:sz="4" w:space="0" w:color="auto"/>
              <w:right w:val="nil"/>
            </w:tcBorders>
          </w:tcPr>
          <w:p w14:paraId="6DBF308F"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Share </w:t>
            </w:r>
          </w:p>
          <w:p w14:paraId="5AB6D981"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premium </w:t>
            </w:r>
          </w:p>
          <w:p w14:paraId="33C317EF"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 xml:space="preserve">          £m </w:t>
            </w:r>
          </w:p>
        </w:tc>
        <w:tc>
          <w:tcPr>
            <w:tcW w:w="859" w:type="dxa"/>
            <w:tcBorders>
              <w:top w:val="nil"/>
              <w:left w:val="nil"/>
              <w:bottom w:val="single" w:sz="4" w:space="0" w:color="auto"/>
              <w:right w:val="nil"/>
            </w:tcBorders>
          </w:tcPr>
          <w:p w14:paraId="5E79FF25"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Merger reserve</w:t>
            </w:r>
          </w:p>
          <w:p w14:paraId="093E07AF" w14:textId="77777777" w:rsidR="00A3021A" w:rsidRPr="00701439" w:rsidRDefault="00A3021A">
            <w:pPr>
              <w:rPr>
                <w:rFonts w:asciiTheme="minorHAnsi" w:hAnsiTheme="minorHAnsi" w:cs="Arial"/>
                <w:sz w:val="20"/>
                <w:szCs w:val="20"/>
              </w:rPr>
            </w:pPr>
          </w:p>
          <w:p w14:paraId="2BB984DD"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 xml:space="preserve">        £m</w:t>
            </w:r>
          </w:p>
        </w:tc>
        <w:tc>
          <w:tcPr>
            <w:tcW w:w="992" w:type="dxa"/>
            <w:tcBorders>
              <w:top w:val="nil"/>
              <w:left w:val="nil"/>
              <w:bottom w:val="single" w:sz="4" w:space="0" w:color="auto"/>
              <w:right w:val="nil"/>
            </w:tcBorders>
          </w:tcPr>
          <w:p w14:paraId="072AE649"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Other </w:t>
            </w:r>
          </w:p>
          <w:p w14:paraId="13D12363"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reserves </w:t>
            </w:r>
          </w:p>
          <w:p w14:paraId="59474E87" w14:textId="77777777" w:rsidR="00A3021A" w:rsidRPr="00701439" w:rsidRDefault="00A3021A">
            <w:pPr>
              <w:jc w:val="right"/>
              <w:rPr>
                <w:rFonts w:asciiTheme="minorHAnsi" w:hAnsiTheme="minorHAnsi" w:cs="Arial"/>
                <w:sz w:val="20"/>
                <w:szCs w:val="20"/>
              </w:rPr>
            </w:pPr>
          </w:p>
          <w:p w14:paraId="1F9C6869"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£m </w:t>
            </w:r>
          </w:p>
        </w:tc>
        <w:tc>
          <w:tcPr>
            <w:tcW w:w="1033" w:type="dxa"/>
            <w:tcBorders>
              <w:top w:val="nil"/>
              <w:left w:val="nil"/>
              <w:bottom w:val="single" w:sz="4" w:space="0" w:color="auto"/>
              <w:right w:val="nil"/>
            </w:tcBorders>
          </w:tcPr>
          <w:p w14:paraId="4E5E560A"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Retained </w:t>
            </w:r>
          </w:p>
          <w:p w14:paraId="1417ABEE"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earnings</w:t>
            </w:r>
          </w:p>
          <w:p w14:paraId="6B2B8B52" w14:textId="77777777" w:rsidR="00A3021A" w:rsidRPr="00701439" w:rsidRDefault="00A3021A">
            <w:pPr>
              <w:rPr>
                <w:rFonts w:asciiTheme="minorHAnsi" w:hAnsiTheme="minorHAnsi" w:cs="Arial"/>
                <w:sz w:val="20"/>
                <w:szCs w:val="20"/>
              </w:rPr>
            </w:pPr>
          </w:p>
          <w:p w14:paraId="008CBC08"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£m </w:t>
            </w:r>
          </w:p>
        </w:tc>
        <w:tc>
          <w:tcPr>
            <w:tcW w:w="786" w:type="dxa"/>
            <w:tcBorders>
              <w:top w:val="nil"/>
              <w:left w:val="nil"/>
              <w:bottom w:val="single" w:sz="4" w:space="0" w:color="auto"/>
              <w:right w:val="nil"/>
            </w:tcBorders>
          </w:tcPr>
          <w:p w14:paraId="32164078" w14:textId="77777777" w:rsidR="00A3021A" w:rsidRPr="00701439" w:rsidRDefault="00A3021A">
            <w:pPr>
              <w:jc w:val="right"/>
              <w:rPr>
                <w:rFonts w:asciiTheme="minorHAnsi" w:hAnsiTheme="minorHAnsi" w:cs="Arial"/>
                <w:sz w:val="20"/>
                <w:szCs w:val="20"/>
              </w:rPr>
            </w:pPr>
          </w:p>
          <w:p w14:paraId="1AB412F7"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Total </w:t>
            </w:r>
          </w:p>
          <w:p w14:paraId="094844C5" w14:textId="77777777" w:rsidR="00A3021A" w:rsidRPr="00701439" w:rsidRDefault="00A3021A">
            <w:pPr>
              <w:jc w:val="right"/>
              <w:rPr>
                <w:rFonts w:asciiTheme="minorHAnsi" w:hAnsiTheme="minorHAnsi" w:cs="Arial"/>
                <w:sz w:val="20"/>
                <w:szCs w:val="20"/>
              </w:rPr>
            </w:pPr>
          </w:p>
          <w:p w14:paraId="3482E9C9"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£m </w:t>
            </w:r>
          </w:p>
        </w:tc>
      </w:tr>
      <w:tr w:rsidR="00A3021A" w:rsidRPr="00701439" w14:paraId="1E59F0AF" w14:textId="77777777">
        <w:trPr>
          <w:trHeight w:val="238"/>
        </w:trPr>
        <w:tc>
          <w:tcPr>
            <w:tcW w:w="4962" w:type="dxa"/>
            <w:vAlign w:val="bottom"/>
          </w:tcPr>
          <w:p w14:paraId="0EDFCB45" w14:textId="77777777" w:rsidR="00A3021A" w:rsidRPr="00701439" w:rsidRDefault="00A3021A">
            <w:pPr>
              <w:rPr>
                <w:rFonts w:asciiTheme="minorHAnsi" w:hAnsiTheme="minorHAnsi" w:cs="Arial"/>
                <w:b/>
                <w:sz w:val="20"/>
                <w:szCs w:val="20"/>
              </w:rPr>
            </w:pPr>
            <w:proofErr w:type="gramStart"/>
            <w:r w:rsidRPr="00701439">
              <w:rPr>
                <w:rFonts w:asciiTheme="minorHAnsi" w:hAnsiTheme="minorHAnsi" w:cs="Arial"/>
                <w:b/>
                <w:sz w:val="20"/>
                <w:szCs w:val="20"/>
              </w:rPr>
              <w:t>At</w:t>
            </w:r>
            <w:proofErr w:type="gramEnd"/>
            <w:r w:rsidRPr="00701439">
              <w:rPr>
                <w:rFonts w:asciiTheme="minorHAnsi" w:hAnsiTheme="minorHAnsi" w:cs="Arial"/>
                <w:b/>
                <w:sz w:val="20"/>
                <w:szCs w:val="20"/>
              </w:rPr>
              <w:t xml:space="preserve"> 1 January 2021</w:t>
            </w:r>
          </w:p>
        </w:tc>
        <w:tc>
          <w:tcPr>
            <w:tcW w:w="850" w:type="dxa"/>
            <w:tcBorders>
              <w:top w:val="single" w:sz="4" w:space="0" w:color="auto"/>
              <w:left w:val="nil"/>
              <w:bottom w:val="single" w:sz="4" w:space="0" w:color="auto"/>
              <w:right w:val="nil"/>
            </w:tcBorders>
            <w:vAlign w:val="bottom"/>
          </w:tcPr>
          <w:p w14:paraId="3A85D3FF"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52.6</w:t>
            </w:r>
          </w:p>
        </w:tc>
        <w:tc>
          <w:tcPr>
            <w:tcW w:w="984" w:type="dxa"/>
            <w:tcBorders>
              <w:top w:val="single" w:sz="4" w:space="0" w:color="auto"/>
              <w:left w:val="nil"/>
              <w:bottom w:val="single" w:sz="4" w:space="0" w:color="auto"/>
              <w:right w:val="nil"/>
            </w:tcBorders>
            <w:vAlign w:val="bottom"/>
          </w:tcPr>
          <w:p w14:paraId="3B22A921"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273.2</w:t>
            </w:r>
          </w:p>
        </w:tc>
        <w:tc>
          <w:tcPr>
            <w:tcW w:w="859" w:type="dxa"/>
            <w:tcBorders>
              <w:top w:val="single" w:sz="4" w:space="0" w:color="auto"/>
              <w:left w:val="nil"/>
              <w:bottom w:val="single" w:sz="4" w:space="0" w:color="auto"/>
              <w:right w:val="nil"/>
            </w:tcBorders>
          </w:tcPr>
          <w:p w14:paraId="3BBF1DB9"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278.2</w:t>
            </w:r>
          </w:p>
        </w:tc>
        <w:tc>
          <w:tcPr>
            <w:tcW w:w="992" w:type="dxa"/>
            <w:tcBorders>
              <w:top w:val="single" w:sz="4" w:space="0" w:color="auto"/>
              <w:left w:val="nil"/>
              <w:bottom w:val="single" w:sz="4" w:space="0" w:color="auto"/>
              <w:right w:val="nil"/>
            </w:tcBorders>
            <w:vAlign w:val="bottom"/>
          </w:tcPr>
          <w:p w14:paraId="2DE407AB"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14.6</w:t>
            </w:r>
          </w:p>
        </w:tc>
        <w:tc>
          <w:tcPr>
            <w:tcW w:w="1033" w:type="dxa"/>
            <w:tcBorders>
              <w:top w:val="single" w:sz="4" w:space="0" w:color="auto"/>
              <w:left w:val="nil"/>
              <w:bottom w:val="single" w:sz="4" w:space="0" w:color="auto"/>
              <w:right w:val="nil"/>
            </w:tcBorders>
            <w:vAlign w:val="bottom"/>
          </w:tcPr>
          <w:p w14:paraId="2006ED36"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29.1</w:t>
            </w:r>
          </w:p>
        </w:tc>
        <w:tc>
          <w:tcPr>
            <w:tcW w:w="786" w:type="dxa"/>
            <w:tcBorders>
              <w:top w:val="single" w:sz="4" w:space="0" w:color="auto"/>
              <w:left w:val="nil"/>
              <w:bottom w:val="single" w:sz="4" w:space="0" w:color="auto"/>
              <w:right w:val="nil"/>
            </w:tcBorders>
            <w:vAlign w:val="bottom"/>
          </w:tcPr>
          <w:p w14:paraId="44C6EC09"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647.7</w:t>
            </w:r>
          </w:p>
        </w:tc>
      </w:tr>
      <w:tr w:rsidR="00A3021A" w:rsidRPr="00701439" w14:paraId="7B812499" w14:textId="77777777">
        <w:trPr>
          <w:trHeight w:val="238"/>
        </w:trPr>
        <w:tc>
          <w:tcPr>
            <w:tcW w:w="4962" w:type="dxa"/>
            <w:vAlign w:val="bottom"/>
          </w:tcPr>
          <w:p w14:paraId="7B733420" w14:textId="77777777" w:rsidR="00A3021A" w:rsidRPr="00701439" w:rsidRDefault="00A3021A">
            <w:pPr>
              <w:rPr>
                <w:rFonts w:asciiTheme="minorHAnsi" w:hAnsiTheme="minorHAnsi" w:cs="Arial"/>
                <w:b/>
                <w:sz w:val="20"/>
                <w:szCs w:val="20"/>
              </w:rPr>
            </w:pPr>
            <w:r w:rsidRPr="00701439">
              <w:rPr>
                <w:rFonts w:asciiTheme="minorHAnsi" w:hAnsiTheme="minorHAnsi" w:cs="Arial"/>
                <w:sz w:val="20"/>
                <w:szCs w:val="20"/>
              </w:rPr>
              <w:t>Loss for the year</w:t>
            </w:r>
          </w:p>
        </w:tc>
        <w:tc>
          <w:tcPr>
            <w:tcW w:w="850" w:type="dxa"/>
            <w:tcBorders>
              <w:top w:val="single" w:sz="4" w:space="0" w:color="auto"/>
              <w:left w:val="nil"/>
              <w:bottom w:val="single" w:sz="4" w:space="0" w:color="auto"/>
              <w:right w:val="nil"/>
            </w:tcBorders>
            <w:vAlign w:val="bottom"/>
          </w:tcPr>
          <w:p w14:paraId="0DA3A591"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 </w:t>
            </w:r>
          </w:p>
        </w:tc>
        <w:tc>
          <w:tcPr>
            <w:tcW w:w="984" w:type="dxa"/>
            <w:tcBorders>
              <w:top w:val="single" w:sz="4" w:space="0" w:color="auto"/>
              <w:left w:val="nil"/>
              <w:bottom w:val="single" w:sz="4" w:space="0" w:color="auto"/>
              <w:right w:val="nil"/>
            </w:tcBorders>
            <w:vAlign w:val="bottom"/>
          </w:tcPr>
          <w:p w14:paraId="5A135B8E"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 </w:t>
            </w:r>
          </w:p>
        </w:tc>
        <w:tc>
          <w:tcPr>
            <w:tcW w:w="859" w:type="dxa"/>
            <w:tcBorders>
              <w:top w:val="single" w:sz="4" w:space="0" w:color="auto"/>
              <w:left w:val="nil"/>
              <w:bottom w:val="single" w:sz="4" w:space="0" w:color="auto"/>
              <w:right w:val="nil"/>
            </w:tcBorders>
          </w:tcPr>
          <w:p w14:paraId="33AC330C"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c>
          <w:tcPr>
            <w:tcW w:w="992" w:type="dxa"/>
            <w:tcBorders>
              <w:top w:val="single" w:sz="4" w:space="0" w:color="auto"/>
              <w:left w:val="nil"/>
              <w:bottom w:val="single" w:sz="4" w:space="0" w:color="auto"/>
              <w:right w:val="nil"/>
            </w:tcBorders>
            <w:vAlign w:val="bottom"/>
          </w:tcPr>
          <w:p w14:paraId="702F32BE"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 </w:t>
            </w:r>
          </w:p>
        </w:tc>
        <w:tc>
          <w:tcPr>
            <w:tcW w:w="1033" w:type="dxa"/>
            <w:tcBorders>
              <w:top w:val="single" w:sz="4" w:space="0" w:color="auto"/>
              <w:left w:val="nil"/>
              <w:bottom w:val="single" w:sz="4" w:space="0" w:color="auto"/>
              <w:right w:val="nil"/>
            </w:tcBorders>
            <w:vAlign w:val="bottom"/>
          </w:tcPr>
          <w:p w14:paraId="5DBA85A1"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(32.1)</w:t>
            </w:r>
          </w:p>
        </w:tc>
        <w:tc>
          <w:tcPr>
            <w:tcW w:w="786" w:type="dxa"/>
            <w:tcBorders>
              <w:top w:val="single" w:sz="4" w:space="0" w:color="auto"/>
              <w:left w:val="nil"/>
              <w:bottom w:val="single" w:sz="4" w:space="0" w:color="auto"/>
              <w:right w:val="nil"/>
            </w:tcBorders>
            <w:vAlign w:val="bottom"/>
          </w:tcPr>
          <w:p w14:paraId="57A54CD3"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(32.1)</w:t>
            </w:r>
          </w:p>
        </w:tc>
      </w:tr>
      <w:tr w:rsidR="00A3021A" w:rsidRPr="00701439" w14:paraId="59DD2EA6" w14:textId="77777777">
        <w:trPr>
          <w:trHeight w:val="238"/>
        </w:trPr>
        <w:tc>
          <w:tcPr>
            <w:tcW w:w="4962" w:type="dxa"/>
            <w:vAlign w:val="bottom"/>
          </w:tcPr>
          <w:p w14:paraId="2465FBA4"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Other comprehensive income/(expense):</w:t>
            </w:r>
          </w:p>
        </w:tc>
        <w:tc>
          <w:tcPr>
            <w:tcW w:w="850" w:type="dxa"/>
            <w:tcBorders>
              <w:top w:val="single" w:sz="4" w:space="0" w:color="auto"/>
              <w:left w:val="nil"/>
              <w:right w:val="nil"/>
            </w:tcBorders>
            <w:vAlign w:val="bottom"/>
          </w:tcPr>
          <w:p w14:paraId="7773985E" w14:textId="77777777" w:rsidR="00A3021A" w:rsidRPr="00701439" w:rsidRDefault="00A3021A">
            <w:pPr>
              <w:jc w:val="right"/>
              <w:rPr>
                <w:rFonts w:asciiTheme="minorHAnsi" w:hAnsiTheme="minorHAnsi" w:cs="Arial"/>
                <w:sz w:val="20"/>
                <w:szCs w:val="20"/>
              </w:rPr>
            </w:pPr>
          </w:p>
        </w:tc>
        <w:tc>
          <w:tcPr>
            <w:tcW w:w="984" w:type="dxa"/>
            <w:tcBorders>
              <w:top w:val="single" w:sz="4" w:space="0" w:color="auto"/>
              <w:left w:val="nil"/>
              <w:right w:val="nil"/>
            </w:tcBorders>
            <w:vAlign w:val="bottom"/>
          </w:tcPr>
          <w:p w14:paraId="28A94D87" w14:textId="77777777" w:rsidR="00A3021A" w:rsidRPr="00701439" w:rsidRDefault="00A3021A">
            <w:pPr>
              <w:jc w:val="right"/>
              <w:rPr>
                <w:rFonts w:asciiTheme="minorHAnsi" w:hAnsiTheme="minorHAnsi" w:cs="Arial"/>
                <w:sz w:val="20"/>
                <w:szCs w:val="20"/>
              </w:rPr>
            </w:pPr>
          </w:p>
        </w:tc>
        <w:tc>
          <w:tcPr>
            <w:tcW w:w="859" w:type="dxa"/>
            <w:tcBorders>
              <w:top w:val="single" w:sz="4" w:space="0" w:color="auto"/>
              <w:left w:val="nil"/>
              <w:right w:val="nil"/>
            </w:tcBorders>
          </w:tcPr>
          <w:p w14:paraId="021005CB" w14:textId="77777777" w:rsidR="00A3021A" w:rsidRPr="00701439" w:rsidRDefault="00A3021A">
            <w:pPr>
              <w:jc w:val="right"/>
              <w:rPr>
                <w:rFonts w:asciiTheme="minorHAnsi" w:hAnsiTheme="minorHAnsi" w:cs="Arial"/>
                <w:sz w:val="20"/>
                <w:szCs w:val="20"/>
              </w:rPr>
            </w:pPr>
          </w:p>
        </w:tc>
        <w:tc>
          <w:tcPr>
            <w:tcW w:w="992" w:type="dxa"/>
            <w:tcBorders>
              <w:top w:val="single" w:sz="4" w:space="0" w:color="auto"/>
              <w:left w:val="nil"/>
              <w:right w:val="nil"/>
            </w:tcBorders>
            <w:vAlign w:val="bottom"/>
          </w:tcPr>
          <w:p w14:paraId="3BBAF6BE" w14:textId="77777777" w:rsidR="00A3021A" w:rsidRPr="00701439" w:rsidRDefault="00A3021A">
            <w:pPr>
              <w:jc w:val="right"/>
              <w:rPr>
                <w:rFonts w:asciiTheme="minorHAnsi" w:hAnsiTheme="minorHAnsi" w:cs="Arial"/>
                <w:sz w:val="20"/>
                <w:szCs w:val="20"/>
              </w:rPr>
            </w:pPr>
          </w:p>
        </w:tc>
        <w:tc>
          <w:tcPr>
            <w:tcW w:w="1033" w:type="dxa"/>
            <w:tcBorders>
              <w:top w:val="single" w:sz="4" w:space="0" w:color="auto"/>
              <w:left w:val="nil"/>
              <w:right w:val="nil"/>
            </w:tcBorders>
            <w:vAlign w:val="bottom"/>
          </w:tcPr>
          <w:p w14:paraId="0E98A122" w14:textId="77777777" w:rsidR="00A3021A" w:rsidRPr="00701439" w:rsidRDefault="00A3021A">
            <w:pPr>
              <w:jc w:val="right"/>
              <w:rPr>
                <w:rFonts w:asciiTheme="minorHAnsi" w:hAnsiTheme="minorHAnsi" w:cs="Arial"/>
                <w:sz w:val="20"/>
                <w:szCs w:val="20"/>
              </w:rPr>
            </w:pPr>
          </w:p>
        </w:tc>
        <w:tc>
          <w:tcPr>
            <w:tcW w:w="786" w:type="dxa"/>
            <w:tcBorders>
              <w:top w:val="single" w:sz="4" w:space="0" w:color="auto"/>
              <w:left w:val="nil"/>
              <w:right w:val="nil"/>
            </w:tcBorders>
            <w:vAlign w:val="bottom"/>
          </w:tcPr>
          <w:p w14:paraId="106A521F" w14:textId="77777777" w:rsidR="00A3021A" w:rsidRPr="00701439" w:rsidRDefault="00A3021A">
            <w:pPr>
              <w:jc w:val="right"/>
              <w:rPr>
                <w:rFonts w:asciiTheme="minorHAnsi" w:hAnsiTheme="minorHAnsi" w:cs="Arial"/>
                <w:sz w:val="20"/>
                <w:szCs w:val="20"/>
              </w:rPr>
            </w:pPr>
          </w:p>
        </w:tc>
      </w:tr>
      <w:tr w:rsidR="00A3021A" w:rsidRPr="00701439" w14:paraId="72C29DCB" w14:textId="77777777">
        <w:trPr>
          <w:trHeight w:val="238"/>
        </w:trPr>
        <w:tc>
          <w:tcPr>
            <w:tcW w:w="4962" w:type="dxa"/>
            <w:vAlign w:val="bottom"/>
          </w:tcPr>
          <w:p w14:paraId="155389C6"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 actuarial movements on retirement benefit asset (note 11)</w:t>
            </w:r>
          </w:p>
        </w:tc>
        <w:tc>
          <w:tcPr>
            <w:tcW w:w="850" w:type="dxa"/>
            <w:tcBorders>
              <w:left w:val="nil"/>
              <w:right w:val="nil"/>
            </w:tcBorders>
            <w:vAlign w:val="bottom"/>
          </w:tcPr>
          <w:p w14:paraId="40D920E2"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 </w:t>
            </w:r>
          </w:p>
        </w:tc>
        <w:tc>
          <w:tcPr>
            <w:tcW w:w="984" w:type="dxa"/>
            <w:tcBorders>
              <w:left w:val="nil"/>
              <w:right w:val="nil"/>
            </w:tcBorders>
            <w:vAlign w:val="bottom"/>
          </w:tcPr>
          <w:p w14:paraId="64CF6188"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 </w:t>
            </w:r>
          </w:p>
        </w:tc>
        <w:tc>
          <w:tcPr>
            <w:tcW w:w="859" w:type="dxa"/>
            <w:tcBorders>
              <w:left w:val="nil"/>
              <w:right w:val="nil"/>
            </w:tcBorders>
          </w:tcPr>
          <w:p w14:paraId="02DD79AC" w14:textId="77777777" w:rsidR="00A3021A" w:rsidRPr="00701439" w:rsidRDefault="00A3021A">
            <w:pPr>
              <w:jc w:val="right"/>
              <w:rPr>
                <w:rFonts w:asciiTheme="minorHAnsi" w:hAnsiTheme="minorHAnsi" w:cs="Arial"/>
                <w:sz w:val="20"/>
                <w:szCs w:val="20"/>
              </w:rPr>
            </w:pPr>
          </w:p>
          <w:p w14:paraId="0591781B"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c>
          <w:tcPr>
            <w:tcW w:w="992" w:type="dxa"/>
            <w:tcBorders>
              <w:left w:val="nil"/>
              <w:right w:val="nil"/>
            </w:tcBorders>
            <w:vAlign w:val="bottom"/>
          </w:tcPr>
          <w:p w14:paraId="38B95544"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 </w:t>
            </w:r>
          </w:p>
        </w:tc>
        <w:tc>
          <w:tcPr>
            <w:tcW w:w="1033" w:type="dxa"/>
            <w:tcBorders>
              <w:left w:val="nil"/>
              <w:right w:val="nil"/>
            </w:tcBorders>
            <w:vAlign w:val="bottom"/>
          </w:tcPr>
          <w:p w14:paraId="3908D7AD"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27.1</w:t>
            </w:r>
          </w:p>
        </w:tc>
        <w:tc>
          <w:tcPr>
            <w:tcW w:w="786" w:type="dxa"/>
            <w:tcBorders>
              <w:left w:val="nil"/>
              <w:right w:val="nil"/>
            </w:tcBorders>
            <w:vAlign w:val="bottom"/>
          </w:tcPr>
          <w:p w14:paraId="2346EB6E"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27.1</w:t>
            </w:r>
          </w:p>
        </w:tc>
      </w:tr>
      <w:tr w:rsidR="00A3021A" w:rsidRPr="00701439" w14:paraId="54FD9D92" w14:textId="77777777">
        <w:trPr>
          <w:trHeight w:val="238"/>
        </w:trPr>
        <w:tc>
          <w:tcPr>
            <w:tcW w:w="4962" w:type="dxa"/>
            <w:vAlign w:val="bottom"/>
          </w:tcPr>
          <w:p w14:paraId="2F2C75D9"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 fair value movement transferred to income statement (note 9)</w:t>
            </w:r>
          </w:p>
        </w:tc>
        <w:tc>
          <w:tcPr>
            <w:tcW w:w="850" w:type="dxa"/>
            <w:tcBorders>
              <w:left w:val="nil"/>
              <w:right w:val="nil"/>
            </w:tcBorders>
            <w:vAlign w:val="bottom"/>
          </w:tcPr>
          <w:p w14:paraId="57B1DE79"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 </w:t>
            </w:r>
          </w:p>
        </w:tc>
        <w:tc>
          <w:tcPr>
            <w:tcW w:w="984" w:type="dxa"/>
            <w:tcBorders>
              <w:left w:val="nil"/>
              <w:right w:val="nil"/>
            </w:tcBorders>
            <w:vAlign w:val="bottom"/>
          </w:tcPr>
          <w:p w14:paraId="5DB09D39"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 </w:t>
            </w:r>
          </w:p>
        </w:tc>
        <w:tc>
          <w:tcPr>
            <w:tcW w:w="859" w:type="dxa"/>
            <w:tcBorders>
              <w:left w:val="nil"/>
              <w:right w:val="nil"/>
            </w:tcBorders>
          </w:tcPr>
          <w:p w14:paraId="4448F11F" w14:textId="77777777" w:rsidR="00085C43" w:rsidRPr="00701439" w:rsidRDefault="00085C43">
            <w:pPr>
              <w:jc w:val="right"/>
              <w:rPr>
                <w:rFonts w:asciiTheme="minorHAnsi" w:hAnsiTheme="minorHAnsi" w:cs="Arial"/>
                <w:sz w:val="20"/>
                <w:szCs w:val="20"/>
              </w:rPr>
            </w:pPr>
          </w:p>
          <w:p w14:paraId="5B8C88AB" w14:textId="40BA407E"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c>
          <w:tcPr>
            <w:tcW w:w="992" w:type="dxa"/>
            <w:tcBorders>
              <w:left w:val="nil"/>
              <w:right w:val="nil"/>
            </w:tcBorders>
            <w:vAlign w:val="bottom"/>
          </w:tcPr>
          <w:p w14:paraId="3963F6B7"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(5.2)</w:t>
            </w:r>
          </w:p>
        </w:tc>
        <w:tc>
          <w:tcPr>
            <w:tcW w:w="1033" w:type="dxa"/>
            <w:tcBorders>
              <w:left w:val="nil"/>
              <w:right w:val="nil"/>
            </w:tcBorders>
            <w:vAlign w:val="bottom"/>
          </w:tcPr>
          <w:p w14:paraId="4AFCA837"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c>
          <w:tcPr>
            <w:tcW w:w="786" w:type="dxa"/>
            <w:tcBorders>
              <w:left w:val="nil"/>
              <w:right w:val="nil"/>
            </w:tcBorders>
            <w:vAlign w:val="bottom"/>
          </w:tcPr>
          <w:p w14:paraId="59CE28BC"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(5.2)</w:t>
            </w:r>
          </w:p>
        </w:tc>
      </w:tr>
      <w:tr w:rsidR="00A3021A" w:rsidRPr="00701439" w14:paraId="43BCB8BB" w14:textId="77777777">
        <w:trPr>
          <w:trHeight w:val="238"/>
        </w:trPr>
        <w:tc>
          <w:tcPr>
            <w:tcW w:w="4962" w:type="dxa"/>
            <w:vAlign w:val="bottom"/>
          </w:tcPr>
          <w:p w14:paraId="2092CBBF" w14:textId="77777777" w:rsidR="00A3021A" w:rsidRPr="00701439" w:rsidRDefault="00A3021A">
            <w:pPr>
              <w:autoSpaceDE w:val="0"/>
              <w:autoSpaceDN w:val="0"/>
              <w:adjustRightInd w:val="0"/>
              <w:rPr>
                <w:rFonts w:ascii="Calibri" w:hAnsi="Calibri" w:cs="Poppins-Light"/>
                <w:sz w:val="20"/>
                <w:szCs w:val="20"/>
              </w:rPr>
            </w:pPr>
            <w:r w:rsidRPr="00701439">
              <w:rPr>
                <w:rFonts w:ascii="Calibri" w:hAnsi="Calibri" w:cs="Arial"/>
                <w:sz w:val="20"/>
                <w:szCs w:val="20"/>
              </w:rPr>
              <w:t xml:space="preserve">–  </w:t>
            </w:r>
            <w:r w:rsidRPr="00701439">
              <w:rPr>
                <w:rFonts w:ascii="Calibri" w:hAnsi="Calibri" w:cs="Poppins-Light"/>
                <w:sz w:val="20"/>
                <w:szCs w:val="20"/>
              </w:rPr>
              <w:t>tax on items taken directly to other</w:t>
            </w:r>
          </w:p>
          <w:p w14:paraId="3A9F32D5" w14:textId="77777777" w:rsidR="00A3021A" w:rsidRPr="00701439" w:rsidRDefault="00A3021A">
            <w:pPr>
              <w:rPr>
                <w:rFonts w:asciiTheme="minorHAnsi" w:hAnsiTheme="minorHAnsi" w:cs="Arial"/>
                <w:sz w:val="20"/>
                <w:szCs w:val="20"/>
              </w:rPr>
            </w:pPr>
            <w:r w:rsidRPr="00701439">
              <w:rPr>
                <w:rFonts w:ascii="Calibri" w:hAnsi="Calibri" w:cs="Poppins-Light"/>
                <w:sz w:val="20"/>
                <w:szCs w:val="20"/>
              </w:rPr>
              <w:t>comprehensive income (note 5)</w:t>
            </w:r>
          </w:p>
        </w:tc>
        <w:tc>
          <w:tcPr>
            <w:tcW w:w="850" w:type="dxa"/>
            <w:tcBorders>
              <w:left w:val="nil"/>
              <w:right w:val="nil"/>
            </w:tcBorders>
            <w:vAlign w:val="bottom"/>
          </w:tcPr>
          <w:p w14:paraId="086DE40F"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c>
          <w:tcPr>
            <w:tcW w:w="984" w:type="dxa"/>
            <w:tcBorders>
              <w:left w:val="nil"/>
              <w:right w:val="nil"/>
            </w:tcBorders>
            <w:vAlign w:val="bottom"/>
          </w:tcPr>
          <w:p w14:paraId="7AD2BC48"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c>
          <w:tcPr>
            <w:tcW w:w="859" w:type="dxa"/>
            <w:tcBorders>
              <w:left w:val="nil"/>
              <w:right w:val="nil"/>
            </w:tcBorders>
          </w:tcPr>
          <w:p w14:paraId="018E1623" w14:textId="77777777" w:rsidR="00A3021A" w:rsidRPr="00701439" w:rsidRDefault="00A3021A">
            <w:pPr>
              <w:jc w:val="right"/>
              <w:rPr>
                <w:rFonts w:asciiTheme="minorHAnsi" w:hAnsiTheme="minorHAnsi" w:cs="Arial"/>
                <w:sz w:val="20"/>
                <w:szCs w:val="20"/>
              </w:rPr>
            </w:pPr>
          </w:p>
          <w:p w14:paraId="42F3F97B"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c>
          <w:tcPr>
            <w:tcW w:w="992" w:type="dxa"/>
            <w:tcBorders>
              <w:left w:val="nil"/>
              <w:right w:val="nil"/>
            </w:tcBorders>
            <w:vAlign w:val="bottom"/>
          </w:tcPr>
          <w:p w14:paraId="24B6C970"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1.4</w:t>
            </w:r>
          </w:p>
        </w:tc>
        <w:tc>
          <w:tcPr>
            <w:tcW w:w="1033" w:type="dxa"/>
            <w:tcBorders>
              <w:left w:val="nil"/>
              <w:right w:val="nil"/>
            </w:tcBorders>
            <w:vAlign w:val="bottom"/>
          </w:tcPr>
          <w:p w14:paraId="135AA641"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(5.2)</w:t>
            </w:r>
          </w:p>
        </w:tc>
        <w:tc>
          <w:tcPr>
            <w:tcW w:w="786" w:type="dxa"/>
            <w:tcBorders>
              <w:left w:val="nil"/>
              <w:right w:val="nil"/>
            </w:tcBorders>
            <w:vAlign w:val="bottom"/>
          </w:tcPr>
          <w:p w14:paraId="17A8D9EB"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(3.8)</w:t>
            </w:r>
          </w:p>
        </w:tc>
      </w:tr>
      <w:tr w:rsidR="00A3021A" w:rsidRPr="00701439" w14:paraId="38963D1B" w14:textId="77777777">
        <w:trPr>
          <w:trHeight w:val="238"/>
        </w:trPr>
        <w:tc>
          <w:tcPr>
            <w:tcW w:w="4962" w:type="dxa"/>
            <w:vAlign w:val="bottom"/>
          </w:tcPr>
          <w:p w14:paraId="3A07A5CA" w14:textId="77777777" w:rsidR="00A3021A" w:rsidRPr="00701439" w:rsidRDefault="00A3021A">
            <w:pPr>
              <w:autoSpaceDE w:val="0"/>
              <w:autoSpaceDN w:val="0"/>
              <w:adjustRightInd w:val="0"/>
              <w:rPr>
                <w:rFonts w:ascii="Calibri" w:hAnsi="Calibri" w:cs="Arial"/>
                <w:sz w:val="20"/>
                <w:szCs w:val="20"/>
              </w:rPr>
            </w:pPr>
            <w:r w:rsidRPr="00701439">
              <w:rPr>
                <w:rFonts w:asciiTheme="minorHAnsi" w:hAnsiTheme="minorHAnsi" w:cs="Arial"/>
                <w:sz w:val="20"/>
                <w:szCs w:val="20"/>
              </w:rPr>
              <w:t>– impact of change in UK tax rate (note 5)</w:t>
            </w:r>
          </w:p>
        </w:tc>
        <w:tc>
          <w:tcPr>
            <w:tcW w:w="850" w:type="dxa"/>
            <w:tcBorders>
              <w:left w:val="nil"/>
              <w:right w:val="nil"/>
            </w:tcBorders>
            <w:vAlign w:val="bottom"/>
          </w:tcPr>
          <w:p w14:paraId="527017A4"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 </w:t>
            </w:r>
          </w:p>
        </w:tc>
        <w:tc>
          <w:tcPr>
            <w:tcW w:w="984" w:type="dxa"/>
            <w:tcBorders>
              <w:left w:val="nil"/>
              <w:right w:val="nil"/>
            </w:tcBorders>
            <w:vAlign w:val="bottom"/>
          </w:tcPr>
          <w:p w14:paraId="3147BF94"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 </w:t>
            </w:r>
          </w:p>
        </w:tc>
        <w:tc>
          <w:tcPr>
            <w:tcW w:w="859" w:type="dxa"/>
            <w:tcBorders>
              <w:left w:val="nil"/>
              <w:right w:val="nil"/>
            </w:tcBorders>
          </w:tcPr>
          <w:p w14:paraId="288D51CE"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c>
          <w:tcPr>
            <w:tcW w:w="992" w:type="dxa"/>
            <w:tcBorders>
              <w:left w:val="nil"/>
              <w:right w:val="nil"/>
            </w:tcBorders>
            <w:vAlign w:val="bottom"/>
          </w:tcPr>
          <w:p w14:paraId="508818C9"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c>
          <w:tcPr>
            <w:tcW w:w="1033" w:type="dxa"/>
            <w:tcBorders>
              <w:left w:val="nil"/>
              <w:right w:val="nil"/>
            </w:tcBorders>
            <w:vAlign w:val="bottom"/>
          </w:tcPr>
          <w:p w14:paraId="102BC5C4"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(6.4)</w:t>
            </w:r>
          </w:p>
        </w:tc>
        <w:tc>
          <w:tcPr>
            <w:tcW w:w="786" w:type="dxa"/>
            <w:tcBorders>
              <w:left w:val="nil"/>
              <w:right w:val="nil"/>
            </w:tcBorders>
            <w:vAlign w:val="bottom"/>
          </w:tcPr>
          <w:p w14:paraId="7A4EB582"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(6.4)</w:t>
            </w:r>
          </w:p>
        </w:tc>
      </w:tr>
      <w:tr w:rsidR="00A3021A" w:rsidRPr="00701439" w14:paraId="07D22F9A" w14:textId="77777777">
        <w:trPr>
          <w:trHeight w:val="238"/>
        </w:trPr>
        <w:tc>
          <w:tcPr>
            <w:tcW w:w="4962" w:type="dxa"/>
            <w:vAlign w:val="bottom"/>
          </w:tcPr>
          <w:p w14:paraId="76B2F877" w14:textId="77777777" w:rsidR="00A3021A" w:rsidRPr="00701439" w:rsidRDefault="00A3021A">
            <w:pPr>
              <w:autoSpaceDE w:val="0"/>
              <w:autoSpaceDN w:val="0"/>
              <w:adjustRightInd w:val="0"/>
              <w:rPr>
                <w:rFonts w:ascii="Calibri" w:hAnsi="Calibri" w:cs="Arial"/>
                <w:sz w:val="20"/>
                <w:szCs w:val="20"/>
              </w:rPr>
            </w:pPr>
            <w:r w:rsidRPr="00701439">
              <w:rPr>
                <w:rFonts w:asciiTheme="minorHAnsi" w:hAnsiTheme="minorHAnsi" w:cs="Arial"/>
                <w:sz w:val="20"/>
                <w:szCs w:val="20"/>
              </w:rPr>
              <w:t>Other comprehensive (expense)/income for the year</w:t>
            </w:r>
          </w:p>
        </w:tc>
        <w:tc>
          <w:tcPr>
            <w:tcW w:w="850" w:type="dxa"/>
            <w:tcBorders>
              <w:top w:val="single" w:sz="4" w:space="0" w:color="auto"/>
              <w:left w:val="nil"/>
              <w:bottom w:val="single" w:sz="4" w:space="0" w:color="auto"/>
              <w:right w:val="nil"/>
            </w:tcBorders>
            <w:vAlign w:val="bottom"/>
          </w:tcPr>
          <w:p w14:paraId="4AF2EE42"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 </w:t>
            </w:r>
          </w:p>
        </w:tc>
        <w:tc>
          <w:tcPr>
            <w:tcW w:w="984" w:type="dxa"/>
            <w:tcBorders>
              <w:top w:val="single" w:sz="4" w:space="0" w:color="auto"/>
              <w:left w:val="nil"/>
              <w:bottom w:val="single" w:sz="4" w:space="0" w:color="auto"/>
              <w:right w:val="nil"/>
            </w:tcBorders>
            <w:vAlign w:val="bottom"/>
          </w:tcPr>
          <w:p w14:paraId="64AB2BB9"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 </w:t>
            </w:r>
          </w:p>
        </w:tc>
        <w:tc>
          <w:tcPr>
            <w:tcW w:w="859" w:type="dxa"/>
            <w:tcBorders>
              <w:top w:val="single" w:sz="4" w:space="0" w:color="auto"/>
              <w:left w:val="nil"/>
              <w:bottom w:val="single" w:sz="4" w:space="0" w:color="auto"/>
              <w:right w:val="nil"/>
            </w:tcBorders>
          </w:tcPr>
          <w:p w14:paraId="15B93891"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c>
          <w:tcPr>
            <w:tcW w:w="992" w:type="dxa"/>
            <w:tcBorders>
              <w:top w:val="single" w:sz="4" w:space="0" w:color="auto"/>
              <w:left w:val="nil"/>
              <w:bottom w:val="single" w:sz="4" w:space="0" w:color="auto"/>
              <w:right w:val="nil"/>
            </w:tcBorders>
            <w:vAlign w:val="bottom"/>
          </w:tcPr>
          <w:p w14:paraId="7DBBDCC7"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(3.8)</w:t>
            </w:r>
          </w:p>
        </w:tc>
        <w:tc>
          <w:tcPr>
            <w:tcW w:w="1033" w:type="dxa"/>
            <w:tcBorders>
              <w:top w:val="single" w:sz="4" w:space="0" w:color="auto"/>
              <w:left w:val="nil"/>
              <w:bottom w:val="single" w:sz="4" w:space="0" w:color="auto"/>
              <w:right w:val="nil"/>
            </w:tcBorders>
            <w:vAlign w:val="bottom"/>
          </w:tcPr>
          <w:p w14:paraId="2B11B0C9"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15.5</w:t>
            </w:r>
          </w:p>
        </w:tc>
        <w:tc>
          <w:tcPr>
            <w:tcW w:w="786" w:type="dxa"/>
            <w:tcBorders>
              <w:top w:val="single" w:sz="4" w:space="0" w:color="auto"/>
              <w:left w:val="nil"/>
              <w:bottom w:val="single" w:sz="4" w:space="0" w:color="auto"/>
              <w:right w:val="nil"/>
            </w:tcBorders>
            <w:vAlign w:val="bottom"/>
          </w:tcPr>
          <w:p w14:paraId="60B7D779"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11.7</w:t>
            </w:r>
          </w:p>
        </w:tc>
      </w:tr>
      <w:tr w:rsidR="00A3021A" w:rsidRPr="00701439" w14:paraId="2BB6C3B2" w14:textId="77777777">
        <w:trPr>
          <w:trHeight w:val="238"/>
        </w:trPr>
        <w:tc>
          <w:tcPr>
            <w:tcW w:w="4962" w:type="dxa"/>
            <w:vAlign w:val="bottom"/>
          </w:tcPr>
          <w:p w14:paraId="2578D6FA" w14:textId="77777777" w:rsidR="00A3021A" w:rsidRPr="00701439" w:rsidRDefault="00A3021A">
            <w:pPr>
              <w:autoSpaceDE w:val="0"/>
              <w:autoSpaceDN w:val="0"/>
              <w:adjustRightInd w:val="0"/>
              <w:rPr>
                <w:rFonts w:asciiTheme="minorHAnsi" w:hAnsiTheme="minorHAnsi" w:cs="Arial"/>
                <w:sz w:val="20"/>
                <w:szCs w:val="20"/>
              </w:rPr>
            </w:pPr>
            <w:r w:rsidRPr="00701439">
              <w:rPr>
                <w:rFonts w:asciiTheme="minorHAnsi" w:hAnsiTheme="minorHAnsi" w:cs="Arial"/>
                <w:sz w:val="20"/>
                <w:szCs w:val="20"/>
              </w:rPr>
              <w:t>Total comprehensive expense for the year</w:t>
            </w:r>
          </w:p>
        </w:tc>
        <w:tc>
          <w:tcPr>
            <w:tcW w:w="850" w:type="dxa"/>
            <w:tcBorders>
              <w:top w:val="single" w:sz="4" w:space="0" w:color="auto"/>
              <w:left w:val="nil"/>
              <w:bottom w:val="single" w:sz="4" w:space="0" w:color="auto"/>
              <w:right w:val="nil"/>
            </w:tcBorders>
            <w:vAlign w:val="bottom"/>
          </w:tcPr>
          <w:p w14:paraId="27DBF8DB"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 </w:t>
            </w:r>
          </w:p>
        </w:tc>
        <w:tc>
          <w:tcPr>
            <w:tcW w:w="984" w:type="dxa"/>
            <w:tcBorders>
              <w:top w:val="single" w:sz="4" w:space="0" w:color="auto"/>
              <w:left w:val="nil"/>
              <w:bottom w:val="single" w:sz="4" w:space="0" w:color="auto"/>
              <w:right w:val="nil"/>
            </w:tcBorders>
            <w:vAlign w:val="bottom"/>
          </w:tcPr>
          <w:p w14:paraId="3CE6C0B3"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 </w:t>
            </w:r>
          </w:p>
        </w:tc>
        <w:tc>
          <w:tcPr>
            <w:tcW w:w="859" w:type="dxa"/>
            <w:tcBorders>
              <w:top w:val="single" w:sz="4" w:space="0" w:color="auto"/>
              <w:left w:val="nil"/>
              <w:bottom w:val="single" w:sz="4" w:space="0" w:color="auto"/>
              <w:right w:val="nil"/>
            </w:tcBorders>
          </w:tcPr>
          <w:p w14:paraId="7B7B7661"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c>
          <w:tcPr>
            <w:tcW w:w="992" w:type="dxa"/>
            <w:tcBorders>
              <w:top w:val="single" w:sz="4" w:space="0" w:color="auto"/>
              <w:left w:val="nil"/>
              <w:bottom w:val="single" w:sz="4" w:space="0" w:color="auto"/>
              <w:right w:val="nil"/>
            </w:tcBorders>
            <w:vAlign w:val="bottom"/>
          </w:tcPr>
          <w:p w14:paraId="4A7961E5"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(3.8)</w:t>
            </w:r>
          </w:p>
        </w:tc>
        <w:tc>
          <w:tcPr>
            <w:tcW w:w="1033" w:type="dxa"/>
            <w:tcBorders>
              <w:top w:val="single" w:sz="4" w:space="0" w:color="auto"/>
              <w:left w:val="nil"/>
              <w:bottom w:val="single" w:sz="4" w:space="0" w:color="auto"/>
              <w:right w:val="nil"/>
            </w:tcBorders>
            <w:vAlign w:val="bottom"/>
          </w:tcPr>
          <w:p w14:paraId="2DAD755E"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(16.6)</w:t>
            </w:r>
          </w:p>
        </w:tc>
        <w:tc>
          <w:tcPr>
            <w:tcW w:w="786" w:type="dxa"/>
            <w:tcBorders>
              <w:top w:val="single" w:sz="4" w:space="0" w:color="auto"/>
              <w:left w:val="nil"/>
              <w:bottom w:val="single" w:sz="4" w:space="0" w:color="auto"/>
              <w:right w:val="nil"/>
            </w:tcBorders>
            <w:vAlign w:val="bottom"/>
          </w:tcPr>
          <w:p w14:paraId="727C758E"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(20.4)</w:t>
            </w:r>
          </w:p>
        </w:tc>
      </w:tr>
      <w:tr w:rsidR="00A3021A" w:rsidRPr="00701439" w14:paraId="6CAEA95A" w14:textId="77777777">
        <w:trPr>
          <w:trHeight w:val="238"/>
        </w:trPr>
        <w:tc>
          <w:tcPr>
            <w:tcW w:w="4962" w:type="dxa"/>
            <w:vAlign w:val="bottom"/>
          </w:tcPr>
          <w:p w14:paraId="1D7E47ED" w14:textId="77777777" w:rsidR="00A3021A" w:rsidRPr="00701439" w:rsidRDefault="00A3021A">
            <w:pPr>
              <w:autoSpaceDE w:val="0"/>
              <w:autoSpaceDN w:val="0"/>
              <w:adjustRightInd w:val="0"/>
              <w:rPr>
                <w:rFonts w:asciiTheme="minorHAnsi" w:hAnsiTheme="minorHAnsi" w:cs="Poppins-Light"/>
                <w:sz w:val="20"/>
                <w:szCs w:val="20"/>
              </w:rPr>
            </w:pPr>
            <w:r w:rsidRPr="00701439">
              <w:rPr>
                <w:rFonts w:asciiTheme="minorHAnsi" w:hAnsiTheme="minorHAnsi" w:cs="Poppins-Light"/>
                <w:sz w:val="20"/>
                <w:szCs w:val="20"/>
              </w:rPr>
              <w:t>Issue of share capital</w:t>
            </w:r>
          </w:p>
        </w:tc>
        <w:tc>
          <w:tcPr>
            <w:tcW w:w="850" w:type="dxa"/>
            <w:tcBorders>
              <w:left w:val="nil"/>
              <w:right w:val="nil"/>
            </w:tcBorders>
            <w:vAlign w:val="bottom"/>
          </w:tcPr>
          <w:p w14:paraId="109A14C9"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c>
          <w:tcPr>
            <w:tcW w:w="984" w:type="dxa"/>
            <w:tcBorders>
              <w:left w:val="nil"/>
              <w:right w:val="nil"/>
            </w:tcBorders>
            <w:vAlign w:val="bottom"/>
          </w:tcPr>
          <w:p w14:paraId="021C13A7"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0.1</w:t>
            </w:r>
          </w:p>
        </w:tc>
        <w:tc>
          <w:tcPr>
            <w:tcW w:w="859" w:type="dxa"/>
            <w:tcBorders>
              <w:left w:val="nil"/>
              <w:right w:val="nil"/>
            </w:tcBorders>
          </w:tcPr>
          <w:p w14:paraId="0A2A9CBA"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c>
          <w:tcPr>
            <w:tcW w:w="992" w:type="dxa"/>
            <w:tcBorders>
              <w:left w:val="nil"/>
              <w:right w:val="nil"/>
            </w:tcBorders>
            <w:vAlign w:val="bottom"/>
          </w:tcPr>
          <w:p w14:paraId="1FCB41C0"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c>
          <w:tcPr>
            <w:tcW w:w="1033" w:type="dxa"/>
            <w:tcBorders>
              <w:left w:val="nil"/>
              <w:right w:val="nil"/>
            </w:tcBorders>
            <w:vAlign w:val="bottom"/>
          </w:tcPr>
          <w:p w14:paraId="53A6135E"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c>
          <w:tcPr>
            <w:tcW w:w="786" w:type="dxa"/>
            <w:tcBorders>
              <w:left w:val="nil"/>
              <w:right w:val="nil"/>
            </w:tcBorders>
            <w:vAlign w:val="bottom"/>
          </w:tcPr>
          <w:p w14:paraId="2541E9AF"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0.1</w:t>
            </w:r>
          </w:p>
        </w:tc>
      </w:tr>
      <w:tr w:rsidR="00A3021A" w:rsidRPr="00701439" w14:paraId="008481E2" w14:textId="77777777">
        <w:trPr>
          <w:trHeight w:val="238"/>
        </w:trPr>
        <w:tc>
          <w:tcPr>
            <w:tcW w:w="4962" w:type="dxa"/>
            <w:vAlign w:val="bottom"/>
          </w:tcPr>
          <w:p w14:paraId="03A3C62E" w14:textId="77777777" w:rsidR="00A3021A" w:rsidRPr="00701439" w:rsidRDefault="00A3021A">
            <w:pPr>
              <w:autoSpaceDE w:val="0"/>
              <w:autoSpaceDN w:val="0"/>
              <w:adjustRightInd w:val="0"/>
              <w:rPr>
                <w:rFonts w:asciiTheme="minorHAnsi" w:hAnsiTheme="minorHAnsi" w:cs="Poppins-Light"/>
                <w:sz w:val="20"/>
                <w:szCs w:val="20"/>
              </w:rPr>
            </w:pPr>
            <w:r w:rsidRPr="00701439">
              <w:rPr>
                <w:rFonts w:asciiTheme="minorHAnsi" w:hAnsiTheme="minorHAnsi" w:cs="Arial"/>
                <w:sz w:val="20"/>
                <w:szCs w:val="20"/>
              </w:rPr>
              <w:t>Share-based payment charge</w:t>
            </w:r>
          </w:p>
        </w:tc>
        <w:tc>
          <w:tcPr>
            <w:tcW w:w="850" w:type="dxa"/>
            <w:tcBorders>
              <w:left w:val="nil"/>
              <w:right w:val="nil"/>
            </w:tcBorders>
            <w:vAlign w:val="bottom"/>
          </w:tcPr>
          <w:p w14:paraId="3CF67627"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 </w:t>
            </w:r>
          </w:p>
        </w:tc>
        <w:tc>
          <w:tcPr>
            <w:tcW w:w="984" w:type="dxa"/>
            <w:tcBorders>
              <w:left w:val="nil"/>
              <w:right w:val="nil"/>
            </w:tcBorders>
            <w:vAlign w:val="bottom"/>
          </w:tcPr>
          <w:p w14:paraId="561F8CC9"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 </w:t>
            </w:r>
          </w:p>
        </w:tc>
        <w:tc>
          <w:tcPr>
            <w:tcW w:w="859" w:type="dxa"/>
            <w:tcBorders>
              <w:left w:val="nil"/>
              <w:right w:val="nil"/>
            </w:tcBorders>
          </w:tcPr>
          <w:p w14:paraId="1368D3F6"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c>
          <w:tcPr>
            <w:tcW w:w="992" w:type="dxa"/>
            <w:tcBorders>
              <w:left w:val="nil"/>
              <w:right w:val="nil"/>
            </w:tcBorders>
            <w:vAlign w:val="bottom"/>
          </w:tcPr>
          <w:p w14:paraId="37984F25"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3.8</w:t>
            </w:r>
          </w:p>
        </w:tc>
        <w:tc>
          <w:tcPr>
            <w:tcW w:w="1033" w:type="dxa"/>
            <w:tcBorders>
              <w:left w:val="nil"/>
              <w:right w:val="nil"/>
            </w:tcBorders>
            <w:vAlign w:val="bottom"/>
          </w:tcPr>
          <w:p w14:paraId="692122EB"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c>
          <w:tcPr>
            <w:tcW w:w="786" w:type="dxa"/>
            <w:tcBorders>
              <w:left w:val="nil"/>
              <w:right w:val="nil"/>
            </w:tcBorders>
            <w:vAlign w:val="bottom"/>
          </w:tcPr>
          <w:p w14:paraId="37458177"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3.8</w:t>
            </w:r>
          </w:p>
        </w:tc>
      </w:tr>
      <w:tr w:rsidR="00A3021A" w:rsidRPr="00701439" w14:paraId="3C54CF7D" w14:textId="77777777">
        <w:trPr>
          <w:trHeight w:val="238"/>
        </w:trPr>
        <w:tc>
          <w:tcPr>
            <w:tcW w:w="4962" w:type="dxa"/>
            <w:vAlign w:val="bottom"/>
          </w:tcPr>
          <w:p w14:paraId="767771CC" w14:textId="77777777" w:rsidR="00A3021A" w:rsidRPr="00701439" w:rsidRDefault="00A3021A">
            <w:pPr>
              <w:autoSpaceDE w:val="0"/>
              <w:autoSpaceDN w:val="0"/>
              <w:adjustRightInd w:val="0"/>
              <w:rPr>
                <w:rFonts w:asciiTheme="minorHAnsi" w:hAnsiTheme="minorHAnsi" w:cs="Arial"/>
                <w:sz w:val="20"/>
                <w:szCs w:val="20"/>
              </w:rPr>
            </w:pPr>
            <w:r w:rsidRPr="00701439">
              <w:rPr>
                <w:rFonts w:asciiTheme="minorHAnsi" w:hAnsiTheme="minorHAnsi" w:cs="Arial"/>
                <w:sz w:val="20"/>
                <w:szCs w:val="20"/>
              </w:rPr>
              <w:t>Transfer of share-based payment reserve on vesting of share awards</w:t>
            </w:r>
          </w:p>
        </w:tc>
        <w:tc>
          <w:tcPr>
            <w:tcW w:w="850" w:type="dxa"/>
            <w:tcBorders>
              <w:left w:val="nil"/>
              <w:right w:val="nil"/>
            </w:tcBorders>
            <w:vAlign w:val="bottom"/>
          </w:tcPr>
          <w:p w14:paraId="5F558FE0"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 </w:t>
            </w:r>
          </w:p>
        </w:tc>
        <w:tc>
          <w:tcPr>
            <w:tcW w:w="984" w:type="dxa"/>
            <w:tcBorders>
              <w:left w:val="nil"/>
              <w:right w:val="nil"/>
            </w:tcBorders>
            <w:vAlign w:val="bottom"/>
          </w:tcPr>
          <w:p w14:paraId="707D77FD"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 </w:t>
            </w:r>
          </w:p>
        </w:tc>
        <w:tc>
          <w:tcPr>
            <w:tcW w:w="859" w:type="dxa"/>
            <w:tcBorders>
              <w:left w:val="nil"/>
              <w:right w:val="nil"/>
            </w:tcBorders>
          </w:tcPr>
          <w:p w14:paraId="1871092B" w14:textId="77777777" w:rsidR="00A3021A" w:rsidRPr="00701439" w:rsidRDefault="00A3021A">
            <w:pPr>
              <w:jc w:val="right"/>
              <w:rPr>
                <w:rFonts w:asciiTheme="minorHAnsi" w:hAnsiTheme="minorHAnsi" w:cs="Arial"/>
                <w:sz w:val="20"/>
                <w:szCs w:val="20"/>
              </w:rPr>
            </w:pPr>
          </w:p>
          <w:p w14:paraId="43796B98"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c>
          <w:tcPr>
            <w:tcW w:w="992" w:type="dxa"/>
            <w:tcBorders>
              <w:left w:val="nil"/>
              <w:right w:val="nil"/>
            </w:tcBorders>
            <w:vAlign w:val="bottom"/>
          </w:tcPr>
          <w:p w14:paraId="2421902B"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(4.8)</w:t>
            </w:r>
          </w:p>
        </w:tc>
        <w:tc>
          <w:tcPr>
            <w:tcW w:w="1033" w:type="dxa"/>
            <w:tcBorders>
              <w:left w:val="nil"/>
              <w:right w:val="nil"/>
            </w:tcBorders>
            <w:vAlign w:val="bottom"/>
          </w:tcPr>
          <w:p w14:paraId="36A49551"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4.8</w:t>
            </w:r>
          </w:p>
        </w:tc>
        <w:tc>
          <w:tcPr>
            <w:tcW w:w="786" w:type="dxa"/>
            <w:tcBorders>
              <w:left w:val="nil"/>
              <w:right w:val="nil"/>
            </w:tcBorders>
            <w:vAlign w:val="bottom"/>
          </w:tcPr>
          <w:p w14:paraId="63011A24"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r>
      <w:tr w:rsidR="00A3021A" w:rsidRPr="00701439" w14:paraId="1F558DBC" w14:textId="77777777">
        <w:trPr>
          <w:trHeight w:val="238"/>
        </w:trPr>
        <w:tc>
          <w:tcPr>
            <w:tcW w:w="4962" w:type="dxa"/>
            <w:vAlign w:val="bottom"/>
          </w:tcPr>
          <w:p w14:paraId="1CA8C448" w14:textId="77777777" w:rsidR="00A3021A" w:rsidRPr="00701439" w:rsidRDefault="00A3021A">
            <w:pPr>
              <w:autoSpaceDE w:val="0"/>
              <w:autoSpaceDN w:val="0"/>
              <w:adjustRightInd w:val="0"/>
              <w:rPr>
                <w:rFonts w:asciiTheme="minorHAnsi" w:hAnsiTheme="minorHAnsi" w:cs="Poppins-Light"/>
                <w:sz w:val="20"/>
                <w:szCs w:val="20"/>
              </w:rPr>
            </w:pPr>
            <w:proofErr w:type="gramStart"/>
            <w:r w:rsidRPr="00701439">
              <w:rPr>
                <w:rFonts w:asciiTheme="minorHAnsi" w:hAnsiTheme="minorHAnsi" w:cs="Arial"/>
                <w:b/>
                <w:sz w:val="20"/>
                <w:szCs w:val="20"/>
              </w:rPr>
              <w:t>At</w:t>
            </w:r>
            <w:proofErr w:type="gramEnd"/>
            <w:r w:rsidRPr="00701439">
              <w:rPr>
                <w:rFonts w:asciiTheme="minorHAnsi" w:hAnsiTheme="minorHAnsi" w:cs="Arial"/>
                <w:b/>
                <w:sz w:val="20"/>
                <w:szCs w:val="20"/>
              </w:rPr>
              <w:t xml:space="preserve"> 31 December 2021</w:t>
            </w:r>
          </w:p>
        </w:tc>
        <w:tc>
          <w:tcPr>
            <w:tcW w:w="850" w:type="dxa"/>
            <w:tcBorders>
              <w:top w:val="single" w:sz="4" w:space="0" w:color="auto"/>
              <w:left w:val="nil"/>
              <w:bottom w:val="single" w:sz="4" w:space="0" w:color="auto"/>
              <w:right w:val="nil"/>
            </w:tcBorders>
            <w:vAlign w:val="bottom"/>
          </w:tcPr>
          <w:p w14:paraId="117EB7C7"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52.6</w:t>
            </w:r>
          </w:p>
        </w:tc>
        <w:tc>
          <w:tcPr>
            <w:tcW w:w="984" w:type="dxa"/>
            <w:tcBorders>
              <w:top w:val="single" w:sz="4" w:space="0" w:color="auto"/>
              <w:left w:val="nil"/>
              <w:bottom w:val="single" w:sz="4" w:space="0" w:color="auto"/>
              <w:right w:val="nil"/>
            </w:tcBorders>
            <w:vAlign w:val="bottom"/>
          </w:tcPr>
          <w:p w14:paraId="455D1AEB"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273.3</w:t>
            </w:r>
          </w:p>
        </w:tc>
        <w:tc>
          <w:tcPr>
            <w:tcW w:w="859" w:type="dxa"/>
            <w:tcBorders>
              <w:top w:val="single" w:sz="4" w:space="0" w:color="auto"/>
              <w:left w:val="nil"/>
              <w:bottom w:val="single" w:sz="4" w:space="0" w:color="auto"/>
              <w:right w:val="nil"/>
            </w:tcBorders>
          </w:tcPr>
          <w:p w14:paraId="1FDE8A1B"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278.2</w:t>
            </w:r>
          </w:p>
        </w:tc>
        <w:tc>
          <w:tcPr>
            <w:tcW w:w="992" w:type="dxa"/>
            <w:tcBorders>
              <w:top w:val="single" w:sz="4" w:space="0" w:color="auto"/>
              <w:left w:val="nil"/>
              <w:bottom w:val="single" w:sz="4" w:space="0" w:color="auto"/>
              <w:right w:val="nil"/>
            </w:tcBorders>
            <w:vAlign w:val="bottom"/>
          </w:tcPr>
          <w:p w14:paraId="3764F464"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9.8</w:t>
            </w:r>
          </w:p>
        </w:tc>
        <w:tc>
          <w:tcPr>
            <w:tcW w:w="1033" w:type="dxa"/>
            <w:tcBorders>
              <w:top w:val="single" w:sz="4" w:space="0" w:color="auto"/>
              <w:left w:val="nil"/>
              <w:bottom w:val="single" w:sz="4" w:space="0" w:color="auto"/>
              <w:right w:val="nil"/>
            </w:tcBorders>
            <w:vAlign w:val="bottom"/>
          </w:tcPr>
          <w:p w14:paraId="37007E37"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17.3</w:t>
            </w:r>
          </w:p>
        </w:tc>
        <w:tc>
          <w:tcPr>
            <w:tcW w:w="786" w:type="dxa"/>
            <w:tcBorders>
              <w:top w:val="single" w:sz="4" w:space="0" w:color="auto"/>
              <w:left w:val="nil"/>
              <w:bottom w:val="single" w:sz="4" w:space="0" w:color="auto"/>
              <w:right w:val="nil"/>
            </w:tcBorders>
            <w:vAlign w:val="bottom"/>
          </w:tcPr>
          <w:p w14:paraId="28F6CE50"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631.2</w:t>
            </w:r>
          </w:p>
        </w:tc>
      </w:tr>
      <w:tr w:rsidR="00A3021A" w:rsidRPr="00701439" w14:paraId="5FAD2C0D" w14:textId="77777777">
        <w:trPr>
          <w:trHeight w:val="238"/>
        </w:trPr>
        <w:tc>
          <w:tcPr>
            <w:tcW w:w="4962" w:type="dxa"/>
            <w:vAlign w:val="bottom"/>
          </w:tcPr>
          <w:p w14:paraId="302B2164" w14:textId="77777777" w:rsidR="00A3021A" w:rsidRPr="00701439" w:rsidRDefault="00A3021A">
            <w:pPr>
              <w:autoSpaceDE w:val="0"/>
              <w:autoSpaceDN w:val="0"/>
              <w:adjustRightInd w:val="0"/>
              <w:rPr>
                <w:rFonts w:asciiTheme="minorHAnsi" w:hAnsiTheme="minorHAnsi" w:cs="Arial"/>
                <w:b/>
                <w:sz w:val="20"/>
                <w:szCs w:val="20"/>
              </w:rPr>
            </w:pPr>
            <w:proofErr w:type="gramStart"/>
            <w:r w:rsidRPr="00701439">
              <w:rPr>
                <w:rFonts w:asciiTheme="minorHAnsi" w:hAnsiTheme="minorHAnsi" w:cs="Arial"/>
                <w:b/>
                <w:sz w:val="20"/>
                <w:szCs w:val="20"/>
              </w:rPr>
              <w:t>At</w:t>
            </w:r>
            <w:proofErr w:type="gramEnd"/>
            <w:r w:rsidRPr="00701439">
              <w:rPr>
                <w:rFonts w:asciiTheme="minorHAnsi" w:hAnsiTheme="minorHAnsi" w:cs="Arial"/>
                <w:b/>
                <w:sz w:val="20"/>
                <w:szCs w:val="20"/>
              </w:rPr>
              <w:t xml:space="preserve"> 1 January 2022</w:t>
            </w:r>
          </w:p>
        </w:tc>
        <w:tc>
          <w:tcPr>
            <w:tcW w:w="850" w:type="dxa"/>
            <w:tcBorders>
              <w:top w:val="single" w:sz="4" w:space="0" w:color="auto"/>
              <w:left w:val="nil"/>
              <w:bottom w:val="single" w:sz="4" w:space="0" w:color="auto"/>
              <w:right w:val="nil"/>
            </w:tcBorders>
            <w:vAlign w:val="bottom"/>
          </w:tcPr>
          <w:p w14:paraId="01ACC6BC"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52.6</w:t>
            </w:r>
          </w:p>
        </w:tc>
        <w:tc>
          <w:tcPr>
            <w:tcW w:w="984" w:type="dxa"/>
            <w:tcBorders>
              <w:top w:val="single" w:sz="4" w:space="0" w:color="auto"/>
              <w:left w:val="nil"/>
              <w:bottom w:val="single" w:sz="4" w:space="0" w:color="auto"/>
              <w:right w:val="nil"/>
            </w:tcBorders>
            <w:vAlign w:val="bottom"/>
          </w:tcPr>
          <w:p w14:paraId="5C50BFC2"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273.3</w:t>
            </w:r>
          </w:p>
        </w:tc>
        <w:tc>
          <w:tcPr>
            <w:tcW w:w="859" w:type="dxa"/>
            <w:tcBorders>
              <w:top w:val="single" w:sz="4" w:space="0" w:color="auto"/>
              <w:left w:val="nil"/>
              <w:bottom w:val="single" w:sz="4" w:space="0" w:color="auto"/>
              <w:right w:val="nil"/>
            </w:tcBorders>
          </w:tcPr>
          <w:p w14:paraId="20D96ECA"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278.2</w:t>
            </w:r>
          </w:p>
        </w:tc>
        <w:tc>
          <w:tcPr>
            <w:tcW w:w="992" w:type="dxa"/>
            <w:tcBorders>
              <w:top w:val="single" w:sz="4" w:space="0" w:color="auto"/>
              <w:left w:val="nil"/>
              <w:bottom w:val="single" w:sz="4" w:space="0" w:color="auto"/>
              <w:right w:val="nil"/>
            </w:tcBorders>
            <w:vAlign w:val="bottom"/>
          </w:tcPr>
          <w:p w14:paraId="507C08C8"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9.8</w:t>
            </w:r>
          </w:p>
        </w:tc>
        <w:tc>
          <w:tcPr>
            <w:tcW w:w="1033" w:type="dxa"/>
            <w:tcBorders>
              <w:top w:val="single" w:sz="4" w:space="0" w:color="auto"/>
              <w:left w:val="nil"/>
              <w:bottom w:val="single" w:sz="4" w:space="0" w:color="auto"/>
              <w:right w:val="nil"/>
            </w:tcBorders>
            <w:vAlign w:val="bottom"/>
          </w:tcPr>
          <w:p w14:paraId="4169D2D9"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17.3</w:t>
            </w:r>
          </w:p>
        </w:tc>
        <w:tc>
          <w:tcPr>
            <w:tcW w:w="786" w:type="dxa"/>
            <w:tcBorders>
              <w:top w:val="single" w:sz="4" w:space="0" w:color="auto"/>
              <w:left w:val="nil"/>
              <w:bottom w:val="single" w:sz="4" w:space="0" w:color="auto"/>
              <w:right w:val="nil"/>
            </w:tcBorders>
            <w:vAlign w:val="bottom"/>
          </w:tcPr>
          <w:p w14:paraId="13CAA1C8"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631.2</w:t>
            </w:r>
          </w:p>
        </w:tc>
      </w:tr>
      <w:tr w:rsidR="00A3021A" w:rsidRPr="00701439" w14:paraId="5F8C7C7E" w14:textId="77777777">
        <w:trPr>
          <w:trHeight w:val="238"/>
        </w:trPr>
        <w:tc>
          <w:tcPr>
            <w:tcW w:w="4962" w:type="dxa"/>
            <w:vAlign w:val="bottom"/>
          </w:tcPr>
          <w:p w14:paraId="117FE9FC" w14:textId="77777777" w:rsidR="00A3021A" w:rsidRPr="00701439" w:rsidRDefault="00A3021A">
            <w:pPr>
              <w:autoSpaceDE w:val="0"/>
              <w:autoSpaceDN w:val="0"/>
              <w:adjustRightInd w:val="0"/>
              <w:rPr>
                <w:rFonts w:asciiTheme="minorHAnsi" w:hAnsiTheme="minorHAnsi" w:cs="Arial"/>
                <w:bCs/>
                <w:sz w:val="20"/>
                <w:szCs w:val="20"/>
              </w:rPr>
            </w:pPr>
            <w:r w:rsidRPr="00701439">
              <w:rPr>
                <w:rFonts w:asciiTheme="minorHAnsi" w:hAnsiTheme="minorHAnsi" w:cs="Arial"/>
                <w:bCs/>
                <w:sz w:val="20"/>
                <w:szCs w:val="20"/>
              </w:rPr>
              <w:t>Profit for the year</w:t>
            </w:r>
          </w:p>
        </w:tc>
        <w:tc>
          <w:tcPr>
            <w:tcW w:w="850" w:type="dxa"/>
            <w:tcBorders>
              <w:top w:val="single" w:sz="4" w:space="0" w:color="auto"/>
              <w:left w:val="nil"/>
              <w:bottom w:val="single" w:sz="4" w:space="0" w:color="auto"/>
              <w:right w:val="nil"/>
            </w:tcBorders>
            <w:vAlign w:val="bottom"/>
          </w:tcPr>
          <w:p w14:paraId="7340144D"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c>
          <w:tcPr>
            <w:tcW w:w="984" w:type="dxa"/>
            <w:tcBorders>
              <w:top w:val="single" w:sz="4" w:space="0" w:color="auto"/>
              <w:left w:val="nil"/>
              <w:bottom w:val="single" w:sz="4" w:space="0" w:color="auto"/>
              <w:right w:val="nil"/>
            </w:tcBorders>
            <w:vAlign w:val="bottom"/>
          </w:tcPr>
          <w:p w14:paraId="7C57D12B"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c>
          <w:tcPr>
            <w:tcW w:w="859" w:type="dxa"/>
            <w:tcBorders>
              <w:top w:val="single" w:sz="4" w:space="0" w:color="auto"/>
              <w:left w:val="nil"/>
              <w:bottom w:val="single" w:sz="4" w:space="0" w:color="auto"/>
              <w:right w:val="nil"/>
            </w:tcBorders>
          </w:tcPr>
          <w:p w14:paraId="500060EC"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c>
          <w:tcPr>
            <w:tcW w:w="992" w:type="dxa"/>
            <w:tcBorders>
              <w:top w:val="single" w:sz="4" w:space="0" w:color="auto"/>
              <w:left w:val="nil"/>
              <w:bottom w:val="single" w:sz="4" w:space="0" w:color="auto"/>
              <w:right w:val="nil"/>
            </w:tcBorders>
            <w:vAlign w:val="bottom"/>
          </w:tcPr>
          <w:p w14:paraId="399312C7"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c>
          <w:tcPr>
            <w:tcW w:w="1033" w:type="dxa"/>
            <w:tcBorders>
              <w:top w:val="single" w:sz="4" w:space="0" w:color="auto"/>
              <w:left w:val="nil"/>
              <w:bottom w:val="single" w:sz="4" w:space="0" w:color="auto"/>
              <w:right w:val="nil"/>
            </w:tcBorders>
            <w:vAlign w:val="bottom"/>
          </w:tcPr>
          <w:p w14:paraId="5A443C5A"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77.4</w:t>
            </w:r>
          </w:p>
        </w:tc>
        <w:tc>
          <w:tcPr>
            <w:tcW w:w="786" w:type="dxa"/>
            <w:tcBorders>
              <w:top w:val="single" w:sz="4" w:space="0" w:color="auto"/>
              <w:left w:val="nil"/>
              <w:bottom w:val="single" w:sz="4" w:space="0" w:color="auto"/>
              <w:right w:val="nil"/>
            </w:tcBorders>
            <w:vAlign w:val="bottom"/>
          </w:tcPr>
          <w:p w14:paraId="06CC1D4B"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77.4</w:t>
            </w:r>
          </w:p>
        </w:tc>
      </w:tr>
      <w:tr w:rsidR="00A3021A" w:rsidRPr="00701439" w14:paraId="53C2C7DD" w14:textId="77777777">
        <w:trPr>
          <w:trHeight w:val="238"/>
        </w:trPr>
        <w:tc>
          <w:tcPr>
            <w:tcW w:w="4962" w:type="dxa"/>
            <w:vAlign w:val="bottom"/>
          </w:tcPr>
          <w:p w14:paraId="2B90DB18" w14:textId="77777777" w:rsidR="00A3021A" w:rsidRPr="00701439" w:rsidRDefault="00A3021A">
            <w:pPr>
              <w:autoSpaceDE w:val="0"/>
              <w:autoSpaceDN w:val="0"/>
              <w:adjustRightInd w:val="0"/>
              <w:rPr>
                <w:rFonts w:asciiTheme="minorHAnsi" w:hAnsiTheme="minorHAnsi" w:cs="Arial"/>
                <w:bCs/>
                <w:sz w:val="20"/>
                <w:szCs w:val="20"/>
              </w:rPr>
            </w:pPr>
            <w:r w:rsidRPr="00701439">
              <w:rPr>
                <w:rFonts w:asciiTheme="minorHAnsi" w:hAnsiTheme="minorHAnsi" w:cs="Arial"/>
                <w:bCs/>
                <w:sz w:val="20"/>
                <w:szCs w:val="20"/>
              </w:rPr>
              <w:t>Other comprehensive expense:</w:t>
            </w:r>
          </w:p>
        </w:tc>
        <w:tc>
          <w:tcPr>
            <w:tcW w:w="850" w:type="dxa"/>
            <w:tcBorders>
              <w:top w:val="single" w:sz="4" w:space="0" w:color="auto"/>
              <w:left w:val="nil"/>
              <w:right w:val="nil"/>
            </w:tcBorders>
            <w:vAlign w:val="bottom"/>
          </w:tcPr>
          <w:p w14:paraId="6F320214" w14:textId="77777777" w:rsidR="00A3021A" w:rsidRPr="00701439" w:rsidRDefault="00A3021A">
            <w:pPr>
              <w:jc w:val="right"/>
              <w:rPr>
                <w:rFonts w:asciiTheme="minorHAnsi" w:hAnsiTheme="minorHAnsi" w:cs="Arial"/>
                <w:sz w:val="20"/>
                <w:szCs w:val="20"/>
              </w:rPr>
            </w:pPr>
          </w:p>
        </w:tc>
        <w:tc>
          <w:tcPr>
            <w:tcW w:w="984" w:type="dxa"/>
            <w:tcBorders>
              <w:top w:val="single" w:sz="4" w:space="0" w:color="auto"/>
              <w:left w:val="nil"/>
              <w:right w:val="nil"/>
            </w:tcBorders>
            <w:vAlign w:val="bottom"/>
          </w:tcPr>
          <w:p w14:paraId="6C86BBB7" w14:textId="77777777" w:rsidR="00A3021A" w:rsidRPr="00701439" w:rsidRDefault="00A3021A">
            <w:pPr>
              <w:jc w:val="right"/>
              <w:rPr>
                <w:rFonts w:asciiTheme="minorHAnsi" w:hAnsiTheme="minorHAnsi" w:cs="Arial"/>
                <w:sz w:val="20"/>
                <w:szCs w:val="20"/>
              </w:rPr>
            </w:pPr>
          </w:p>
        </w:tc>
        <w:tc>
          <w:tcPr>
            <w:tcW w:w="859" w:type="dxa"/>
            <w:tcBorders>
              <w:top w:val="single" w:sz="4" w:space="0" w:color="auto"/>
              <w:left w:val="nil"/>
              <w:right w:val="nil"/>
            </w:tcBorders>
            <w:vAlign w:val="bottom"/>
          </w:tcPr>
          <w:p w14:paraId="07DC3E77" w14:textId="77777777" w:rsidR="00A3021A" w:rsidRPr="00701439" w:rsidRDefault="00A3021A">
            <w:pPr>
              <w:jc w:val="right"/>
              <w:rPr>
                <w:rFonts w:asciiTheme="minorHAnsi" w:hAnsiTheme="minorHAnsi" w:cs="Arial"/>
                <w:sz w:val="20"/>
                <w:szCs w:val="20"/>
              </w:rPr>
            </w:pPr>
          </w:p>
        </w:tc>
        <w:tc>
          <w:tcPr>
            <w:tcW w:w="992" w:type="dxa"/>
            <w:tcBorders>
              <w:top w:val="single" w:sz="4" w:space="0" w:color="auto"/>
              <w:left w:val="nil"/>
              <w:right w:val="nil"/>
            </w:tcBorders>
            <w:vAlign w:val="bottom"/>
          </w:tcPr>
          <w:p w14:paraId="27550CC3" w14:textId="77777777" w:rsidR="00A3021A" w:rsidRPr="00701439" w:rsidRDefault="00A3021A">
            <w:pPr>
              <w:jc w:val="right"/>
              <w:rPr>
                <w:rFonts w:asciiTheme="minorHAnsi" w:hAnsiTheme="minorHAnsi" w:cs="Arial"/>
                <w:sz w:val="20"/>
                <w:szCs w:val="20"/>
              </w:rPr>
            </w:pPr>
          </w:p>
        </w:tc>
        <w:tc>
          <w:tcPr>
            <w:tcW w:w="1033" w:type="dxa"/>
            <w:tcBorders>
              <w:top w:val="single" w:sz="4" w:space="0" w:color="auto"/>
              <w:left w:val="nil"/>
              <w:right w:val="nil"/>
            </w:tcBorders>
            <w:vAlign w:val="bottom"/>
          </w:tcPr>
          <w:p w14:paraId="04D74ACB" w14:textId="77777777" w:rsidR="00A3021A" w:rsidRPr="00701439" w:rsidRDefault="00A3021A">
            <w:pPr>
              <w:jc w:val="right"/>
              <w:rPr>
                <w:rFonts w:asciiTheme="minorHAnsi" w:hAnsiTheme="minorHAnsi" w:cs="Arial"/>
                <w:sz w:val="20"/>
                <w:szCs w:val="20"/>
              </w:rPr>
            </w:pPr>
          </w:p>
        </w:tc>
        <w:tc>
          <w:tcPr>
            <w:tcW w:w="786" w:type="dxa"/>
            <w:tcBorders>
              <w:top w:val="single" w:sz="4" w:space="0" w:color="auto"/>
              <w:left w:val="nil"/>
              <w:right w:val="nil"/>
            </w:tcBorders>
            <w:vAlign w:val="bottom"/>
          </w:tcPr>
          <w:p w14:paraId="525CF8D4" w14:textId="77777777" w:rsidR="00A3021A" w:rsidRPr="00701439" w:rsidRDefault="00A3021A">
            <w:pPr>
              <w:jc w:val="right"/>
              <w:rPr>
                <w:rFonts w:asciiTheme="minorHAnsi" w:hAnsiTheme="minorHAnsi" w:cs="Arial"/>
                <w:sz w:val="20"/>
                <w:szCs w:val="20"/>
              </w:rPr>
            </w:pPr>
          </w:p>
        </w:tc>
      </w:tr>
      <w:tr w:rsidR="00A3021A" w:rsidRPr="00701439" w14:paraId="1DE9B069" w14:textId="77777777">
        <w:trPr>
          <w:trHeight w:val="238"/>
        </w:trPr>
        <w:tc>
          <w:tcPr>
            <w:tcW w:w="4962" w:type="dxa"/>
            <w:vAlign w:val="bottom"/>
          </w:tcPr>
          <w:p w14:paraId="727A43DF" w14:textId="77777777" w:rsidR="00A3021A" w:rsidRPr="00701439" w:rsidRDefault="00A3021A">
            <w:pPr>
              <w:autoSpaceDE w:val="0"/>
              <w:autoSpaceDN w:val="0"/>
              <w:adjustRightInd w:val="0"/>
              <w:rPr>
                <w:rFonts w:asciiTheme="minorHAnsi" w:hAnsiTheme="minorHAnsi" w:cs="Arial"/>
                <w:bCs/>
                <w:sz w:val="20"/>
                <w:szCs w:val="20"/>
              </w:rPr>
            </w:pPr>
            <w:r w:rsidRPr="00701439">
              <w:rPr>
                <w:rFonts w:asciiTheme="minorHAnsi" w:hAnsiTheme="minorHAnsi" w:cs="Arial"/>
                <w:bCs/>
                <w:sz w:val="20"/>
                <w:szCs w:val="20"/>
              </w:rPr>
              <w:t xml:space="preserve">– actuarial movements on retirement benefit asset </w:t>
            </w:r>
            <w:r w:rsidRPr="00701439">
              <w:rPr>
                <w:rFonts w:asciiTheme="minorHAnsi" w:hAnsiTheme="minorHAnsi" w:cs="Arial"/>
                <w:sz w:val="20"/>
                <w:szCs w:val="20"/>
              </w:rPr>
              <w:t>(note 11)</w:t>
            </w:r>
          </w:p>
        </w:tc>
        <w:tc>
          <w:tcPr>
            <w:tcW w:w="850" w:type="dxa"/>
            <w:tcBorders>
              <w:left w:val="nil"/>
              <w:right w:val="nil"/>
            </w:tcBorders>
            <w:vAlign w:val="bottom"/>
          </w:tcPr>
          <w:p w14:paraId="578AB301"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c>
          <w:tcPr>
            <w:tcW w:w="984" w:type="dxa"/>
            <w:tcBorders>
              <w:left w:val="nil"/>
              <w:right w:val="nil"/>
            </w:tcBorders>
            <w:vAlign w:val="bottom"/>
          </w:tcPr>
          <w:p w14:paraId="7F0203E7"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c>
          <w:tcPr>
            <w:tcW w:w="859" w:type="dxa"/>
            <w:tcBorders>
              <w:left w:val="nil"/>
              <w:right w:val="nil"/>
            </w:tcBorders>
            <w:vAlign w:val="bottom"/>
          </w:tcPr>
          <w:p w14:paraId="0B5CAD42"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c>
          <w:tcPr>
            <w:tcW w:w="992" w:type="dxa"/>
            <w:tcBorders>
              <w:left w:val="nil"/>
              <w:right w:val="nil"/>
            </w:tcBorders>
            <w:vAlign w:val="bottom"/>
          </w:tcPr>
          <w:p w14:paraId="7D6F65A9"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c>
          <w:tcPr>
            <w:tcW w:w="1033" w:type="dxa"/>
            <w:tcBorders>
              <w:left w:val="nil"/>
              <w:right w:val="nil"/>
            </w:tcBorders>
            <w:vAlign w:val="bottom"/>
          </w:tcPr>
          <w:p w14:paraId="359BF670"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(84.2)</w:t>
            </w:r>
          </w:p>
        </w:tc>
        <w:tc>
          <w:tcPr>
            <w:tcW w:w="786" w:type="dxa"/>
            <w:tcBorders>
              <w:left w:val="nil"/>
              <w:right w:val="nil"/>
            </w:tcBorders>
            <w:vAlign w:val="bottom"/>
          </w:tcPr>
          <w:p w14:paraId="3B49EBD9"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(84.2)</w:t>
            </w:r>
          </w:p>
        </w:tc>
      </w:tr>
      <w:tr w:rsidR="00A3021A" w:rsidRPr="00701439" w14:paraId="7A49C896" w14:textId="77777777">
        <w:trPr>
          <w:trHeight w:val="238"/>
        </w:trPr>
        <w:tc>
          <w:tcPr>
            <w:tcW w:w="4962" w:type="dxa"/>
            <w:vAlign w:val="bottom"/>
          </w:tcPr>
          <w:p w14:paraId="2921780C" w14:textId="77777777" w:rsidR="00A3021A" w:rsidRPr="00701439" w:rsidRDefault="00A3021A">
            <w:pPr>
              <w:autoSpaceDE w:val="0"/>
              <w:autoSpaceDN w:val="0"/>
              <w:adjustRightInd w:val="0"/>
              <w:rPr>
                <w:rFonts w:asciiTheme="minorHAnsi" w:hAnsiTheme="minorHAnsi" w:cs="Arial"/>
                <w:bCs/>
                <w:sz w:val="20"/>
                <w:szCs w:val="20"/>
              </w:rPr>
            </w:pPr>
            <w:r w:rsidRPr="00701439">
              <w:rPr>
                <w:rFonts w:asciiTheme="minorHAnsi" w:hAnsiTheme="minorHAnsi" w:cs="Arial"/>
                <w:bCs/>
                <w:sz w:val="20"/>
                <w:szCs w:val="20"/>
              </w:rPr>
              <w:t>–  tax on items taken directly to other</w:t>
            </w:r>
          </w:p>
          <w:p w14:paraId="04073E47" w14:textId="77777777" w:rsidR="00A3021A" w:rsidRPr="00701439" w:rsidRDefault="00A3021A">
            <w:pPr>
              <w:autoSpaceDE w:val="0"/>
              <w:autoSpaceDN w:val="0"/>
              <w:adjustRightInd w:val="0"/>
              <w:rPr>
                <w:rFonts w:asciiTheme="minorHAnsi" w:hAnsiTheme="minorHAnsi" w:cs="Arial"/>
                <w:bCs/>
                <w:sz w:val="20"/>
                <w:szCs w:val="20"/>
              </w:rPr>
            </w:pPr>
            <w:r w:rsidRPr="00701439">
              <w:rPr>
                <w:rFonts w:asciiTheme="minorHAnsi" w:hAnsiTheme="minorHAnsi" w:cs="Arial"/>
                <w:bCs/>
                <w:sz w:val="20"/>
                <w:szCs w:val="20"/>
              </w:rPr>
              <w:t xml:space="preserve">comprehensive income </w:t>
            </w:r>
            <w:r w:rsidRPr="00701439">
              <w:rPr>
                <w:rFonts w:asciiTheme="minorHAnsi" w:hAnsiTheme="minorHAnsi" w:cs="Arial"/>
                <w:sz w:val="20"/>
                <w:szCs w:val="20"/>
              </w:rPr>
              <w:t>(note 5)</w:t>
            </w:r>
          </w:p>
        </w:tc>
        <w:tc>
          <w:tcPr>
            <w:tcW w:w="850" w:type="dxa"/>
            <w:tcBorders>
              <w:left w:val="nil"/>
              <w:right w:val="nil"/>
            </w:tcBorders>
            <w:vAlign w:val="bottom"/>
          </w:tcPr>
          <w:p w14:paraId="24ECDC12"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c>
          <w:tcPr>
            <w:tcW w:w="984" w:type="dxa"/>
            <w:tcBorders>
              <w:left w:val="nil"/>
              <w:right w:val="nil"/>
            </w:tcBorders>
            <w:vAlign w:val="bottom"/>
          </w:tcPr>
          <w:p w14:paraId="2DC373CF"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c>
          <w:tcPr>
            <w:tcW w:w="859" w:type="dxa"/>
            <w:tcBorders>
              <w:left w:val="nil"/>
              <w:right w:val="nil"/>
            </w:tcBorders>
            <w:vAlign w:val="bottom"/>
          </w:tcPr>
          <w:p w14:paraId="3E3E9ACD"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c>
          <w:tcPr>
            <w:tcW w:w="992" w:type="dxa"/>
            <w:tcBorders>
              <w:left w:val="nil"/>
              <w:right w:val="nil"/>
            </w:tcBorders>
            <w:vAlign w:val="bottom"/>
          </w:tcPr>
          <w:p w14:paraId="02C572B5"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c>
          <w:tcPr>
            <w:tcW w:w="1033" w:type="dxa"/>
            <w:tcBorders>
              <w:left w:val="nil"/>
              <w:right w:val="nil"/>
            </w:tcBorders>
            <w:vAlign w:val="bottom"/>
          </w:tcPr>
          <w:p w14:paraId="6BCE4120"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16.0</w:t>
            </w:r>
          </w:p>
        </w:tc>
        <w:tc>
          <w:tcPr>
            <w:tcW w:w="786" w:type="dxa"/>
            <w:tcBorders>
              <w:left w:val="nil"/>
              <w:right w:val="nil"/>
            </w:tcBorders>
            <w:vAlign w:val="bottom"/>
          </w:tcPr>
          <w:p w14:paraId="62A54B62"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16.0</w:t>
            </w:r>
          </w:p>
        </w:tc>
      </w:tr>
      <w:tr w:rsidR="00A3021A" w:rsidRPr="00701439" w14:paraId="759B115C" w14:textId="77777777">
        <w:trPr>
          <w:trHeight w:val="238"/>
        </w:trPr>
        <w:tc>
          <w:tcPr>
            <w:tcW w:w="4962" w:type="dxa"/>
            <w:vAlign w:val="bottom"/>
          </w:tcPr>
          <w:p w14:paraId="7BA12876" w14:textId="77777777" w:rsidR="00A3021A" w:rsidRPr="00701439" w:rsidRDefault="00A3021A">
            <w:pPr>
              <w:autoSpaceDE w:val="0"/>
              <w:autoSpaceDN w:val="0"/>
              <w:adjustRightInd w:val="0"/>
              <w:rPr>
                <w:rFonts w:asciiTheme="minorHAnsi" w:hAnsiTheme="minorHAnsi" w:cs="Arial"/>
                <w:bCs/>
                <w:sz w:val="20"/>
                <w:szCs w:val="20"/>
              </w:rPr>
            </w:pPr>
            <w:r w:rsidRPr="00701439">
              <w:rPr>
                <w:rFonts w:asciiTheme="minorHAnsi" w:hAnsiTheme="minorHAnsi" w:cs="Arial"/>
                <w:bCs/>
                <w:sz w:val="20"/>
                <w:szCs w:val="20"/>
              </w:rPr>
              <w:t xml:space="preserve">– impact of change in UK tax rate </w:t>
            </w:r>
            <w:r w:rsidRPr="00701439">
              <w:rPr>
                <w:rFonts w:asciiTheme="minorHAnsi" w:hAnsiTheme="minorHAnsi" w:cs="Arial"/>
                <w:sz w:val="20"/>
                <w:szCs w:val="20"/>
              </w:rPr>
              <w:t>(note 5)</w:t>
            </w:r>
          </w:p>
        </w:tc>
        <w:tc>
          <w:tcPr>
            <w:tcW w:w="850" w:type="dxa"/>
            <w:tcBorders>
              <w:left w:val="nil"/>
              <w:bottom w:val="single" w:sz="4" w:space="0" w:color="auto"/>
              <w:right w:val="nil"/>
            </w:tcBorders>
            <w:vAlign w:val="bottom"/>
          </w:tcPr>
          <w:p w14:paraId="709A2E60"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c>
          <w:tcPr>
            <w:tcW w:w="984" w:type="dxa"/>
            <w:tcBorders>
              <w:left w:val="nil"/>
              <w:bottom w:val="single" w:sz="4" w:space="0" w:color="auto"/>
              <w:right w:val="nil"/>
            </w:tcBorders>
            <w:vAlign w:val="bottom"/>
          </w:tcPr>
          <w:p w14:paraId="65F20E49"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c>
          <w:tcPr>
            <w:tcW w:w="859" w:type="dxa"/>
            <w:tcBorders>
              <w:left w:val="nil"/>
              <w:bottom w:val="single" w:sz="4" w:space="0" w:color="auto"/>
              <w:right w:val="nil"/>
            </w:tcBorders>
          </w:tcPr>
          <w:p w14:paraId="121AF8A3"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c>
          <w:tcPr>
            <w:tcW w:w="992" w:type="dxa"/>
            <w:tcBorders>
              <w:left w:val="nil"/>
              <w:bottom w:val="single" w:sz="4" w:space="0" w:color="auto"/>
              <w:right w:val="nil"/>
            </w:tcBorders>
            <w:vAlign w:val="bottom"/>
          </w:tcPr>
          <w:p w14:paraId="2FC15132"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c>
          <w:tcPr>
            <w:tcW w:w="1033" w:type="dxa"/>
            <w:tcBorders>
              <w:left w:val="nil"/>
              <w:bottom w:val="single" w:sz="4" w:space="0" w:color="auto"/>
              <w:right w:val="nil"/>
            </w:tcBorders>
            <w:vAlign w:val="bottom"/>
          </w:tcPr>
          <w:p w14:paraId="2654A5AF"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5.0</w:t>
            </w:r>
          </w:p>
        </w:tc>
        <w:tc>
          <w:tcPr>
            <w:tcW w:w="786" w:type="dxa"/>
            <w:tcBorders>
              <w:left w:val="nil"/>
              <w:bottom w:val="single" w:sz="4" w:space="0" w:color="auto"/>
              <w:right w:val="nil"/>
            </w:tcBorders>
            <w:vAlign w:val="bottom"/>
          </w:tcPr>
          <w:p w14:paraId="1864FF19"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5.0</w:t>
            </w:r>
          </w:p>
        </w:tc>
      </w:tr>
      <w:tr w:rsidR="00A3021A" w:rsidRPr="00701439" w14:paraId="3D93E5BA" w14:textId="77777777">
        <w:trPr>
          <w:trHeight w:val="238"/>
        </w:trPr>
        <w:tc>
          <w:tcPr>
            <w:tcW w:w="4962" w:type="dxa"/>
            <w:vAlign w:val="bottom"/>
          </w:tcPr>
          <w:p w14:paraId="58F5E7DD" w14:textId="77777777" w:rsidR="00A3021A" w:rsidRPr="00701439" w:rsidRDefault="00A3021A">
            <w:pPr>
              <w:autoSpaceDE w:val="0"/>
              <w:autoSpaceDN w:val="0"/>
              <w:adjustRightInd w:val="0"/>
              <w:rPr>
                <w:rFonts w:asciiTheme="minorHAnsi" w:hAnsiTheme="minorHAnsi" w:cs="Arial"/>
                <w:bCs/>
                <w:sz w:val="20"/>
                <w:szCs w:val="20"/>
              </w:rPr>
            </w:pPr>
            <w:r w:rsidRPr="00701439">
              <w:rPr>
                <w:rFonts w:asciiTheme="minorHAnsi" w:hAnsiTheme="minorHAnsi" w:cs="Arial"/>
                <w:bCs/>
                <w:sz w:val="20"/>
                <w:szCs w:val="20"/>
              </w:rPr>
              <w:t>Other comprehensive expense for the year</w:t>
            </w:r>
          </w:p>
        </w:tc>
        <w:tc>
          <w:tcPr>
            <w:tcW w:w="850" w:type="dxa"/>
            <w:tcBorders>
              <w:top w:val="single" w:sz="4" w:space="0" w:color="auto"/>
              <w:left w:val="nil"/>
              <w:bottom w:val="single" w:sz="4" w:space="0" w:color="auto"/>
              <w:right w:val="nil"/>
            </w:tcBorders>
            <w:vAlign w:val="bottom"/>
          </w:tcPr>
          <w:p w14:paraId="6CCCE36C"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c>
          <w:tcPr>
            <w:tcW w:w="984" w:type="dxa"/>
            <w:tcBorders>
              <w:top w:val="single" w:sz="4" w:space="0" w:color="auto"/>
              <w:left w:val="nil"/>
              <w:bottom w:val="single" w:sz="4" w:space="0" w:color="auto"/>
              <w:right w:val="nil"/>
            </w:tcBorders>
            <w:vAlign w:val="bottom"/>
          </w:tcPr>
          <w:p w14:paraId="0B3D93C8"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c>
          <w:tcPr>
            <w:tcW w:w="859" w:type="dxa"/>
            <w:tcBorders>
              <w:top w:val="single" w:sz="4" w:space="0" w:color="auto"/>
              <w:left w:val="nil"/>
              <w:bottom w:val="single" w:sz="4" w:space="0" w:color="auto"/>
              <w:right w:val="nil"/>
            </w:tcBorders>
          </w:tcPr>
          <w:p w14:paraId="545B28B6"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c>
          <w:tcPr>
            <w:tcW w:w="992" w:type="dxa"/>
            <w:tcBorders>
              <w:top w:val="single" w:sz="4" w:space="0" w:color="auto"/>
              <w:left w:val="nil"/>
              <w:bottom w:val="single" w:sz="4" w:space="0" w:color="auto"/>
              <w:right w:val="nil"/>
            </w:tcBorders>
            <w:vAlign w:val="bottom"/>
          </w:tcPr>
          <w:p w14:paraId="4835ABC7"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c>
          <w:tcPr>
            <w:tcW w:w="1033" w:type="dxa"/>
            <w:tcBorders>
              <w:top w:val="single" w:sz="4" w:space="0" w:color="auto"/>
              <w:left w:val="nil"/>
              <w:bottom w:val="single" w:sz="4" w:space="0" w:color="auto"/>
              <w:right w:val="nil"/>
            </w:tcBorders>
            <w:vAlign w:val="bottom"/>
          </w:tcPr>
          <w:p w14:paraId="4E0BCD14"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(63.2)</w:t>
            </w:r>
          </w:p>
        </w:tc>
        <w:tc>
          <w:tcPr>
            <w:tcW w:w="786" w:type="dxa"/>
            <w:tcBorders>
              <w:top w:val="single" w:sz="4" w:space="0" w:color="auto"/>
              <w:left w:val="nil"/>
              <w:bottom w:val="single" w:sz="4" w:space="0" w:color="auto"/>
              <w:right w:val="nil"/>
            </w:tcBorders>
            <w:vAlign w:val="bottom"/>
          </w:tcPr>
          <w:p w14:paraId="35C765A9"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(63.2)</w:t>
            </w:r>
          </w:p>
        </w:tc>
      </w:tr>
      <w:tr w:rsidR="00A3021A" w:rsidRPr="00701439" w14:paraId="40D2DAEF" w14:textId="77777777">
        <w:trPr>
          <w:trHeight w:val="238"/>
        </w:trPr>
        <w:tc>
          <w:tcPr>
            <w:tcW w:w="4962" w:type="dxa"/>
            <w:vAlign w:val="bottom"/>
          </w:tcPr>
          <w:p w14:paraId="6DE0E889" w14:textId="77777777" w:rsidR="00A3021A" w:rsidRPr="00701439" w:rsidRDefault="00A3021A">
            <w:pPr>
              <w:autoSpaceDE w:val="0"/>
              <w:autoSpaceDN w:val="0"/>
              <w:adjustRightInd w:val="0"/>
              <w:rPr>
                <w:rFonts w:asciiTheme="minorHAnsi" w:hAnsiTheme="minorHAnsi" w:cs="Arial"/>
                <w:bCs/>
                <w:sz w:val="20"/>
                <w:szCs w:val="20"/>
              </w:rPr>
            </w:pPr>
            <w:r w:rsidRPr="00701439">
              <w:rPr>
                <w:rFonts w:asciiTheme="minorHAnsi" w:hAnsiTheme="minorHAnsi" w:cs="Arial"/>
                <w:bCs/>
                <w:sz w:val="20"/>
                <w:szCs w:val="20"/>
              </w:rPr>
              <w:t>Total comprehensive income for the year</w:t>
            </w:r>
          </w:p>
        </w:tc>
        <w:tc>
          <w:tcPr>
            <w:tcW w:w="850" w:type="dxa"/>
            <w:tcBorders>
              <w:top w:val="single" w:sz="4" w:space="0" w:color="auto"/>
              <w:left w:val="nil"/>
              <w:bottom w:val="single" w:sz="4" w:space="0" w:color="auto"/>
              <w:right w:val="nil"/>
            </w:tcBorders>
            <w:vAlign w:val="bottom"/>
          </w:tcPr>
          <w:p w14:paraId="6845B30C"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c>
          <w:tcPr>
            <w:tcW w:w="984" w:type="dxa"/>
            <w:tcBorders>
              <w:top w:val="single" w:sz="4" w:space="0" w:color="auto"/>
              <w:left w:val="nil"/>
              <w:bottom w:val="single" w:sz="4" w:space="0" w:color="auto"/>
              <w:right w:val="nil"/>
            </w:tcBorders>
            <w:vAlign w:val="bottom"/>
          </w:tcPr>
          <w:p w14:paraId="54F2C71F"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c>
          <w:tcPr>
            <w:tcW w:w="859" w:type="dxa"/>
            <w:tcBorders>
              <w:top w:val="single" w:sz="4" w:space="0" w:color="auto"/>
              <w:left w:val="nil"/>
              <w:bottom w:val="single" w:sz="4" w:space="0" w:color="auto"/>
              <w:right w:val="nil"/>
            </w:tcBorders>
          </w:tcPr>
          <w:p w14:paraId="00CDE275"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c>
          <w:tcPr>
            <w:tcW w:w="992" w:type="dxa"/>
            <w:tcBorders>
              <w:top w:val="single" w:sz="4" w:space="0" w:color="auto"/>
              <w:left w:val="nil"/>
              <w:bottom w:val="single" w:sz="4" w:space="0" w:color="auto"/>
              <w:right w:val="nil"/>
            </w:tcBorders>
            <w:vAlign w:val="bottom"/>
          </w:tcPr>
          <w:p w14:paraId="75754F15"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c>
          <w:tcPr>
            <w:tcW w:w="1033" w:type="dxa"/>
            <w:tcBorders>
              <w:top w:val="single" w:sz="4" w:space="0" w:color="auto"/>
              <w:left w:val="nil"/>
              <w:bottom w:val="single" w:sz="4" w:space="0" w:color="auto"/>
              <w:right w:val="nil"/>
            </w:tcBorders>
            <w:vAlign w:val="bottom"/>
          </w:tcPr>
          <w:p w14:paraId="3067DBC2"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14.2</w:t>
            </w:r>
          </w:p>
        </w:tc>
        <w:tc>
          <w:tcPr>
            <w:tcW w:w="786" w:type="dxa"/>
            <w:tcBorders>
              <w:top w:val="single" w:sz="4" w:space="0" w:color="auto"/>
              <w:left w:val="nil"/>
              <w:bottom w:val="single" w:sz="4" w:space="0" w:color="auto"/>
              <w:right w:val="nil"/>
            </w:tcBorders>
            <w:vAlign w:val="bottom"/>
          </w:tcPr>
          <w:p w14:paraId="1B665B8C"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14.2</w:t>
            </w:r>
          </w:p>
        </w:tc>
      </w:tr>
      <w:tr w:rsidR="00A3021A" w:rsidRPr="00701439" w14:paraId="4B7003F3" w14:textId="77777777">
        <w:trPr>
          <w:trHeight w:val="238"/>
        </w:trPr>
        <w:tc>
          <w:tcPr>
            <w:tcW w:w="4962" w:type="dxa"/>
            <w:vAlign w:val="bottom"/>
          </w:tcPr>
          <w:p w14:paraId="7425CAD4" w14:textId="77777777" w:rsidR="00A3021A" w:rsidRPr="00701439" w:rsidRDefault="00A3021A">
            <w:pPr>
              <w:autoSpaceDE w:val="0"/>
              <w:autoSpaceDN w:val="0"/>
              <w:adjustRightInd w:val="0"/>
              <w:rPr>
                <w:rFonts w:asciiTheme="minorHAnsi" w:hAnsiTheme="minorHAnsi" w:cs="Arial"/>
                <w:bCs/>
                <w:sz w:val="20"/>
                <w:szCs w:val="20"/>
              </w:rPr>
            </w:pPr>
            <w:r w:rsidRPr="00701439">
              <w:rPr>
                <w:rFonts w:asciiTheme="minorHAnsi" w:hAnsiTheme="minorHAnsi" w:cs="Arial"/>
                <w:bCs/>
                <w:sz w:val="20"/>
                <w:szCs w:val="20"/>
              </w:rPr>
              <w:t>Dividends</w:t>
            </w:r>
          </w:p>
        </w:tc>
        <w:tc>
          <w:tcPr>
            <w:tcW w:w="850" w:type="dxa"/>
            <w:tcBorders>
              <w:top w:val="single" w:sz="4" w:space="0" w:color="auto"/>
              <w:left w:val="nil"/>
              <w:right w:val="nil"/>
            </w:tcBorders>
            <w:vAlign w:val="bottom"/>
          </w:tcPr>
          <w:p w14:paraId="68E31635"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c>
          <w:tcPr>
            <w:tcW w:w="984" w:type="dxa"/>
            <w:tcBorders>
              <w:top w:val="single" w:sz="4" w:space="0" w:color="auto"/>
              <w:left w:val="nil"/>
              <w:right w:val="nil"/>
            </w:tcBorders>
            <w:vAlign w:val="bottom"/>
          </w:tcPr>
          <w:p w14:paraId="6AD7DE5F"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c>
          <w:tcPr>
            <w:tcW w:w="859" w:type="dxa"/>
            <w:tcBorders>
              <w:top w:val="single" w:sz="4" w:space="0" w:color="auto"/>
              <w:left w:val="nil"/>
              <w:right w:val="nil"/>
            </w:tcBorders>
          </w:tcPr>
          <w:p w14:paraId="767ACAA9"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c>
          <w:tcPr>
            <w:tcW w:w="992" w:type="dxa"/>
            <w:tcBorders>
              <w:top w:val="single" w:sz="4" w:space="0" w:color="auto"/>
              <w:left w:val="nil"/>
              <w:right w:val="nil"/>
            </w:tcBorders>
            <w:vAlign w:val="bottom"/>
          </w:tcPr>
          <w:p w14:paraId="5FBDA1D0"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c>
          <w:tcPr>
            <w:tcW w:w="1033" w:type="dxa"/>
            <w:tcBorders>
              <w:top w:val="single" w:sz="4" w:space="0" w:color="auto"/>
              <w:left w:val="nil"/>
              <w:right w:val="nil"/>
            </w:tcBorders>
            <w:vAlign w:val="bottom"/>
          </w:tcPr>
          <w:p w14:paraId="08F5A279"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(42.8)</w:t>
            </w:r>
          </w:p>
        </w:tc>
        <w:tc>
          <w:tcPr>
            <w:tcW w:w="786" w:type="dxa"/>
            <w:tcBorders>
              <w:top w:val="single" w:sz="4" w:space="0" w:color="auto"/>
              <w:left w:val="nil"/>
              <w:right w:val="nil"/>
            </w:tcBorders>
            <w:vAlign w:val="bottom"/>
          </w:tcPr>
          <w:p w14:paraId="5266C3BD"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(42.8)</w:t>
            </w:r>
          </w:p>
        </w:tc>
      </w:tr>
      <w:tr w:rsidR="00A3021A" w:rsidRPr="00701439" w14:paraId="39600973" w14:textId="77777777">
        <w:trPr>
          <w:trHeight w:val="238"/>
        </w:trPr>
        <w:tc>
          <w:tcPr>
            <w:tcW w:w="4962" w:type="dxa"/>
            <w:vAlign w:val="bottom"/>
          </w:tcPr>
          <w:p w14:paraId="23545666" w14:textId="77777777" w:rsidR="00A3021A" w:rsidRPr="00701439" w:rsidRDefault="00A3021A">
            <w:pPr>
              <w:autoSpaceDE w:val="0"/>
              <w:autoSpaceDN w:val="0"/>
              <w:adjustRightInd w:val="0"/>
              <w:rPr>
                <w:rFonts w:asciiTheme="minorHAnsi" w:hAnsiTheme="minorHAnsi" w:cs="Arial"/>
                <w:bCs/>
                <w:sz w:val="20"/>
                <w:szCs w:val="20"/>
              </w:rPr>
            </w:pPr>
            <w:r w:rsidRPr="00701439">
              <w:rPr>
                <w:rFonts w:asciiTheme="minorHAnsi" w:hAnsiTheme="minorHAnsi" w:cs="Arial"/>
                <w:bCs/>
                <w:sz w:val="20"/>
                <w:szCs w:val="20"/>
              </w:rPr>
              <w:t>Purchase of own shares</w:t>
            </w:r>
          </w:p>
        </w:tc>
        <w:tc>
          <w:tcPr>
            <w:tcW w:w="850" w:type="dxa"/>
            <w:tcBorders>
              <w:left w:val="nil"/>
              <w:right w:val="nil"/>
            </w:tcBorders>
            <w:vAlign w:val="bottom"/>
          </w:tcPr>
          <w:p w14:paraId="758347B7"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c>
          <w:tcPr>
            <w:tcW w:w="984" w:type="dxa"/>
            <w:tcBorders>
              <w:left w:val="nil"/>
              <w:right w:val="nil"/>
            </w:tcBorders>
            <w:vAlign w:val="bottom"/>
          </w:tcPr>
          <w:p w14:paraId="48632E51"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c>
          <w:tcPr>
            <w:tcW w:w="859" w:type="dxa"/>
            <w:tcBorders>
              <w:left w:val="nil"/>
              <w:right w:val="nil"/>
            </w:tcBorders>
          </w:tcPr>
          <w:p w14:paraId="1FF4B690"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c>
          <w:tcPr>
            <w:tcW w:w="992" w:type="dxa"/>
            <w:tcBorders>
              <w:left w:val="nil"/>
              <w:right w:val="nil"/>
            </w:tcBorders>
            <w:vAlign w:val="bottom"/>
          </w:tcPr>
          <w:p w14:paraId="0A0C83B0"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c>
          <w:tcPr>
            <w:tcW w:w="1033" w:type="dxa"/>
            <w:tcBorders>
              <w:left w:val="nil"/>
              <w:right w:val="nil"/>
            </w:tcBorders>
            <w:vAlign w:val="bottom"/>
          </w:tcPr>
          <w:p w14:paraId="1D24B475"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(0.7)</w:t>
            </w:r>
          </w:p>
        </w:tc>
        <w:tc>
          <w:tcPr>
            <w:tcW w:w="786" w:type="dxa"/>
            <w:tcBorders>
              <w:left w:val="nil"/>
              <w:right w:val="nil"/>
            </w:tcBorders>
            <w:vAlign w:val="bottom"/>
          </w:tcPr>
          <w:p w14:paraId="242BA4DA"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(0.7)</w:t>
            </w:r>
          </w:p>
        </w:tc>
      </w:tr>
      <w:tr w:rsidR="00A3021A" w:rsidRPr="00701439" w14:paraId="18406524" w14:textId="77777777">
        <w:trPr>
          <w:trHeight w:val="238"/>
        </w:trPr>
        <w:tc>
          <w:tcPr>
            <w:tcW w:w="4962" w:type="dxa"/>
            <w:vAlign w:val="bottom"/>
          </w:tcPr>
          <w:p w14:paraId="34575AD8" w14:textId="77777777" w:rsidR="00A3021A" w:rsidRPr="00701439" w:rsidRDefault="00A3021A">
            <w:pPr>
              <w:autoSpaceDE w:val="0"/>
              <w:autoSpaceDN w:val="0"/>
              <w:adjustRightInd w:val="0"/>
              <w:rPr>
                <w:rFonts w:asciiTheme="minorHAnsi" w:hAnsiTheme="minorHAnsi" w:cs="Arial"/>
                <w:bCs/>
                <w:sz w:val="20"/>
                <w:szCs w:val="20"/>
              </w:rPr>
            </w:pPr>
            <w:r w:rsidRPr="00701439">
              <w:rPr>
                <w:rFonts w:asciiTheme="minorHAnsi" w:hAnsiTheme="minorHAnsi" w:cs="Arial"/>
                <w:bCs/>
                <w:sz w:val="20"/>
                <w:szCs w:val="20"/>
              </w:rPr>
              <w:t>Issue of share capital</w:t>
            </w:r>
          </w:p>
        </w:tc>
        <w:tc>
          <w:tcPr>
            <w:tcW w:w="850" w:type="dxa"/>
            <w:tcBorders>
              <w:left w:val="nil"/>
              <w:right w:val="nil"/>
            </w:tcBorders>
            <w:vAlign w:val="bottom"/>
          </w:tcPr>
          <w:p w14:paraId="1644D0AF"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c>
          <w:tcPr>
            <w:tcW w:w="984" w:type="dxa"/>
            <w:tcBorders>
              <w:left w:val="nil"/>
              <w:right w:val="nil"/>
            </w:tcBorders>
            <w:vAlign w:val="bottom"/>
          </w:tcPr>
          <w:p w14:paraId="69069699"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0.2</w:t>
            </w:r>
          </w:p>
        </w:tc>
        <w:tc>
          <w:tcPr>
            <w:tcW w:w="859" w:type="dxa"/>
            <w:tcBorders>
              <w:left w:val="nil"/>
              <w:right w:val="nil"/>
            </w:tcBorders>
          </w:tcPr>
          <w:p w14:paraId="3CCC614B"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c>
          <w:tcPr>
            <w:tcW w:w="992" w:type="dxa"/>
            <w:tcBorders>
              <w:left w:val="nil"/>
              <w:right w:val="nil"/>
            </w:tcBorders>
            <w:vAlign w:val="bottom"/>
          </w:tcPr>
          <w:p w14:paraId="07BD61CD"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c>
          <w:tcPr>
            <w:tcW w:w="1033" w:type="dxa"/>
            <w:tcBorders>
              <w:left w:val="nil"/>
              <w:right w:val="nil"/>
            </w:tcBorders>
            <w:vAlign w:val="bottom"/>
          </w:tcPr>
          <w:p w14:paraId="075DAA00"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c>
          <w:tcPr>
            <w:tcW w:w="786" w:type="dxa"/>
            <w:tcBorders>
              <w:left w:val="nil"/>
              <w:right w:val="nil"/>
            </w:tcBorders>
            <w:vAlign w:val="bottom"/>
          </w:tcPr>
          <w:p w14:paraId="2F4F8224"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0.2</w:t>
            </w:r>
          </w:p>
        </w:tc>
      </w:tr>
      <w:tr w:rsidR="00A3021A" w:rsidRPr="00701439" w14:paraId="3BE9607F" w14:textId="77777777">
        <w:trPr>
          <w:trHeight w:val="238"/>
        </w:trPr>
        <w:tc>
          <w:tcPr>
            <w:tcW w:w="4962" w:type="dxa"/>
            <w:vAlign w:val="bottom"/>
          </w:tcPr>
          <w:p w14:paraId="7974C32F" w14:textId="77777777" w:rsidR="00A3021A" w:rsidRPr="00701439" w:rsidRDefault="00A3021A">
            <w:pPr>
              <w:autoSpaceDE w:val="0"/>
              <w:autoSpaceDN w:val="0"/>
              <w:adjustRightInd w:val="0"/>
              <w:rPr>
                <w:rFonts w:asciiTheme="minorHAnsi" w:hAnsiTheme="minorHAnsi" w:cs="Arial"/>
                <w:bCs/>
                <w:sz w:val="20"/>
                <w:szCs w:val="20"/>
              </w:rPr>
            </w:pPr>
            <w:r w:rsidRPr="00701439">
              <w:rPr>
                <w:rFonts w:asciiTheme="minorHAnsi" w:hAnsiTheme="minorHAnsi" w:cs="Arial"/>
                <w:bCs/>
                <w:sz w:val="20"/>
                <w:szCs w:val="20"/>
              </w:rPr>
              <w:t>Share-based payment charge</w:t>
            </w:r>
          </w:p>
        </w:tc>
        <w:tc>
          <w:tcPr>
            <w:tcW w:w="850" w:type="dxa"/>
            <w:tcBorders>
              <w:left w:val="nil"/>
              <w:right w:val="nil"/>
            </w:tcBorders>
            <w:vAlign w:val="bottom"/>
          </w:tcPr>
          <w:p w14:paraId="0F70C941"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c>
          <w:tcPr>
            <w:tcW w:w="984" w:type="dxa"/>
            <w:tcBorders>
              <w:left w:val="nil"/>
              <w:right w:val="nil"/>
            </w:tcBorders>
            <w:vAlign w:val="bottom"/>
          </w:tcPr>
          <w:p w14:paraId="74E57ABB"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c>
          <w:tcPr>
            <w:tcW w:w="859" w:type="dxa"/>
            <w:tcBorders>
              <w:left w:val="nil"/>
              <w:right w:val="nil"/>
            </w:tcBorders>
            <w:vAlign w:val="bottom"/>
          </w:tcPr>
          <w:p w14:paraId="22A25A03"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c>
          <w:tcPr>
            <w:tcW w:w="992" w:type="dxa"/>
            <w:tcBorders>
              <w:left w:val="nil"/>
              <w:right w:val="nil"/>
            </w:tcBorders>
            <w:vAlign w:val="bottom"/>
          </w:tcPr>
          <w:p w14:paraId="4963E527"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5.1</w:t>
            </w:r>
          </w:p>
        </w:tc>
        <w:tc>
          <w:tcPr>
            <w:tcW w:w="1033" w:type="dxa"/>
            <w:tcBorders>
              <w:left w:val="nil"/>
              <w:right w:val="nil"/>
            </w:tcBorders>
            <w:vAlign w:val="bottom"/>
          </w:tcPr>
          <w:p w14:paraId="185AEEA0"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c>
          <w:tcPr>
            <w:tcW w:w="786" w:type="dxa"/>
            <w:tcBorders>
              <w:left w:val="nil"/>
              <w:right w:val="nil"/>
            </w:tcBorders>
            <w:vAlign w:val="bottom"/>
          </w:tcPr>
          <w:p w14:paraId="7381215A"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5.1</w:t>
            </w:r>
          </w:p>
        </w:tc>
      </w:tr>
      <w:tr w:rsidR="00A3021A" w:rsidRPr="00701439" w14:paraId="621B4AAC" w14:textId="77777777">
        <w:trPr>
          <w:trHeight w:val="238"/>
        </w:trPr>
        <w:tc>
          <w:tcPr>
            <w:tcW w:w="4962" w:type="dxa"/>
            <w:vAlign w:val="bottom"/>
          </w:tcPr>
          <w:p w14:paraId="0327CA12" w14:textId="77777777" w:rsidR="00A3021A" w:rsidRPr="00701439" w:rsidRDefault="00A3021A">
            <w:pPr>
              <w:autoSpaceDE w:val="0"/>
              <w:autoSpaceDN w:val="0"/>
              <w:adjustRightInd w:val="0"/>
              <w:rPr>
                <w:rFonts w:asciiTheme="minorHAnsi" w:hAnsiTheme="minorHAnsi" w:cs="Arial"/>
                <w:bCs/>
                <w:sz w:val="20"/>
                <w:szCs w:val="20"/>
              </w:rPr>
            </w:pPr>
            <w:r w:rsidRPr="00701439">
              <w:rPr>
                <w:rFonts w:asciiTheme="minorHAnsi" w:hAnsiTheme="minorHAnsi" w:cs="Arial"/>
                <w:bCs/>
                <w:sz w:val="20"/>
                <w:szCs w:val="20"/>
              </w:rPr>
              <w:t>Transfer of share-based payment reserve on vesting of share awards</w:t>
            </w:r>
          </w:p>
        </w:tc>
        <w:tc>
          <w:tcPr>
            <w:tcW w:w="850" w:type="dxa"/>
            <w:tcBorders>
              <w:left w:val="nil"/>
              <w:bottom w:val="single" w:sz="4" w:space="0" w:color="auto"/>
              <w:right w:val="nil"/>
            </w:tcBorders>
            <w:vAlign w:val="bottom"/>
          </w:tcPr>
          <w:p w14:paraId="287FD787"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c>
          <w:tcPr>
            <w:tcW w:w="984" w:type="dxa"/>
            <w:tcBorders>
              <w:left w:val="nil"/>
              <w:bottom w:val="single" w:sz="4" w:space="0" w:color="auto"/>
              <w:right w:val="nil"/>
            </w:tcBorders>
            <w:vAlign w:val="bottom"/>
          </w:tcPr>
          <w:p w14:paraId="4B7C185B"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c>
          <w:tcPr>
            <w:tcW w:w="859" w:type="dxa"/>
            <w:tcBorders>
              <w:left w:val="nil"/>
              <w:bottom w:val="single" w:sz="4" w:space="0" w:color="auto"/>
              <w:right w:val="nil"/>
            </w:tcBorders>
            <w:vAlign w:val="bottom"/>
          </w:tcPr>
          <w:p w14:paraId="72BF4262"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c>
          <w:tcPr>
            <w:tcW w:w="992" w:type="dxa"/>
            <w:tcBorders>
              <w:left w:val="nil"/>
              <w:bottom w:val="single" w:sz="4" w:space="0" w:color="auto"/>
              <w:right w:val="nil"/>
            </w:tcBorders>
            <w:vAlign w:val="bottom"/>
          </w:tcPr>
          <w:p w14:paraId="2E6295F3"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(2.5)</w:t>
            </w:r>
          </w:p>
        </w:tc>
        <w:tc>
          <w:tcPr>
            <w:tcW w:w="1033" w:type="dxa"/>
            <w:tcBorders>
              <w:left w:val="nil"/>
              <w:bottom w:val="single" w:sz="4" w:space="0" w:color="auto"/>
              <w:right w:val="nil"/>
            </w:tcBorders>
            <w:vAlign w:val="bottom"/>
          </w:tcPr>
          <w:p w14:paraId="171F57EF"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2.5</w:t>
            </w:r>
          </w:p>
        </w:tc>
        <w:tc>
          <w:tcPr>
            <w:tcW w:w="786" w:type="dxa"/>
            <w:tcBorders>
              <w:left w:val="nil"/>
              <w:bottom w:val="single" w:sz="4" w:space="0" w:color="auto"/>
              <w:right w:val="nil"/>
            </w:tcBorders>
            <w:vAlign w:val="bottom"/>
          </w:tcPr>
          <w:p w14:paraId="287D1855"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r>
      <w:tr w:rsidR="00A3021A" w:rsidRPr="00701439" w14:paraId="2E020D36" w14:textId="77777777">
        <w:trPr>
          <w:trHeight w:val="238"/>
        </w:trPr>
        <w:tc>
          <w:tcPr>
            <w:tcW w:w="4962" w:type="dxa"/>
            <w:vAlign w:val="bottom"/>
          </w:tcPr>
          <w:p w14:paraId="4C0C8180" w14:textId="77777777" w:rsidR="00A3021A" w:rsidRPr="00701439" w:rsidRDefault="00A3021A">
            <w:pPr>
              <w:autoSpaceDE w:val="0"/>
              <w:autoSpaceDN w:val="0"/>
              <w:adjustRightInd w:val="0"/>
              <w:rPr>
                <w:rFonts w:asciiTheme="minorHAnsi" w:hAnsiTheme="minorHAnsi" w:cs="Arial"/>
                <w:bCs/>
                <w:sz w:val="20"/>
                <w:szCs w:val="20"/>
              </w:rPr>
            </w:pPr>
            <w:proofErr w:type="gramStart"/>
            <w:r w:rsidRPr="00701439">
              <w:rPr>
                <w:rFonts w:asciiTheme="minorHAnsi" w:hAnsiTheme="minorHAnsi" w:cs="Arial"/>
                <w:b/>
                <w:sz w:val="20"/>
                <w:szCs w:val="20"/>
              </w:rPr>
              <w:t>At</w:t>
            </w:r>
            <w:proofErr w:type="gramEnd"/>
            <w:r w:rsidRPr="00701439">
              <w:rPr>
                <w:rFonts w:asciiTheme="minorHAnsi" w:hAnsiTheme="minorHAnsi" w:cs="Arial"/>
                <w:b/>
                <w:sz w:val="20"/>
                <w:szCs w:val="20"/>
              </w:rPr>
              <w:t xml:space="preserve"> 31 December 2022</w:t>
            </w:r>
          </w:p>
        </w:tc>
        <w:tc>
          <w:tcPr>
            <w:tcW w:w="850" w:type="dxa"/>
            <w:tcBorders>
              <w:top w:val="single" w:sz="4" w:space="0" w:color="auto"/>
              <w:left w:val="nil"/>
              <w:bottom w:val="single" w:sz="4" w:space="0" w:color="auto"/>
              <w:right w:val="nil"/>
            </w:tcBorders>
            <w:vAlign w:val="bottom"/>
          </w:tcPr>
          <w:p w14:paraId="16D0DD40"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52.6</w:t>
            </w:r>
          </w:p>
        </w:tc>
        <w:tc>
          <w:tcPr>
            <w:tcW w:w="984" w:type="dxa"/>
            <w:tcBorders>
              <w:top w:val="single" w:sz="4" w:space="0" w:color="auto"/>
              <w:left w:val="nil"/>
              <w:bottom w:val="single" w:sz="4" w:space="0" w:color="auto"/>
              <w:right w:val="nil"/>
            </w:tcBorders>
            <w:vAlign w:val="bottom"/>
          </w:tcPr>
          <w:p w14:paraId="65C49A3E"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273.5</w:t>
            </w:r>
          </w:p>
        </w:tc>
        <w:tc>
          <w:tcPr>
            <w:tcW w:w="859" w:type="dxa"/>
            <w:tcBorders>
              <w:top w:val="single" w:sz="4" w:space="0" w:color="auto"/>
              <w:left w:val="nil"/>
              <w:bottom w:val="single" w:sz="4" w:space="0" w:color="auto"/>
              <w:right w:val="nil"/>
            </w:tcBorders>
          </w:tcPr>
          <w:p w14:paraId="425E2CFE"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278.2</w:t>
            </w:r>
          </w:p>
        </w:tc>
        <w:tc>
          <w:tcPr>
            <w:tcW w:w="992" w:type="dxa"/>
            <w:tcBorders>
              <w:top w:val="single" w:sz="4" w:space="0" w:color="auto"/>
              <w:left w:val="nil"/>
              <w:bottom w:val="single" w:sz="4" w:space="0" w:color="auto"/>
              <w:right w:val="nil"/>
            </w:tcBorders>
            <w:vAlign w:val="bottom"/>
          </w:tcPr>
          <w:p w14:paraId="31F0D867"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12.4</w:t>
            </w:r>
          </w:p>
        </w:tc>
        <w:tc>
          <w:tcPr>
            <w:tcW w:w="1033" w:type="dxa"/>
            <w:tcBorders>
              <w:top w:val="single" w:sz="4" w:space="0" w:color="auto"/>
              <w:left w:val="nil"/>
              <w:bottom w:val="single" w:sz="4" w:space="0" w:color="auto"/>
              <w:right w:val="nil"/>
            </w:tcBorders>
            <w:vAlign w:val="bottom"/>
          </w:tcPr>
          <w:p w14:paraId="7FAAAFDF"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(9.5)</w:t>
            </w:r>
          </w:p>
        </w:tc>
        <w:tc>
          <w:tcPr>
            <w:tcW w:w="786" w:type="dxa"/>
            <w:tcBorders>
              <w:top w:val="single" w:sz="4" w:space="0" w:color="auto"/>
              <w:left w:val="nil"/>
              <w:bottom w:val="single" w:sz="4" w:space="0" w:color="auto"/>
              <w:right w:val="nil"/>
            </w:tcBorders>
            <w:vAlign w:val="bottom"/>
          </w:tcPr>
          <w:p w14:paraId="5229F0A7"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607.2</w:t>
            </w:r>
          </w:p>
        </w:tc>
      </w:tr>
    </w:tbl>
    <w:p w14:paraId="1FC1A297" w14:textId="77777777" w:rsidR="00A3021A" w:rsidRPr="00701439" w:rsidRDefault="00A3021A" w:rsidP="00A3021A">
      <w:pPr>
        <w:rPr>
          <w:rFonts w:asciiTheme="minorHAnsi" w:hAnsiTheme="minorHAnsi" w:cs="Arial"/>
          <w:b/>
          <w:sz w:val="20"/>
          <w:szCs w:val="20"/>
        </w:rPr>
      </w:pPr>
    </w:p>
    <w:p w14:paraId="628749C1" w14:textId="77777777" w:rsidR="00A3021A" w:rsidRPr="00701439" w:rsidRDefault="00A3021A" w:rsidP="00A3021A">
      <w:pPr>
        <w:autoSpaceDE w:val="0"/>
        <w:autoSpaceDN w:val="0"/>
        <w:adjustRightInd w:val="0"/>
        <w:jc w:val="both"/>
        <w:rPr>
          <w:rFonts w:ascii="Calibri" w:hAnsi="Calibri" w:cs="Poppins-Light"/>
          <w:sz w:val="20"/>
          <w:szCs w:val="20"/>
        </w:rPr>
      </w:pPr>
      <w:r w:rsidRPr="00701439">
        <w:rPr>
          <w:rFonts w:ascii="Calibri" w:hAnsi="Calibri" w:cs="Poppins-Light"/>
          <w:sz w:val="20"/>
          <w:szCs w:val="20"/>
        </w:rPr>
        <w:t>Goodwill arising on acquisitions prior to 1 January 1998 was eliminated against shareholders’ funds under UK GAAP and was not reinstated on transition to IFRS. Accordingly, retained earnings are shown after directly writing off cumulative goodwill of £1.6m. In addition, cumulative goodwill of £2.3m has been written off against the merger reserve in previous years.</w:t>
      </w:r>
    </w:p>
    <w:p w14:paraId="7B255537" w14:textId="77777777" w:rsidR="00A3021A" w:rsidRPr="00701439" w:rsidRDefault="00A3021A" w:rsidP="00A3021A">
      <w:pPr>
        <w:autoSpaceDE w:val="0"/>
        <w:autoSpaceDN w:val="0"/>
        <w:adjustRightInd w:val="0"/>
        <w:jc w:val="both"/>
        <w:rPr>
          <w:rFonts w:ascii="Calibri" w:hAnsi="Calibri" w:cs="Poppins-Light"/>
          <w:sz w:val="20"/>
          <w:szCs w:val="20"/>
        </w:rPr>
      </w:pPr>
    </w:p>
    <w:p w14:paraId="62431298" w14:textId="07C32E39" w:rsidR="00A3021A" w:rsidRPr="00701439" w:rsidRDefault="00A3021A" w:rsidP="00A3021A">
      <w:pPr>
        <w:autoSpaceDE w:val="0"/>
        <w:autoSpaceDN w:val="0"/>
        <w:adjustRightInd w:val="0"/>
        <w:jc w:val="both"/>
        <w:rPr>
          <w:rFonts w:ascii="Calibri" w:hAnsi="Calibri" w:cs="Poppins-Light"/>
          <w:sz w:val="20"/>
          <w:szCs w:val="20"/>
        </w:rPr>
      </w:pPr>
      <w:r w:rsidRPr="00701439">
        <w:rPr>
          <w:rFonts w:ascii="Calibri" w:hAnsi="Calibri" w:cs="Poppins-Light"/>
          <w:sz w:val="20"/>
          <w:szCs w:val="20"/>
        </w:rPr>
        <w:t>The rights issue in April 2018 was undertaken through a cash box structure which allowed merger relief to be applied to the issue of shares rather than recording share premium. The full merger reserve is now considered distributable.</w:t>
      </w:r>
    </w:p>
    <w:p w14:paraId="422D358C" w14:textId="77777777" w:rsidR="00A3021A" w:rsidRPr="00701439" w:rsidRDefault="00A3021A" w:rsidP="00A3021A">
      <w:pPr>
        <w:jc w:val="both"/>
        <w:rPr>
          <w:rFonts w:asciiTheme="minorHAnsi" w:hAnsiTheme="minorHAnsi" w:cs="Arial"/>
          <w:b/>
          <w:sz w:val="20"/>
          <w:szCs w:val="20"/>
        </w:rPr>
      </w:pPr>
    </w:p>
    <w:p w14:paraId="5B6C1E04" w14:textId="77777777" w:rsidR="00A3021A" w:rsidRPr="00701439" w:rsidRDefault="00A3021A" w:rsidP="00A3021A">
      <w:pPr>
        <w:rPr>
          <w:rFonts w:asciiTheme="minorHAnsi" w:hAnsiTheme="minorHAnsi" w:cs="Arial"/>
          <w:b/>
          <w:sz w:val="20"/>
          <w:szCs w:val="20"/>
        </w:rPr>
      </w:pPr>
    </w:p>
    <w:p w14:paraId="5DC85758" w14:textId="77777777" w:rsidR="00A3021A" w:rsidRPr="00701439" w:rsidRDefault="00A3021A" w:rsidP="00A3021A">
      <w:pPr>
        <w:rPr>
          <w:rFonts w:asciiTheme="minorHAnsi" w:hAnsiTheme="minorHAnsi" w:cs="Arial"/>
          <w:b/>
          <w:sz w:val="20"/>
          <w:szCs w:val="20"/>
        </w:rPr>
      </w:pPr>
    </w:p>
    <w:p w14:paraId="69CBA747" w14:textId="77777777" w:rsidR="00A3021A" w:rsidRPr="00701439" w:rsidRDefault="00A3021A" w:rsidP="00A3021A">
      <w:pPr>
        <w:rPr>
          <w:rFonts w:asciiTheme="minorHAnsi" w:hAnsiTheme="minorHAnsi" w:cs="Arial"/>
          <w:b/>
          <w:sz w:val="20"/>
          <w:szCs w:val="20"/>
        </w:rPr>
      </w:pPr>
    </w:p>
    <w:p w14:paraId="44DD469A" w14:textId="77777777" w:rsidR="00A3021A" w:rsidRPr="00701439" w:rsidRDefault="00A3021A" w:rsidP="00A3021A">
      <w:pPr>
        <w:rPr>
          <w:rFonts w:asciiTheme="minorHAnsi" w:hAnsiTheme="minorHAnsi" w:cs="Arial"/>
          <w:b/>
          <w:sz w:val="20"/>
          <w:szCs w:val="20"/>
        </w:rPr>
      </w:pPr>
    </w:p>
    <w:p w14:paraId="77EA6CCA" w14:textId="77777777" w:rsidR="00A3021A" w:rsidRPr="00701439" w:rsidRDefault="00A3021A" w:rsidP="00A3021A">
      <w:pPr>
        <w:rPr>
          <w:rFonts w:asciiTheme="minorHAnsi" w:hAnsiTheme="minorHAnsi" w:cs="Arial"/>
          <w:b/>
          <w:sz w:val="20"/>
          <w:szCs w:val="20"/>
        </w:rPr>
      </w:pPr>
    </w:p>
    <w:p w14:paraId="775C8255" w14:textId="77777777" w:rsidR="00A3021A" w:rsidRPr="00701439" w:rsidRDefault="00A3021A" w:rsidP="00A3021A">
      <w:pPr>
        <w:rPr>
          <w:rFonts w:asciiTheme="minorHAnsi" w:hAnsiTheme="minorHAnsi" w:cs="Arial"/>
          <w:b/>
          <w:sz w:val="20"/>
          <w:szCs w:val="20"/>
        </w:rPr>
      </w:pPr>
    </w:p>
    <w:p w14:paraId="3300E7F2" w14:textId="77777777" w:rsidR="00A3021A" w:rsidRDefault="00A3021A" w:rsidP="00A3021A">
      <w:pPr>
        <w:rPr>
          <w:rFonts w:asciiTheme="minorHAnsi" w:hAnsiTheme="minorHAnsi" w:cs="Arial"/>
          <w:b/>
          <w:color w:val="4747FF"/>
          <w:sz w:val="22"/>
          <w:szCs w:val="22"/>
        </w:rPr>
      </w:pPr>
    </w:p>
    <w:p w14:paraId="1C73BDE7" w14:textId="77777777" w:rsidR="009B38C1" w:rsidRPr="00701439" w:rsidRDefault="009B38C1" w:rsidP="00A3021A">
      <w:pPr>
        <w:rPr>
          <w:rFonts w:asciiTheme="minorHAnsi" w:hAnsiTheme="minorHAnsi" w:cs="Arial"/>
          <w:b/>
          <w:color w:val="4747FF"/>
          <w:sz w:val="22"/>
          <w:szCs w:val="22"/>
        </w:rPr>
      </w:pPr>
    </w:p>
    <w:p w14:paraId="44CF0C80" w14:textId="77777777" w:rsidR="00A3021A" w:rsidRPr="00701439" w:rsidRDefault="00A3021A" w:rsidP="00A3021A">
      <w:pPr>
        <w:rPr>
          <w:rFonts w:asciiTheme="minorHAnsi" w:hAnsiTheme="minorHAnsi" w:cs="Arial"/>
          <w:b/>
          <w:color w:val="4747FF"/>
          <w:sz w:val="22"/>
          <w:szCs w:val="22"/>
        </w:rPr>
      </w:pPr>
    </w:p>
    <w:p w14:paraId="561F5F51" w14:textId="77777777" w:rsidR="00A3021A" w:rsidRPr="00701439" w:rsidRDefault="00A3021A" w:rsidP="00A3021A">
      <w:pPr>
        <w:rPr>
          <w:rFonts w:asciiTheme="minorHAnsi" w:hAnsiTheme="minorHAnsi" w:cs="Arial"/>
          <w:b/>
          <w:color w:val="4747FF"/>
          <w:sz w:val="22"/>
          <w:szCs w:val="22"/>
        </w:rPr>
      </w:pPr>
      <w:r w:rsidRPr="00701439">
        <w:rPr>
          <w:rFonts w:asciiTheme="minorHAnsi" w:hAnsiTheme="minorHAnsi" w:cs="Arial"/>
          <w:b/>
          <w:color w:val="4747FF"/>
          <w:sz w:val="22"/>
          <w:szCs w:val="22"/>
        </w:rPr>
        <w:lastRenderedPageBreak/>
        <w:t xml:space="preserve">Consolidated statement of cash flows for the year ended 31 </w:t>
      </w:r>
      <w:proofErr w:type="gramStart"/>
      <w:r w:rsidRPr="00701439">
        <w:rPr>
          <w:rFonts w:asciiTheme="minorHAnsi" w:hAnsiTheme="minorHAnsi" w:cs="Arial"/>
          <w:b/>
          <w:color w:val="4747FF"/>
          <w:sz w:val="22"/>
          <w:szCs w:val="22"/>
        </w:rPr>
        <w:t>December</w:t>
      </w:r>
      <w:proofErr w:type="gramEnd"/>
    </w:p>
    <w:p w14:paraId="0C9897F2" w14:textId="77777777" w:rsidR="00A3021A" w:rsidRPr="00701439" w:rsidRDefault="00A3021A" w:rsidP="00A3021A">
      <w:pPr>
        <w:rPr>
          <w:rFonts w:asciiTheme="minorHAnsi" w:hAnsiTheme="minorHAnsi" w:cs="Arial"/>
          <w:sz w:val="20"/>
          <w:szCs w:val="20"/>
        </w:rPr>
      </w:pPr>
    </w:p>
    <w:tbl>
      <w:tblPr>
        <w:tblW w:w="9923" w:type="dxa"/>
        <w:tblLook w:val="0000" w:firstRow="0" w:lastRow="0" w:firstColumn="0" w:lastColumn="0" w:noHBand="0" w:noVBand="0"/>
      </w:tblPr>
      <w:tblGrid>
        <w:gridCol w:w="6487"/>
        <w:gridCol w:w="992"/>
        <w:gridCol w:w="1276"/>
        <w:gridCol w:w="1168"/>
      </w:tblGrid>
      <w:tr w:rsidR="00A3021A" w:rsidRPr="00701439" w14:paraId="552F3A64" w14:textId="77777777">
        <w:tc>
          <w:tcPr>
            <w:tcW w:w="6487" w:type="dxa"/>
          </w:tcPr>
          <w:p w14:paraId="5509D982" w14:textId="77777777" w:rsidR="00A3021A" w:rsidRPr="00701439" w:rsidRDefault="00A3021A">
            <w:pPr>
              <w:jc w:val="right"/>
              <w:rPr>
                <w:rFonts w:asciiTheme="minorHAnsi" w:hAnsiTheme="minorHAnsi" w:cs="Arial"/>
                <w:sz w:val="20"/>
                <w:szCs w:val="20"/>
              </w:rPr>
            </w:pPr>
          </w:p>
        </w:tc>
        <w:tc>
          <w:tcPr>
            <w:tcW w:w="992" w:type="dxa"/>
          </w:tcPr>
          <w:p w14:paraId="75EA2BB6"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Note</w:t>
            </w:r>
          </w:p>
        </w:tc>
        <w:tc>
          <w:tcPr>
            <w:tcW w:w="1276" w:type="dxa"/>
          </w:tcPr>
          <w:p w14:paraId="339BDD01" w14:textId="77777777" w:rsidR="00A3021A" w:rsidRPr="00701439" w:rsidRDefault="00A3021A">
            <w:pPr>
              <w:jc w:val="right"/>
              <w:rPr>
                <w:rFonts w:asciiTheme="minorHAnsi" w:hAnsiTheme="minorHAnsi" w:cs="Arial"/>
                <w:sz w:val="20"/>
                <w:szCs w:val="20"/>
                <w:lang w:val="fr-FR"/>
              </w:rPr>
            </w:pPr>
            <w:r w:rsidRPr="00701439">
              <w:rPr>
                <w:rFonts w:asciiTheme="minorHAnsi" w:hAnsiTheme="minorHAnsi" w:cs="Arial"/>
                <w:sz w:val="20"/>
                <w:szCs w:val="20"/>
                <w:lang w:val="fr-FR"/>
              </w:rPr>
              <w:t>2022 </w:t>
            </w:r>
          </w:p>
        </w:tc>
        <w:tc>
          <w:tcPr>
            <w:tcW w:w="1168" w:type="dxa"/>
          </w:tcPr>
          <w:p w14:paraId="7D7A3AD0"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lang w:val="fr-FR"/>
              </w:rPr>
              <w:t>2021 </w:t>
            </w:r>
          </w:p>
        </w:tc>
      </w:tr>
      <w:tr w:rsidR="00A3021A" w:rsidRPr="00701439" w14:paraId="7DF3FF67" w14:textId="77777777">
        <w:tc>
          <w:tcPr>
            <w:tcW w:w="6487" w:type="dxa"/>
          </w:tcPr>
          <w:p w14:paraId="0FDFFFD9" w14:textId="77777777" w:rsidR="00A3021A" w:rsidRPr="00701439" w:rsidRDefault="00A3021A">
            <w:pPr>
              <w:jc w:val="right"/>
              <w:rPr>
                <w:rFonts w:asciiTheme="minorHAnsi" w:hAnsiTheme="minorHAnsi" w:cs="Arial"/>
                <w:sz w:val="20"/>
                <w:szCs w:val="20"/>
              </w:rPr>
            </w:pPr>
          </w:p>
        </w:tc>
        <w:tc>
          <w:tcPr>
            <w:tcW w:w="992" w:type="dxa"/>
          </w:tcPr>
          <w:p w14:paraId="1F66E26E" w14:textId="77777777" w:rsidR="00A3021A" w:rsidRPr="00701439" w:rsidRDefault="00A3021A">
            <w:pPr>
              <w:jc w:val="right"/>
              <w:rPr>
                <w:rFonts w:asciiTheme="minorHAnsi" w:hAnsiTheme="minorHAnsi" w:cs="Arial"/>
                <w:sz w:val="20"/>
                <w:szCs w:val="20"/>
              </w:rPr>
            </w:pPr>
          </w:p>
        </w:tc>
        <w:tc>
          <w:tcPr>
            <w:tcW w:w="1276" w:type="dxa"/>
            <w:tcBorders>
              <w:top w:val="nil"/>
              <w:left w:val="nil"/>
              <w:bottom w:val="single" w:sz="4" w:space="0" w:color="auto"/>
              <w:right w:val="nil"/>
            </w:tcBorders>
          </w:tcPr>
          <w:p w14:paraId="49094B16"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£m </w:t>
            </w:r>
          </w:p>
        </w:tc>
        <w:tc>
          <w:tcPr>
            <w:tcW w:w="1168" w:type="dxa"/>
            <w:tcBorders>
              <w:top w:val="nil"/>
              <w:left w:val="nil"/>
              <w:bottom w:val="single" w:sz="4" w:space="0" w:color="auto"/>
              <w:right w:val="nil"/>
            </w:tcBorders>
          </w:tcPr>
          <w:p w14:paraId="04925C85"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£m </w:t>
            </w:r>
          </w:p>
        </w:tc>
      </w:tr>
      <w:tr w:rsidR="00A3021A" w:rsidRPr="00701439" w14:paraId="5754000C" w14:textId="77777777">
        <w:tc>
          <w:tcPr>
            <w:tcW w:w="6487" w:type="dxa"/>
            <w:vAlign w:val="bottom"/>
          </w:tcPr>
          <w:p w14:paraId="149A0F40" w14:textId="77777777" w:rsidR="00A3021A" w:rsidRPr="00701439" w:rsidRDefault="00A3021A">
            <w:pPr>
              <w:rPr>
                <w:rFonts w:asciiTheme="minorHAnsi" w:hAnsiTheme="minorHAnsi" w:cs="Arial"/>
                <w:b/>
                <w:sz w:val="20"/>
                <w:szCs w:val="20"/>
              </w:rPr>
            </w:pPr>
            <w:r w:rsidRPr="00701439">
              <w:rPr>
                <w:rFonts w:asciiTheme="minorHAnsi" w:hAnsiTheme="minorHAnsi" w:cs="Arial"/>
                <w:b/>
                <w:sz w:val="20"/>
                <w:szCs w:val="20"/>
              </w:rPr>
              <w:t xml:space="preserve">Cash flows from operating activities </w:t>
            </w:r>
          </w:p>
        </w:tc>
        <w:tc>
          <w:tcPr>
            <w:tcW w:w="992" w:type="dxa"/>
            <w:vAlign w:val="bottom"/>
          </w:tcPr>
          <w:p w14:paraId="7547D566" w14:textId="77777777" w:rsidR="00A3021A" w:rsidRPr="00701439" w:rsidRDefault="00A3021A">
            <w:pPr>
              <w:jc w:val="right"/>
              <w:rPr>
                <w:rFonts w:asciiTheme="minorHAnsi" w:hAnsiTheme="minorHAnsi" w:cs="Arial"/>
                <w:sz w:val="20"/>
                <w:szCs w:val="20"/>
              </w:rPr>
            </w:pPr>
          </w:p>
        </w:tc>
        <w:tc>
          <w:tcPr>
            <w:tcW w:w="1276" w:type="dxa"/>
            <w:tcBorders>
              <w:top w:val="single" w:sz="4" w:space="0" w:color="auto"/>
              <w:left w:val="nil"/>
              <w:bottom w:val="nil"/>
              <w:right w:val="nil"/>
            </w:tcBorders>
            <w:vAlign w:val="bottom"/>
          </w:tcPr>
          <w:p w14:paraId="5FD2B160" w14:textId="77777777" w:rsidR="00A3021A" w:rsidRPr="00701439" w:rsidRDefault="00A3021A">
            <w:pPr>
              <w:jc w:val="right"/>
              <w:rPr>
                <w:rFonts w:asciiTheme="minorHAnsi" w:hAnsiTheme="minorHAnsi" w:cs="Arial"/>
                <w:sz w:val="20"/>
                <w:szCs w:val="20"/>
              </w:rPr>
            </w:pPr>
          </w:p>
        </w:tc>
        <w:tc>
          <w:tcPr>
            <w:tcW w:w="1168" w:type="dxa"/>
            <w:tcBorders>
              <w:top w:val="single" w:sz="4" w:space="0" w:color="auto"/>
              <w:left w:val="nil"/>
              <w:bottom w:val="nil"/>
              <w:right w:val="nil"/>
            </w:tcBorders>
            <w:vAlign w:val="bottom"/>
          </w:tcPr>
          <w:p w14:paraId="30EB8B83" w14:textId="77777777" w:rsidR="00A3021A" w:rsidRPr="00701439" w:rsidRDefault="00A3021A">
            <w:pPr>
              <w:jc w:val="right"/>
              <w:rPr>
                <w:rFonts w:asciiTheme="minorHAnsi" w:hAnsiTheme="minorHAnsi" w:cs="Arial"/>
                <w:sz w:val="20"/>
                <w:szCs w:val="20"/>
              </w:rPr>
            </w:pPr>
          </w:p>
        </w:tc>
      </w:tr>
      <w:tr w:rsidR="00A3021A" w:rsidRPr="00701439" w14:paraId="3CBD2ED3" w14:textId="77777777">
        <w:tc>
          <w:tcPr>
            <w:tcW w:w="6487" w:type="dxa"/>
            <w:vAlign w:val="bottom"/>
          </w:tcPr>
          <w:p w14:paraId="4C92B5EF"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Cash (used in)/generated from operations</w:t>
            </w:r>
          </w:p>
        </w:tc>
        <w:tc>
          <w:tcPr>
            <w:tcW w:w="992" w:type="dxa"/>
            <w:vAlign w:val="bottom"/>
          </w:tcPr>
          <w:p w14:paraId="335A690B"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13</w:t>
            </w:r>
          </w:p>
        </w:tc>
        <w:tc>
          <w:tcPr>
            <w:tcW w:w="1276" w:type="dxa"/>
            <w:vAlign w:val="bottom"/>
          </w:tcPr>
          <w:p w14:paraId="2E7C8EF5" w14:textId="6F8F5339"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w:t>
            </w:r>
            <w:r w:rsidR="006D3493" w:rsidRPr="00701439">
              <w:rPr>
                <w:rFonts w:asciiTheme="minorHAnsi" w:hAnsiTheme="minorHAnsi" w:cs="Arial"/>
                <w:sz w:val="20"/>
                <w:szCs w:val="20"/>
              </w:rPr>
              <w:t>44.</w:t>
            </w:r>
            <w:r w:rsidR="00DB4031" w:rsidRPr="00701439">
              <w:rPr>
                <w:rFonts w:asciiTheme="minorHAnsi" w:hAnsiTheme="minorHAnsi" w:cs="Arial"/>
                <w:sz w:val="20"/>
                <w:szCs w:val="20"/>
              </w:rPr>
              <w:t>3</w:t>
            </w:r>
            <w:r w:rsidRPr="00701439">
              <w:rPr>
                <w:rFonts w:asciiTheme="minorHAnsi" w:hAnsiTheme="minorHAnsi" w:cs="Arial"/>
                <w:sz w:val="20"/>
                <w:szCs w:val="20"/>
              </w:rPr>
              <w:t>)</w:t>
            </w:r>
          </w:p>
        </w:tc>
        <w:tc>
          <w:tcPr>
            <w:tcW w:w="1168" w:type="dxa"/>
            <w:vAlign w:val="bottom"/>
          </w:tcPr>
          <w:p w14:paraId="7B851D2D"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240.5</w:t>
            </w:r>
          </w:p>
        </w:tc>
      </w:tr>
      <w:tr w:rsidR="00A3021A" w:rsidRPr="00701439" w14:paraId="3AC756C9" w14:textId="77777777">
        <w:tc>
          <w:tcPr>
            <w:tcW w:w="6487" w:type="dxa"/>
            <w:vAlign w:val="bottom"/>
          </w:tcPr>
          <w:p w14:paraId="40BA28A6"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Finance costs paid</w:t>
            </w:r>
          </w:p>
        </w:tc>
        <w:tc>
          <w:tcPr>
            <w:tcW w:w="992" w:type="dxa"/>
            <w:vAlign w:val="bottom"/>
          </w:tcPr>
          <w:p w14:paraId="40B63388" w14:textId="77777777" w:rsidR="00A3021A" w:rsidRPr="00701439" w:rsidRDefault="00A3021A">
            <w:pPr>
              <w:jc w:val="right"/>
              <w:rPr>
                <w:rFonts w:asciiTheme="minorHAnsi" w:hAnsiTheme="minorHAnsi" w:cs="Arial"/>
                <w:sz w:val="20"/>
                <w:szCs w:val="20"/>
              </w:rPr>
            </w:pPr>
          </w:p>
        </w:tc>
        <w:tc>
          <w:tcPr>
            <w:tcW w:w="1276" w:type="dxa"/>
            <w:vAlign w:val="bottom"/>
          </w:tcPr>
          <w:p w14:paraId="28E3D055" w14:textId="6878AF96"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r w:rsidR="006D3493" w:rsidRPr="00701439">
              <w:rPr>
                <w:rFonts w:asciiTheme="minorHAnsi" w:hAnsiTheme="minorHAnsi" w:cs="Arial"/>
                <w:sz w:val="20"/>
                <w:szCs w:val="20"/>
              </w:rPr>
              <w:t>47.</w:t>
            </w:r>
            <w:r w:rsidR="00DB4031" w:rsidRPr="00701439">
              <w:rPr>
                <w:rFonts w:asciiTheme="minorHAnsi" w:hAnsiTheme="minorHAnsi" w:cs="Arial"/>
                <w:sz w:val="20"/>
                <w:szCs w:val="20"/>
              </w:rPr>
              <w:t>2</w:t>
            </w:r>
            <w:r w:rsidRPr="00701439">
              <w:rPr>
                <w:rFonts w:asciiTheme="minorHAnsi" w:hAnsiTheme="minorHAnsi" w:cs="Arial"/>
                <w:sz w:val="20"/>
                <w:szCs w:val="20"/>
              </w:rPr>
              <w:t>)</w:t>
            </w:r>
          </w:p>
        </w:tc>
        <w:tc>
          <w:tcPr>
            <w:tcW w:w="1168" w:type="dxa"/>
            <w:vAlign w:val="bottom"/>
          </w:tcPr>
          <w:p w14:paraId="46BC243F"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(71.3)</w:t>
            </w:r>
          </w:p>
        </w:tc>
      </w:tr>
      <w:tr w:rsidR="00A3021A" w:rsidRPr="00701439" w14:paraId="53938B1E" w14:textId="77777777">
        <w:tc>
          <w:tcPr>
            <w:tcW w:w="6487" w:type="dxa"/>
            <w:vAlign w:val="bottom"/>
          </w:tcPr>
          <w:p w14:paraId="0C5924F4"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Tax paid</w:t>
            </w:r>
          </w:p>
        </w:tc>
        <w:tc>
          <w:tcPr>
            <w:tcW w:w="992" w:type="dxa"/>
            <w:vAlign w:val="bottom"/>
          </w:tcPr>
          <w:p w14:paraId="52EB6680" w14:textId="77777777" w:rsidR="00A3021A" w:rsidRPr="00701439" w:rsidRDefault="00A3021A">
            <w:pPr>
              <w:jc w:val="right"/>
              <w:rPr>
                <w:rFonts w:asciiTheme="minorHAnsi" w:hAnsiTheme="minorHAnsi" w:cs="Arial"/>
                <w:sz w:val="20"/>
                <w:szCs w:val="20"/>
              </w:rPr>
            </w:pPr>
          </w:p>
        </w:tc>
        <w:tc>
          <w:tcPr>
            <w:tcW w:w="1276" w:type="dxa"/>
            <w:tcBorders>
              <w:left w:val="nil"/>
              <w:bottom w:val="single" w:sz="4" w:space="0" w:color="auto"/>
              <w:right w:val="nil"/>
            </w:tcBorders>
            <w:vAlign w:val="bottom"/>
          </w:tcPr>
          <w:p w14:paraId="2BC82FBE"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(13.4)</w:t>
            </w:r>
          </w:p>
        </w:tc>
        <w:tc>
          <w:tcPr>
            <w:tcW w:w="1168" w:type="dxa"/>
            <w:tcBorders>
              <w:left w:val="nil"/>
              <w:bottom w:val="single" w:sz="4" w:space="0" w:color="auto"/>
              <w:right w:val="nil"/>
            </w:tcBorders>
            <w:vAlign w:val="bottom"/>
          </w:tcPr>
          <w:p w14:paraId="39DC4D70"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(6.1)</w:t>
            </w:r>
          </w:p>
        </w:tc>
      </w:tr>
      <w:tr w:rsidR="00A3021A" w:rsidRPr="00701439" w14:paraId="3080D87A" w14:textId="77777777">
        <w:tc>
          <w:tcPr>
            <w:tcW w:w="6487" w:type="dxa"/>
            <w:vAlign w:val="bottom"/>
          </w:tcPr>
          <w:p w14:paraId="5E4CD809" w14:textId="77777777" w:rsidR="00A3021A" w:rsidRPr="00701439" w:rsidRDefault="00A3021A">
            <w:pPr>
              <w:rPr>
                <w:rFonts w:asciiTheme="minorHAnsi" w:hAnsiTheme="minorHAnsi" w:cs="Arial"/>
                <w:b/>
                <w:sz w:val="20"/>
                <w:szCs w:val="20"/>
              </w:rPr>
            </w:pPr>
            <w:r w:rsidRPr="00701439">
              <w:rPr>
                <w:rFonts w:asciiTheme="minorHAnsi" w:hAnsiTheme="minorHAnsi" w:cs="Arial"/>
                <w:b/>
                <w:sz w:val="20"/>
                <w:szCs w:val="20"/>
              </w:rPr>
              <w:t xml:space="preserve">Net cash (used in)/generated from operating activities </w:t>
            </w:r>
          </w:p>
        </w:tc>
        <w:tc>
          <w:tcPr>
            <w:tcW w:w="992" w:type="dxa"/>
            <w:vAlign w:val="bottom"/>
          </w:tcPr>
          <w:p w14:paraId="4508BED1" w14:textId="77777777" w:rsidR="00A3021A" w:rsidRPr="00701439" w:rsidRDefault="00A3021A">
            <w:pPr>
              <w:jc w:val="right"/>
              <w:rPr>
                <w:rFonts w:asciiTheme="minorHAnsi" w:hAnsiTheme="minorHAnsi" w:cs="Arial"/>
                <w:sz w:val="20"/>
                <w:szCs w:val="20"/>
              </w:rPr>
            </w:pPr>
          </w:p>
        </w:tc>
        <w:tc>
          <w:tcPr>
            <w:tcW w:w="1276" w:type="dxa"/>
            <w:vAlign w:val="bottom"/>
          </w:tcPr>
          <w:p w14:paraId="7B8D20D4" w14:textId="78F4ED53"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w:t>
            </w:r>
            <w:r w:rsidR="006D3493" w:rsidRPr="00701439">
              <w:rPr>
                <w:rFonts w:asciiTheme="minorHAnsi" w:hAnsiTheme="minorHAnsi" w:cs="Arial"/>
                <w:sz w:val="20"/>
                <w:szCs w:val="20"/>
              </w:rPr>
              <w:t>04.9</w:t>
            </w:r>
            <w:r w:rsidRPr="00701439">
              <w:rPr>
                <w:rFonts w:asciiTheme="minorHAnsi" w:hAnsiTheme="minorHAnsi" w:cs="Arial"/>
                <w:sz w:val="20"/>
                <w:szCs w:val="20"/>
              </w:rPr>
              <w:t>)</w:t>
            </w:r>
          </w:p>
        </w:tc>
        <w:tc>
          <w:tcPr>
            <w:tcW w:w="1168" w:type="dxa"/>
            <w:vAlign w:val="bottom"/>
          </w:tcPr>
          <w:p w14:paraId="70315B1A"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163.1</w:t>
            </w:r>
          </w:p>
        </w:tc>
      </w:tr>
      <w:tr w:rsidR="00A3021A" w:rsidRPr="00701439" w14:paraId="17ADCD1B" w14:textId="77777777">
        <w:tc>
          <w:tcPr>
            <w:tcW w:w="6487" w:type="dxa"/>
            <w:vAlign w:val="bottom"/>
          </w:tcPr>
          <w:p w14:paraId="59FD86AD" w14:textId="77777777" w:rsidR="00A3021A" w:rsidRPr="00701439" w:rsidRDefault="00A3021A">
            <w:pPr>
              <w:rPr>
                <w:rFonts w:asciiTheme="minorHAnsi" w:hAnsiTheme="minorHAnsi" w:cs="Arial"/>
                <w:sz w:val="20"/>
                <w:szCs w:val="20"/>
              </w:rPr>
            </w:pPr>
          </w:p>
        </w:tc>
        <w:tc>
          <w:tcPr>
            <w:tcW w:w="992" w:type="dxa"/>
            <w:vAlign w:val="bottom"/>
          </w:tcPr>
          <w:p w14:paraId="6E248A30" w14:textId="77777777" w:rsidR="00A3021A" w:rsidRPr="00701439" w:rsidRDefault="00A3021A">
            <w:pPr>
              <w:jc w:val="right"/>
              <w:rPr>
                <w:rFonts w:asciiTheme="minorHAnsi" w:hAnsiTheme="minorHAnsi" w:cs="Arial"/>
                <w:sz w:val="20"/>
                <w:szCs w:val="20"/>
              </w:rPr>
            </w:pPr>
          </w:p>
        </w:tc>
        <w:tc>
          <w:tcPr>
            <w:tcW w:w="1276" w:type="dxa"/>
            <w:tcBorders>
              <w:top w:val="single" w:sz="4" w:space="0" w:color="auto"/>
              <w:left w:val="nil"/>
              <w:bottom w:val="nil"/>
              <w:right w:val="nil"/>
            </w:tcBorders>
            <w:vAlign w:val="bottom"/>
          </w:tcPr>
          <w:p w14:paraId="0AD6507F" w14:textId="77777777" w:rsidR="00A3021A" w:rsidRPr="00701439" w:rsidRDefault="00A3021A">
            <w:pPr>
              <w:jc w:val="right"/>
              <w:rPr>
                <w:rFonts w:asciiTheme="minorHAnsi" w:hAnsiTheme="minorHAnsi" w:cs="Arial"/>
                <w:sz w:val="20"/>
                <w:szCs w:val="20"/>
              </w:rPr>
            </w:pPr>
          </w:p>
        </w:tc>
        <w:tc>
          <w:tcPr>
            <w:tcW w:w="1168" w:type="dxa"/>
            <w:tcBorders>
              <w:top w:val="single" w:sz="4" w:space="0" w:color="auto"/>
              <w:left w:val="nil"/>
              <w:bottom w:val="nil"/>
              <w:right w:val="nil"/>
            </w:tcBorders>
            <w:vAlign w:val="bottom"/>
          </w:tcPr>
          <w:p w14:paraId="5ADAD1C1" w14:textId="77777777" w:rsidR="00A3021A" w:rsidRPr="00701439" w:rsidRDefault="00A3021A">
            <w:pPr>
              <w:jc w:val="right"/>
              <w:rPr>
                <w:rFonts w:asciiTheme="minorHAnsi" w:hAnsiTheme="minorHAnsi" w:cs="Arial"/>
                <w:sz w:val="20"/>
                <w:szCs w:val="20"/>
              </w:rPr>
            </w:pPr>
          </w:p>
        </w:tc>
      </w:tr>
      <w:tr w:rsidR="00A3021A" w:rsidRPr="00701439" w14:paraId="238ED389" w14:textId="77777777">
        <w:tc>
          <w:tcPr>
            <w:tcW w:w="6487" w:type="dxa"/>
            <w:vAlign w:val="bottom"/>
          </w:tcPr>
          <w:p w14:paraId="01A23F2F" w14:textId="77777777" w:rsidR="00A3021A" w:rsidRPr="00701439" w:rsidRDefault="00A3021A">
            <w:pPr>
              <w:rPr>
                <w:rFonts w:asciiTheme="minorHAnsi" w:hAnsiTheme="minorHAnsi" w:cs="Arial"/>
                <w:b/>
                <w:sz w:val="20"/>
                <w:szCs w:val="20"/>
              </w:rPr>
            </w:pPr>
            <w:r w:rsidRPr="00701439">
              <w:rPr>
                <w:rFonts w:asciiTheme="minorHAnsi" w:hAnsiTheme="minorHAnsi" w:cs="Arial"/>
                <w:b/>
                <w:sz w:val="20"/>
                <w:szCs w:val="20"/>
              </w:rPr>
              <w:t xml:space="preserve">Cash flows from investing activities </w:t>
            </w:r>
          </w:p>
        </w:tc>
        <w:tc>
          <w:tcPr>
            <w:tcW w:w="992" w:type="dxa"/>
            <w:vAlign w:val="bottom"/>
          </w:tcPr>
          <w:p w14:paraId="485E8E4B" w14:textId="77777777" w:rsidR="00A3021A" w:rsidRPr="00701439" w:rsidRDefault="00A3021A">
            <w:pPr>
              <w:jc w:val="right"/>
              <w:rPr>
                <w:rFonts w:asciiTheme="minorHAnsi" w:hAnsiTheme="minorHAnsi" w:cs="Arial"/>
                <w:sz w:val="20"/>
                <w:szCs w:val="20"/>
              </w:rPr>
            </w:pPr>
          </w:p>
        </w:tc>
        <w:tc>
          <w:tcPr>
            <w:tcW w:w="1276" w:type="dxa"/>
            <w:vAlign w:val="bottom"/>
          </w:tcPr>
          <w:p w14:paraId="6E85B121" w14:textId="77777777" w:rsidR="00A3021A" w:rsidRPr="00701439" w:rsidRDefault="00A3021A">
            <w:pPr>
              <w:jc w:val="right"/>
              <w:rPr>
                <w:rFonts w:asciiTheme="minorHAnsi" w:hAnsiTheme="minorHAnsi" w:cs="Arial"/>
                <w:sz w:val="20"/>
                <w:szCs w:val="20"/>
              </w:rPr>
            </w:pPr>
          </w:p>
        </w:tc>
        <w:tc>
          <w:tcPr>
            <w:tcW w:w="1168" w:type="dxa"/>
            <w:vAlign w:val="bottom"/>
          </w:tcPr>
          <w:p w14:paraId="19E93B26" w14:textId="77777777" w:rsidR="00A3021A" w:rsidRPr="00701439" w:rsidRDefault="00A3021A">
            <w:pPr>
              <w:jc w:val="right"/>
              <w:rPr>
                <w:rFonts w:asciiTheme="minorHAnsi" w:hAnsiTheme="minorHAnsi" w:cs="Arial"/>
                <w:sz w:val="20"/>
                <w:szCs w:val="20"/>
              </w:rPr>
            </w:pPr>
          </w:p>
        </w:tc>
      </w:tr>
      <w:tr w:rsidR="00A3021A" w:rsidRPr="00701439" w14:paraId="696CBE98" w14:textId="77777777">
        <w:tc>
          <w:tcPr>
            <w:tcW w:w="6487" w:type="dxa"/>
            <w:vAlign w:val="bottom"/>
          </w:tcPr>
          <w:p w14:paraId="3955E11F"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Purchase of intangible assets</w:t>
            </w:r>
          </w:p>
        </w:tc>
        <w:tc>
          <w:tcPr>
            <w:tcW w:w="992" w:type="dxa"/>
            <w:vAlign w:val="bottom"/>
          </w:tcPr>
          <w:p w14:paraId="2EAA3E80"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10</w:t>
            </w:r>
          </w:p>
        </w:tc>
        <w:tc>
          <w:tcPr>
            <w:tcW w:w="1276" w:type="dxa"/>
            <w:vAlign w:val="bottom"/>
          </w:tcPr>
          <w:p w14:paraId="542C7EFA"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(29.2)</w:t>
            </w:r>
          </w:p>
        </w:tc>
        <w:tc>
          <w:tcPr>
            <w:tcW w:w="1168" w:type="dxa"/>
            <w:vAlign w:val="bottom"/>
          </w:tcPr>
          <w:p w14:paraId="4A102BCA"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(24.8)</w:t>
            </w:r>
          </w:p>
        </w:tc>
      </w:tr>
      <w:tr w:rsidR="00A3021A" w:rsidRPr="00701439" w14:paraId="00773A50" w14:textId="77777777">
        <w:tc>
          <w:tcPr>
            <w:tcW w:w="6487" w:type="dxa"/>
            <w:vAlign w:val="bottom"/>
          </w:tcPr>
          <w:p w14:paraId="0BD8C1BC" w14:textId="77777777" w:rsidR="00A3021A" w:rsidRPr="00701439" w:rsidRDefault="00A3021A">
            <w:pPr>
              <w:rPr>
                <w:rFonts w:ascii="Calibri" w:hAnsi="Calibri" w:cs="Arial"/>
                <w:sz w:val="20"/>
                <w:szCs w:val="20"/>
              </w:rPr>
            </w:pPr>
            <w:r w:rsidRPr="00701439">
              <w:rPr>
                <w:rFonts w:ascii="Calibri" w:hAnsi="Calibri" w:cs="Arial"/>
                <w:sz w:val="20"/>
                <w:szCs w:val="20"/>
              </w:rPr>
              <w:t xml:space="preserve">Purchase of property, </w:t>
            </w:r>
            <w:proofErr w:type="gramStart"/>
            <w:r w:rsidRPr="00701439">
              <w:rPr>
                <w:rFonts w:ascii="Calibri" w:hAnsi="Calibri" w:cs="Arial"/>
                <w:sz w:val="20"/>
                <w:szCs w:val="20"/>
              </w:rPr>
              <w:t>plant</w:t>
            </w:r>
            <w:proofErr w:type="gramEnd"/>
            <w:r w:rsidRPr="00701439">
              <w:rPr>
                <w:rFonts w:ascii="Calibri" w:hAnsi="Calibri" w:cs="Arial"/>
                <w:sz w:val="20"/>
                <w:szCs w:val="20"/>
              </w:rPr>
              <w:t xml:space="preserve"> and equipment</w:t>
            </w:r>
          </w:p>
        </w:tc>
        <w:tc>
          <w:tcPr>
            <w:tcW w:w="992" w:type="dxa"/>
            <w:vAlign w:val="bottom"/>
          </w:tcPr>
          <w:p w14:paraId="158D0E15" w14:textId="77777777" w:rsidR="00A3021A" w:rsidRPr="00701439" w:rsidRDefault="00A3021A">
            <w:pPr>
              <w:jc w:val="right"/>
              <w:rPr>
                <w:rFonts w:asciiTheme="minorHAnsi" w:hAnsiTheme="minorHAnsi" w:cs="Arial"/>
                <w:sz w:val="20"/>
                <w:szCs w:val="20"/>
              </w:rPr>
            </w:pPr>
          </w:p>
        </w:tc>
        <w:tc>
          <w:tcPr>
            <w:tcW w:w="1276" w:type="dxa"/>
            <w:vAlign w:val="bottom"/>
          </w:tcPr>
          <w:p w14:paraId="5F620BBA"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(3.6)</w:t>
            </w:r>
          </w:p>
        </w:tc>
        <w:tc>
          <w:tcPr>
            <w:tcW w:w="1168" w:type="dxa"/>
            <w:vAlign w:val="bottom"/>
          </w:tcPr>
          <w:p w14:paraId="4F68BF14"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(1.3)</w:t>
            </w:r>
          </w:p>
        </w:tc>
      </w:tr>
      <w:tr w:rsidR="00A3021A" w:rsidRPr="00701439" w14:paraId="0C484574" w14:textId="77777777">
        <w:tc>
          <w:tcPr>
            <w:tcW w:w="6487" w:type="dxa"/>
            <w:vAlign w:val="bottom"/>
          </w:tcPr>
          <w:p w14:paraId="7904AC95" w14:textId="77777777" w:rsidR="00A3021A" w:rsidRPr="00701439" w:rsidRDefault="00A3021A">
            <w:pPr>
              <w:rPr>
                <w:rFonts w:ascii="Calibri" w:hAnsi="Calibri" w:cs="Arial"/>
                <w:sz w:val="20"/>
                <w:szCs w:val="20"/>
              </w:rPr>
            </w:pPr>
            <w:r w:rsidRPr="00701439">
              <w:rPr>
                <w:rFonts w:ascii="Calibri" w:hAnsi="Calibri" w:cs="Arial"/>
                <w:sz w:val="20"/>
                <w:szCs w:val="20"/>
              </w:rPr>
              <w:t xml:space="preserve">Proceeds from disposal of property, </w:t>
            </w:r>
            <w:proofErr w:type="gramStart"/>
            <w:r w:rsidRPr="00701439">
              <w:rPr>
                <w:rFonts w:ascii="Calibri" w:hAnsi="Calibri" w:cs="Arial"/>
                <w:sz w:val="20"/>
                <w:szCs w:val="20"/>
              </w:rPr>
              <w:t>plant</w:t>
            </w:r>
            <w:proofErr w:type="gramEnd"/>
            <w:r w:rsidRPr="00701439">
              <w:rPr>
                <w:rFonts w:ascii="Calibri" w:hAnsi="Calibri" w:cs="Arial"/>
                <w:sz w:val="20"/>
                <w:szCs w:val="20"/>
              </w:rPr>
              <w:t xml:space="preserve"> and equipment</w:t>
            </w:r>
          </w:p>
        </w:tc>
        <w:tc>
          <w:tcPr>
            <w:tcW w:w="992" w:type="dxa"/>
            <w:vAlign w:val="bottom"/>
          </w:tcPr>
          <w:p w14:paraId="435DBFB3" w14:textId="77777777" w:rsidR="00A3021A" w:rsidRPr="00701439" w:rsidRDefault="00A3021A">
            <w:pPr>
              <w:jc w:val="right"/>
              <w:rPr>
                <w:rFonts w:asciiTheme="minorHAnsi" w:hAnsiTheme="minorHAnsi" w:cs="Arial"/>
                <w:sz w:val="20"/>
                <w:szCs w:val="20"/>
              </w:rPr>
            </w:pPr>
          </w:p>
        </w:tc>
        <w:tc>
          <w:tcPr>
            <w:tcW w:w="1276" w:type="dxa"/>
            <w:vAlign w:val="bottom"/>
          </w:tcPr>
          <w:p w14:paraId="7E9006DF"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c>
          <w:tcPr>
            <w:tcW w:w="1168" w:type="dxa"/>
            <w:vAlign w:val="bottom"/>
          </w:tcPr>
          <w:p w14:paraId="766498D6"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3.8</w:t>
            </w:r>
          </w:p>
        </w:tc>
      </w:tr>
      <w:tr w:rsidR="00A3021A" w:rsidRPr="00701439" w14:paraId="15BB4B08" w14:textId="77777777">
        <w:tc>
          <w:tcPr>
            <w:tcW w:w="6487" w:type="dxa"/>
            <w:vAlign w:val="bottom"/>
          </w:tcPr>
          <w:p w14:paraId="4B9D226C" w14:textId="77777777" w:rsidR="00A3021A" w:rsidRPr="00701439" w:rsidRDefault="00A3021A">
            <w:pPr>
              <w:rPr>
                <w:rFonts w:asciiTheme="minorHAnsi" w:hAnsiTheme="minorHAnsi" w:cs="Arial"/>
                <w:b/>
                <w:sz w:val="20"/>
                <w:szCs w:val="20"/>
              </w:rPr>
            </w:pPr>
            <w:r w:rsidRPr="00701439">
              <w:rPr>
                <w:rFonts w:asciiTheme="minorHAnsi" w:hAnsiTheme="minorHAnsi" w:cs="Arial"/>
                <w:b/>
                <w:sz w:val="20"/>
                <w:szCs w:val="20"/>
              </w:rPr>
              <w:t xml:space="preserve">Net cash used in investing activities </w:t>
            </w:r>
          </w:p>
        </w:tc>
        <w:tc>
          <w:tcPr>
            <w:tcW w:w="992" w:type="dxa"/>
            <w:vAlign w:val="bottom"/>
          </w:tcPr>
          <w:p w14:paraId="663E544F" w14:textId="77777777" w:rsidR="00A3021A" w:rsidRPr="00701439" w:rsidRDefault="00A3021A">
            <w:pPr>
              <w:jc w:val="right"/>
              <w:rPr>
                <w:rFonts w:asciiTheme="minorHAnsi" w:hAnsiTheme="minorHAnsi" w:cs="Arial"/>
                <w:sz w:val="20"/>
                <w:szCs w:val="20"/>
              </w:rPr>
            </w:pPr>
          </w:p>
        </w:tc>
        <w:tc>
          <w:tcPr>
            <w:tcW w:w="1276" w:type="dxa"/>
            <w:tcBorders>
              <w:top w:val="single" w:sz="4" w:space="0" w:color="auto"/>
              <w:left w:val="nil"/>
              <w:bottom w:val="nil"/>
              <w:right w:val="nil"/>
            </w:tcBorders>
            <w:vAlign w:val="bottom"/>
          </w:tcPr>
          <w:p w14:paraId="00355B0E"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(32.8)</w:t>
            </w:r>
          </w:p>
        </w:tc>
        <w:tc>
          <w:tcPr>
            <w:tcW w:w="1168" w:type="dxa"/>
            <w:tcBorders>
              <w:top w:val="single" w:sz="4" w:space="0" w:color="auto"/>
              <w:left w:val="nil"/>
              <w:bottom w:val="nil"/>
              <w:right w:val="nil"/>
            </w:tcBorders>
            <w:vAlign w:val="bottom"/>
          </w:tcPr>
          <w:p w14:paraId="19F2E155"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(22.3)</w:t>
            </w:r>
          </w:p>
        </w:tc>
      </w:tr>
      <w:tr w:rsidR="00A3021A" w:rsidRPr="00701439" w14:paraId="308830AE" w14:textId="77777777">
        <w:tc>
          <w:tcPr>
            <w:tcW w:w="6487" w:type="dxa"/>
            <w:vAlign w:val="bottom"/>
          </w:tcPr>
          <w:p w14:paraId="4D3A28E2" w14:textId="77777777" w:rsidR="00A3021A" w:rsidRPr="00701439" w:rsidRDefault="00A3021A">
            <w:pPr>
              <w:rPr>
                <w:rFonts w:asciiTheme="minorHAnsi" w:hAnsiTheme="minorHAnsi" w:cs="Arial"/>
                <w:sz w:val="20"/>
                <w:szCs w:val="20"/>
              </w:rPr>
            </w:pPr>
          </w:p>
        </w:tc>
        <w:tc>
          <w:tcPr>
            <w:tcW w:w="992" w:type="dxa"/>
            <w:vAlign w:val="bottom"/>
          </w:tcPr>
          <w:p w14:paraId="4B3F543A" w14:textId="77777777" w:rsidR="00A3021A" w:rsidRPr="00701439" w:rsidRDefault="00A3021A">
            <w:pPr>
              <w:jc w:val="right"/>
              <w:rPr>
                <w:rFonts w:asciiTheme="minorHAnsi" w:hAnsiTheme="minorHAnsi" w:cs="Arial"/>
                <w:sz w:val="20"/>
                <w:szCs w:val="20"/>
              </w:rPr>
            </w:pPr>
          </w:p>
        </w:tc>
        <w:tc>
          <w:tcPr>
            <w:tcW w:w="1276" w:type="dxa"/>
            <w:tcBorders>
              <w:top w:val="single" w:sz="4" w:space="0" w:color="auto"/>
              <w:left w:val="nil"/>
              <w:bottom w:val="nil"/>
              <w:right w:val="nil"/>
            </w:tcBorders>
            <w:vAlign w:val="bottom"/>
          </w:tcPr>
          <w:p w14:paraId="578F173A" w14:textId="77777777" w:rsidR="00A3021A" w:rsidRPr="00701439" w:rsidRDefault="00A3021A">
            <w:pPr>
              <w:jc w:val="right"/>
              <w:rPr>
                <w:rFonts w:asciiTheme="minorHAnsi" w:hAnsiTheme="minorHAnsi" w:cs="Arial"/>
                <w:sz w:val="20"/>
                <w:szCs w:val="20"/>
              </w:rPr>
            </w:pPr>
          </w:p>
        </w:tc>
        <w:tc>
          <w:tcPr>
            <w:tcW w:w="1168" w:type="dxa"/>
            <w:tcBorders>
              <w:top w:val="single" w:sz="4" w:space="0" w:color="auto"/>
              <w:left w:val="nil"/>
              <w:bottom w:val="nil"/>
              <w:right w:val="nil"/>
            </w:tcBorders>
            <w:vAlign w:val="bottom"/>
          </w:tcPr>
          <w:p w14:paraId="277AE3F7" w14:textId="77777777" w:rsidR="00A3021A" w:rsidRPr="00701439" w:rsidRDefault="00A3021A">
            <w:pPr>
              <w:jc w:val="right"/>
              <w:rPr>
                <w:rFonts w:asciiTheme="minorHAnsi" w:hAnsiTheme="minorHAnsi" w:cs="Arial"/>
                <w:sz w:val="20"/>
                <w:szCs w:val="20"/>
              </w:rPr>
            </w:pPr>
          </w:p>
        </w:tc>
      </w:tr>
      <w:tr w:rsidR="00A3021A" w:rsidRPr="00701439" w14:paraId="5C1F1BC3" w14:textId="77777777">
        <w:tc>
          <w:tcPr>
            <w:tcW w:w="6487" w:type="dxa"/>
            <w:vAlign w:val="bottom"/>
          </w:tcPr>
          <w:p w14:paraId="73C054A8" w14:textId="77777777" w:rsidR="00A3021A" w:rsidRPr="00701439" w:rsidRDefault="00A3021A">
            <w:pPr>
              <w:rPr>
                <w:rFonts w:asciiTheme="minorHAnsi" w:hAnsiTheme="minorHAnsi" w:cs="Arial"/>
                <w:b/>
                <w:sz w:val="20"/>
                <w:szCs w:val="20"/>
              </w:rPr>
            </w:pPr>
            <w:r w:rsidRPr="00701439">
              <w:rPr>
                <w:rFonts w:asciiTheme="minorHAnsi" w:hAnsiTheme="minorHAnsi" w:cs="Arial"/>
                <w:b/>
                <w:sz w:val="20"/>
                <w:szCs w:val="20"/>
              </w:rPr>
              <w:t xml:space="preserve">Cash flows from financing activities </w:t>
            </w:r>
          </w:p>
        </w:tc>
        <w:tc>
          <w:tcPr>
            <w:tcW w:w="992" w:type="dxa"/>
            <w:vAlign w:val="bottom"/>
          </w:tcPr>
          <w:p w14:paraId="347C9BE1" w14:textId="77777777" w:rsidR="00A3021A" w:rsidRPr="00701439" w:rsidRDefault="00A3021A">
            <w:pPr>
              <w:jc w:val="right"/>
              <w:rPr>
                <w:rFonts w:asciiTheme="minorHAnsi" w:hAnsiTheme="minorHAnsi" w:cs="Arial"/>
                <w:sz w:val="20"/>
                <w:szCs w:val="20"/>
              </w:rPr>
            </w:pPr>
          </w:p>
        </w:tc>
        <w:tc>
          <w:tcPr>
            <w:tcW w:w="1276" w:type="dxa"/>
            <w:vAlign w:val="bottom"/>
          </w:tcPr>
          <w:p w14:paraId="2B74E17A" w14:textId="77777777" w:rsidR="00A3021A" w:rsidRPr="00701439" w:rsidRDefault="00A3021A">
            <w:pPr>
              <w:jc w:val="right"/>
              <w:rPr>
                <w:rFonts w:asciiTheme="minorHAnsi" w:hAnsiTheme="minorHAnsi" w:cs="Arial"/>
                <w:sz w:val="20"/>
                <w:szCs w:val="20"/>
              </w:rPr>
            </w:pPr>
          </w:p>
        </w:tc>
        <w:tc>
          <w:tcPr>
            <w:tcW w:w="1168" w:type="dxa"/>
            <w:vAlign w:val="bottom"/>
          </w:tcPr>
          <w:p w14:paraId="3DFADDE3" w14:textId="77777777" w:rsidR="00A3021A" w:rsidRPr="00701439" w:rsidRDefault="00A3021A">
            <w:pPr>
              <w:jc w:val="right"/>
              <w:rPr>
                <w:rFonts w:asciiTheme="minorHAnsi" w:hAnsiTheme="minorHAnsi" w:cs="Arial"/>
                <w:sz w:val="20"/>
                <w:szCs w:val="20"/>
              </w:rPr>
            </w:pPr>
          </w:p>
        </w:tc>
      </w:tr>
      <w:tr w:rsidR="00A3021A" w:rsidRPr="00701439" w14:paraId="7E90609F" w14:textId="77777777">
        <w:tc>
          <w:tcPr>
            <w:tcW w:w="6487" w:type="dxa"/>
            <w:vAlign w:val="bottom"/>
          </w:tcPr>
          <w:p w14:paraId="307900ED" w14:textId="77777777" w:rsidR="00A3021A" w:rsidRPr="00701439" w:rsidRDefault="00A3021A">
            <w:pPr>
              <w:rPr>
                <w:rFonts w:ascii="Calibri" w:hAnsi="Calibri" w:cs="Arial"/>
                <w:sz w:val="20"/>
                <w:szCs w:val="20"/>
              </w:rPr>
            </w:pPr>
            <w:r w:rsidRPr="00701439">
              <w:rPr>
                <w:rFonts w:ascii="Calibri" w:hAnsi="Calibri" w:cs="Arial"/>
                <w:sz w:val="20"/>
                <w:szCs w:val="20"/>
              </w:rPr>
              <w:t xml:space="preserve">Proceeds from bank and other borrowings </w:t>
            </w:r>
          </w:p>
        </w:tc>
        <w:tc>
          <w:tcPr>
            <w:tcW w:w="992" w:type="dxa"/>
            <w:vAlign w:val="bottom"/>
          </w:tcPr>
          <w:p w14:paraId="2D254BF5" w14:textId="77777777" w:rsidR="00A3021A" w:rsidRPr="00701439" w:rsidRDefault="00A3021A">
            <w:pPr>
              <w:jc w:val="right"/>
              <w:rPr>
                <w:rFonts w:asciiTheme="minorHAnsi" w:hAnsiTheme="minorHAnsi" w:cs="Arial"/>
                <w:sz w:val="20"/>
                <w:szCs w:val="20"/>
              </w:rPr>
            </w:pPr>
          </w:p>
        </w:tc>
        <w:tc>
          <w:tcPr>
            <w:tcW w:w="1276" w:type="dxa"/>
            <w:vAlign w:val="bottom"/>
          </w:tcPr>
          <w:p w14:paraId="0ADFB0E7"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485.5</w:t>
            </w:r>
          </w:p>
        </w:tc>
        <w:tc>
          <w:tcPr>
            <w:tcW w:w="1168" w:type="dxa"/>
            <w:vAlign w:val="bottom"/>
          </w:tcPr>
          <w:p w14:paraId="4292388D"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746.0</w:t>
            </w:r>
          </w:p>
        </w:tc>
      </w:tr>
      <w:tr w:rsidR="00A3021A" w:rsidRPr="00701439" w14:paraId="3E725017" w14:textId="77777777">
        <w:tc>
          <w:tcPr>
            <w:tcW w:w="6487" w:type="dxa"/>
            <w:vAlign w:val="bottom"/>
          </w:tcPr>
          <w:p w14:paraId="03D7A715" w14:textId="77777777" w:rsidR="00A3021A" w:rsidRPr="00701439" w:rsidRDefault="00A3021A">
            <w:pPr>
              <w:rPr>
                <w:rFonts w:ascii="Calibri" w:hAnsi="Calibri" w:cs="Arial"/>
                <w:sz w:val="20"/>
                <w:szCs w:val="20"/>
                <w:lang w:val="en-US"/>
              </w:rPr>
            </w:pPr>
            <w:r w:rsidRPr="00701439">
              <w:rPr>
                <w:rFonts w:ascii="Calibri" w:hAnsi="Calibri" w:cs="Arial"/>
                <w:sz w:val="20"/>
                <w:szCs w:val="20"/>
                <w:lang w:val="en-US"/>
              </w:rPr>
              <w:t>Repayment of bank and other borrowings</w:t>
            </w:r>
          </w:p>
        </w:tc>
        <w:tc>
          <w:tcPr>
            <w:tcW w:w="992" w:type="dxa"/>
            <w:vAlign w:val="bottom"/>
          </w:tcPr>
          <w:p w14:paraId="033172BA" w14:textId="77777777" w:rsidR="00A3021A" w:rsidRPr="00701439" w:rsidRDefault="00A3021A">
            <w:pPr>
              <w:jc w:val="right"/>
              <w:rPr>
                <w:rFonts w:asciiTheme="minorHAnsi" w:hAnsiTheme="minorHAnsi" w:cs="Arial"/>
                <w:sz w:val="20"/>
                <w:szCs w:val="20"/>
              </w:rPr>
            </w:pPr>
          </w:p>
        </w:tc>
        <w:tc>
          <w:tcPr>
            <w:tcW w:w="1276" w:type="dxa"/>
            <w:vAlign w:val="bottom"/>
          </w:tcPr>
          <w:p w14:paraId="1B0AEF7D" w14:textId="67416F34"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(4</w:t>
            </w:r>
            <w:r w:rsidR="00EB698D" w:rsidRPr="00701439">
              <w:rPr>
                <w:rFonts w:asciiTheme="minorHAnsi" w:hAnsiTheme="minorHAnsi" w:cs="Arial"/>
                <w:sz w:val="20"/>
                <w:szCs w:val="20"/>
              </w:rPr>
              <w:t>43.9</w:t>
            </w:r>
            <w:r w:rsidRPr="00701439">
              <w:rPr>
                <w:rFonts w:asciiTheme="minorHAnsi" w:hAnsiTheme="minorHAnsi" w:cs="Arial"/>
                <w:sz w:val="20"/>
                <w:szCs w:val="20"/>
              </w:rPr>
              <w:t>)</w:t>
            </w:r>
          </w:p>
        </w:tc>
        <w:tc>
          <w:tcPr>
            <w:tcW w:w="1168" w:type="dxa"/>
            <w:vAlign w:val="bottom"/>
          </w:tcPr>
          <w:p w14:paraId="0D923E72"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(1,081.5)</w:t>
            </w:r>
          </w:p>
        </w:tc>
      </w:tr>
      <w:tr w:rsidR="00A3021A" w:rsidRPr="00701439" w14:paraId="44701ABF" w14:textId="77777777">
        <w:tc>
          <w:tcPr>
            <w:tcW w:w="6487" w:type="dxa"/>
            <w:vAlign w:val="bottom"/>
          </w:tcPr>
          <w:p w14:paraId="02D5FEFD" w14:textId="77777777" w:rsidR="00A3021A" w:rsidRPr="00701439" w:rsidRDefault="00A3021A">
            <w:pPr>
              <w:rPr>
                <w:rFonts w:ascii="Calibri" w:hAnsi="Calibri" w:cs="Arial"/>
                <w:sz w:val="20"/>
                <w:szCs w:val="20"/>
              </w:rPr>
            </w:pPr>
            <w:r w:rsidRPr="00701439">
              <w:rPr>
                <w:rFonts w:ascii="Calibri" w:hAnsi="Calibri" w:cs="Arial"/>
                <w:sz w:val="20"/>
                <w:szCs w:val="20"/>
              </w:rPr>
              <w:t>Payment of lease liabilities</w:t>
            </w:r>
          </w:p>
        </w:tc>
        <w:tc>
          <w:tcPr>
            <w:tcW w:w="992" w:type="dxa"/>
            <w:vAlign w:val="bottom"/>
          </w:tcPr>
          <w:p w14:paraId="66A3D0E0" w14:textId="77777777" w:rsidR="00A3021A" w:rsidRPr="00701439" w:rsidRDefault="00A3021A">
            <w:pPr>
              <w:jc w:val="right"/>
              <w:rPr>
                <w:rFonts w:asciiTheme="minorHAnsi" w:hAnsiTheme="minorHAnsi" w:cs="Arial"/>
                <w:sz w:val="20"/>
                <w:szCs w:val="20"/>
              </w:rPr>
            </w:pPr>
          </w:p>
        </w:tc>
        <w:tc>
          <w:tcPr>
            <w:tcW w:w="1276" w:type="dxa"/>
            <w:vAlign w:val="bottom"/>
          </w:tcPr>
          <w:p w14:paraId="35911E95"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(10.8)</w:t>
            </w:r>
          </w:p>
        </w:tc>
        <w:tc>
          <w:tcPr>
            <w:tcW w:w="1168" w:type="dxa"/>
            <w:vAlign w:val="bottom"/>
          </w:tcPr>
          <w:p w14:paraId="1B4F189E"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(9.6)</w:t>
            </w:r>
          </w:p>
        </w:tc>
      </w:tr>
      <w:tr w:rsidR="00A3021A" w:rsidRPr="00701439" w14:paraId="65A4050A" w14:textId="77777777">
        <w:tc>
          <w:tcPr>
            <w:tcW w:w="6487" w:type="dxa"/>
            <w:vAlign w:val="bottom"/>
          </w:tcPr>
          <w:p w14:paraId="1BBEF7D1" w14:textId="77777777" w:rsidR="00A3021A" w:rsidRPr="00701439" w:rsidRDefault="00A3021A">
            <w:pPr>
              <w:rPr>
                <w:rFonts w:ascii="Calibri" w:hAnsi="Calibri" w:cs="Poppins-Light"/>
                <w:sz w:val="20"/>
                <w:szCs w:val="20"/>
              </w:rPr>
            </w:pPr>
            <w:r w:rsidRPr="00701439">
              <w:rPr>
                <w:rFonts w:ascii="Calibri" w:hAnsi="Calibri" w:cs="Poppins-Light"/>
                <w:sz w:val="20"/>
                <w:szCs w:val="20"/>
              </w:rPr>
              <w:t>Dividends paid to Company shareholders</w:t>
            </w:r>
          </w:p>
        </w:tc>
        <w:tc>
          <w:tcPr>
            <w:tcW w:w="992" w:type="dxa"/>
            <w:vAlign w:val="bottom"/>
          </w:tcPr>
          <w:p w14:paraId="0835CC05" w14:textId="77777777" w:rsidR="00A3021A" w:rsidRPr="00701439" w:rsidRDefault="00A3021A">
            <w:pPr>
              <w:jc w:val="right"/>
              <w:rPr>
                <w:rFonts w:asciiTheme="minorHAnsi" w:hAnsiTheme="minorHAnsi" w:cs="Arial"/>
                <w:sz w:val="20"/>
                <w:szCs w:val="20"/>
              </w:rPr>
            </w:pPr>
          </w:p>
        </w:tc>
        <w:tc>
          <w:tcPr>
            <w:tcW w:w="1276" w:type="dxa"/>
            <w:vAlign w:val="bottom"/>
          </w:tcPr>
          <w:p w14:paraId="12E08D0C"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(42.8)</w:t>
            </w:r>
          </w:p>
        </w:tc>
        <w:tc>
          <w:tcPr>
            <w:tcW w:w="1168" w:type="dxa"/>
            <w:vAlign w:val="bottom"/>
          </w:tcPr>
          <w:p w14:paraId="4B8FC5CC"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r>
      <w:tr w:rsidR="00A3021A" w:rsidRPr="00701439" w14:paraId="0F3DCFDE" w14:textId="77777777">
        <w:tc>
          <w:tcPr>
            <w:tcW w:w="6487" w:type="dxa"/>
            <w:vAlign w:val="bottom"/>
          </w:tcPr>
          <w:p w14:paraId="606239FB" w14:textId="77777777" w:rsidR="00A3021A" w:rsidRPr="00701439" w:rsidRDefault="00A3021A">
            <w:pPr>
              <w:rPr>
                <w:rFonts w:ascii="Calibri" w:hAnsi="Calibri" w:cs="Arial"/>
                <w:sz w:val="20"/>
                <w:szCs w:val="20"/>
              </w:rPr>
            </w:pPr>
            <w:r w:rsidRPr="00701439">
              <w:rPr>
                <w:rFonts w:ascii="Calibri" w:hAnsi="Calibri" w:cs="Poppins-Light"/>
                <w:sz w:val="20"/>
                <w:szCs w:val="20"/>
              </w:rPr>
              <w:t>Purchase of shares for share awards</w:t>
            </w:r>
          </w:p>
        </w:tc>
        <w:tc>
          <w:tcPr>
            <w:tcW w:w="992" w:type="dxa"/>
            <w:vAlign w:val="bottom"/>
          </w:tcPr>
          <w:p w14:paraId="33573ADC" w14:textId="77777777" w:rsidR="00A3021A" w:rsidRPr="00701439" w:rsidRDefault="00A3021A">
            <w:pPr>
              <w:jc w:val="right"/>
              <w:rPr>
                <w:rFonts w:asciiTheme="minorHAnsi" w:hAnsiTheme="minorHAnsi" w:cs="Arial"/>
                <w:sz w:val="20"/>
                <w:szCs w:val="20"/>
              </w:rPr>
            </w:pPr>
          </w:p>
        </w:tc>
        <w:tc>
          <w:tcPr>
            <w:tcW w:w="1276" w:type="dxa"/>
            <w:vAlign w:val="bottom"/>
          </w:tcPr>
          <w:p w14:paraId="3479DA3F"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(0.7)</w:t>
            </w:r>
          </w:p>
        </w:tc>
        <w:tc>
          <w:tcPr>
            <w:tcW w:w="1168" w:type="dxa"/>
            <w:vAlign w:val="bottom"/>
          </w:tcPr>
          <w:p w14:paraId="41B671F0"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r>
      <w:tr w:rsidR="00A3021A" w:rsidRPr="00701439" w14:paraId="24F2402B" w14:textId="77777777">
        <w:tc>
          <w:tcPr>
            <w:tcW w:w="6487" w:type="dxa"/>
            <w:vAlign w:val="bottom"/>
          </w:tcPr>
          <w:p w14:paraId="515C3CA8" w14:textId="77777777" w:rsidR="00A3021A" w:rsidRPr="00701439" w:rsidRDefault="00A3021A">
            <w:pPr>
              <w:rPr>
                <w:rFonts w:ascii="Calibri" w:hAnsi="Calibri" w:cs="Arial"/>
                <w:sz w:val="20"/>
                <w:szCs w:val="20"/>
              </w:rPr>
            </w:pPr>
            <w:r w:rsidRPr="00701439">
              <w:rPr>
                <w:rFonts w:ascii="Calibri" w:hAnsi="Calibri" w:cs="Poppins-Light"/>
                <w:sz w:val="20"/>
                <w:szCs w:val="20"/>
              </w:rPr>
              <w:t>Proceeds from issue of share capital</w:t>
            </w:r>
          </w:p>
        </w:tc>
        <w:tc>
          <w:tcPr>
            <w:tcW w:w="992" w:type="dxa"/>
            <w:vAlign w:val="bottom"/>
          </w:tcPr>
          <w:p w14:paraId="5A8FDE09" w14:textId="77777777" w:rsidR="00A3021A" w:rsidRPr="00701439" w:rsidRDefault="00A3021A">
            <w:pPr>
              <w:jc w:val="right"/>
              <w:rPr>
                <w:rFonts w:asciiTheme="minorHAnsi" w:hAnsiTheme="minorHAnsi" w:cs="Arial"/>
                <w:sz w:val="20"/>
                <w:szCs w:val="20"/>
              </w:rPr>
            </w:pPr>
          </w:p>
        </w:tc>
        <w:tc>
          <w:tcPr>
            <w:tcW w:w="1276" w:type="dxa"/>
            <w:vAlign w:val="bottom"/>
          </w:tcPr>
          <w:p w14:paraId="5C45D36A"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0.2</w:t>
            </w:r>
          </w:p>
        </w:tc>
        <w:tc>
          <w:tcPr>
            <w:tcW w:w="1168" w:type="dxa"/>
            <w:vAlign w:val="bottom"/>
          </w:tcPr>
          <w:p w14:paraId="7DCC62AB"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0.1</w:t>
            </w:r>
          </w:p>
        </w:tc>
      </w:tr>
      <w:tr w:rsidR="00A3021A" w:rsidRPr="00701439" w14:paraId="41A421EB" w14:textId="77777777">
        <w:tc>
          <w:tcPr>
            <w:tcW w:w="6487" w:type="dxa"/>
            <w:vAlign w:val="bottom"/>
          </w:tcPr>
          <w:p w14:paraId="7C9489CF" w14:textId="65487F64" w:rsidR="00A3021A" w:rsidRPr="00701439" w:rsidRDefault="00A3021A">
            <w:pPr>
              <w:rPr>
                <w:rFonts w:asciiTheme="minorHAnsi" w:hAnsiTheme="minorHAnsi" w:cs="Arial"/>
                <w:b/>
                <w:sz w:val="20"/>
                <w:szCs w:val="20"/>
              </w:rPr>
            </w:pPr>
            <w:r w:rsidRPr="00701439">
              <w:rPr>
                <w:rFonts w:asciiTheme="minorHAnsi" w:hAnsiTheme="minorHAnsi" w:cs="Arial"/>
                <w:b/>
                <w:sz w:val="20"/>
                <w:szCs w:val="20"/>
              </w:rPr>
              <w:t xml:space="preserve">Net cash used in financing activities </w:t>
            </w:r>
          </w:p>
        </w:tc>
        <w:tc>
          <w:tcPr>
            <w:tcW w:w="992" w:type="dxa"/>
            <w:vAlign w:val="bottom"/>
          </w:tcPr>
          <w:p w14:paraId="6977C262" w14:textId="77777777" w:rsidR="00A3021A" w:rsidRPr="00701439" w:rsidRDefault="00A3021A">
            <w:pPr>
              <w:jc w:val="right"/>
              <w:rPr>
                <w:rFonts w:asciiTheme="minorHAnsi" w:hAnsiTheme="minorHAnsi" w:cs="Arial"/>
                <w:sz w:val="20"/>
                <w:szCs w:val="20"/>
              </w:rPr>
            </w:pPr>
          </w:p>
        </w:tc>
        <w:tc>
          <w:tcPr>
            <w:tcW w:w="1276" w:type="dxa"/>
            <w:tcBorders>
              <w:top w:val="single" w:sz="4" w:space="0" w:color="auto"/>
              <w:left w:val="nil"/>
              <w:bottom w:val="nil"/>
              <w:right w:val="nil"/>
            </w:tcBorders>
            <w:vAlign w:val="bottom"/>
          </w:tcPr>
          <w:p w14:paraId="326910EE" w14:textId="294C139E" w:rsidR="00A3021A" w:rsidRPr="00701439" w:rsidRDefault="00FA10A0">
            <w:pPr>
              <w:jc w:val="right"/>
              <w:rPr>
                <w:rFonts w:asciiTheme="minorHAnsi" w:hAnsiTheme="minorHAnsi" w:cs="Arial"/>
                <w:sz w:val="20"/>
                <w:szCs w:val="20"/>
              </w:rPr>
            </w:pPr>
            <w:r w:rsidRPr="00701439">
              <w:rPr>
                <w:rFonts w:asciiTheme="minorHAnsi" w:hAnsiTheme="minorHAnsi" w:cs="Arial"/>
                <w:sz w:val="20"/>
                <w:szCs w:val="20"/>
              </w:rPr>
              <w:t>(</w:t>
            </w:r>
            <w:r w:rsidR="00BA3A99" w:rsidRPr="00701439">
              <w:rPr>
                <w:rFonts w:asciiTheme="minorHAnsi" w:hAnsiTheme="minorHAnsi" w:cs="Arial"/>
                <w:sz w:val="20"/>
                <w:szCs w:val="20"/>
              </w:rPr>
              <w:t>12</w:t>
            </w:r>
            <w:r w:rsidRPr="00701439">
              <w:rPr>
                <w:rFonts w:asciiTheme="minorHAnsi" w:hAnsiTheme="minorHAnsi" w:cs="Arial"/>
                <w:sz w:val="20"/>
                <w:szCs w:val="20"/>
              </w:rPr>
              <w:t>.5)</w:t>
            </w:r>
          </w:p>
        </w:tc>
        <w:tc>
          <w:tcPr>
            <w:tcW w:w="1168" w:type="dxa"/>
            <w:tcBorders>
              <w:top w:val="single" w:sz="4" w:space="0" w:color="auto"/>
              <w:left w:val="nil"/>
              <w:bottom w:val="nil"/>
              <w:right w:val="nil"/>
            </w:tcBorders>
            <w:vAlign w:val="bottom"/>
          </w:tcPr>
          <w:p w14:paraId="03BB4073"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(345.0)</w:t>
            </w:r>
          </w:p>
        </w:tc>
      </w:tr>
      <w:tr w:rsidR="00A3021A" w:rsidRPr="00701439" w14:paraId="7D28AA92" w14:textId="77777777">
        <w:tc>
          <w:tcPr>
            <w:tcW w:w="6487" w:type="dxa"/>
            <w:vAlign w:val="bottom"/>
          </w:tcPr>
          <w:p w14:paraId="50B5F94E" w14:textId="77777777" w:rsidR="00A3021A" w:rsidRPr="00701439" w:rsidRDefault="00A3021A">
            <w:pPr>
              <w:rPr>
                <w:rFonts w:asciiTheme="minorHAnsi" w:hAnsiTheme="minorHAnsi" w:cs="Arial"/>
                <w:sz w:val="20"/>
                <w:szCs w:val="20"/>
              </w:rPr>
            </w:pPr>
          </w:p>
        </w:tc>
        <w:tc>
          <w:tcPr>
            <w:tcW w:w="992" w:type="dxa"/>
            <w:vAlign w:val="bottom"/>
          </w:tcPr>
          <w:p w14:paraId="702A035E" w14:textId="77777777" w:rsidR="00A3021A" w:rsidRPr="00701439" w:rsidRDefault="00A3021A">
            <w:pPr>
              <w:jc w:val="right"/>
              <w:rPr>
                <w:rFonts w:asciiTheme="minorHAnsi" w:hAnsiTheme="minorHAnsi" w:cs="Arial"/>
                <w:sz w:val="20"/>
                <w:szCs w:val="20"/>
              </w:rPr>
            </w:pPr>
          </w:p>
        </w:tc>
        <w:tc>
          <w:tcPr>
            <w:tcW w:w="1276" w:type="dxa"/>
            <w:tcBorders>
              <w:top w:val="single" w:sz="4" w:space="0" w:color="auto"/>
              <w:left w:val="nil"/>
              <w:bottom w:val="nil"/>
              <w:right w:val="nil"/>
            </w:tcBorders>
            <w:vAlign w:val="bottom"/>
          </w:tcPr>
          <w:p w14:paraId="16D02BC8" w14:textId="77777777" w:rsidR="00A3021A" w:rsidRPr="00701439" w:rsidRDefault="00A3021A">
            <w:pPr>
              <w:jc w:val="right"/>
              <w:rPr>
                <w:rFonts w:asciiTheme="minorHAnsi" w:hAnsiTheme="minorHAnsi" w:cs="Arial"/>
                <w:sz w:val="20"/>
                <w:szCs w:val="20"/>
              </w:rPr>
            </w:pPr>
          </w:p>
        </w:tc>
        <w:tc>
          <w:tcPr>
            <w:tcW w:w="1168" w:type="dxa"/>
            <w:tcBorders>
              <w:top w:val="single" w:sz="4" w:space="0" w:color="auto"/>
              <w:left w:val="nil"/>
              <w:bottom w:val="nil"/>
              <w:right w:val="nil"/>
            </w:tcBorders>
            <w:vAlign w:val="bottom"/>
          </w:tcPr>
          <w:p w14:paraId="4B2C4A3C" w14:textId="77777777" w:rsidR="00A3021A" w:rsidRPr="00701439" w:rsidRDefault="00A3021A">
            <w:pPr>
              <w:jc w:val="right"/>
              <w:rPr>
                <w:rFonts w:asciiTheme="minorHAnsi" w:hAnsiTheme="minorHAnsi" w:cs="Arial"/>
                <w:sz w:val="20"/>
                <w:szCs w:val="20"/>
              </w:rPr>
            </w:pPr>
          </w:p>
        </w:tc>
      </w:tr>
      <w:tr w:rsidR="00A3021A" w:rsidRPr="00701439" w14:paraId="5F2F4CEA" w14:textId="77777777">
        <w:tc>
          <w:tcPr>
            <w:tcW w:w="6487" w:type="dxa"/>
            <w:vAlign w:val="bottom"/>
          </w:tcPr>
          <w:p w14:paraId="1C24ADE2" w14:textId="77777777" w:rsidR="00A3021A" w:rsidRPr="00701439" w:rsidRDefault="00A3021A">
            <w:pPr>
              <w:rPr>
                <w:rFonts w:asciiTheme="minorHAnsi" w:hAnsiTheme="minorHAnsi" w:cs="Arial"/>
                <w:b/>
                <w:sz w:val="20"/>
                <w:szCs w:val="20"/>
              </w:rPr>
            </w:pPr>
            <w:r w:rsidRPr="00701439">
              <w:rPr>
                <w:rFonts w:asciiTheme="minorHAnsi" w:hAnsiTheme="minorHAnsi" w:cs="Arial"/>
                <w:b/>
                <w:sz w:val="20"/>
                <w:szCs w:val="20"/>
              </w:rPr>
              <w:t>Net decrease in cash, cash equivalents and overdrafts</w:t>
            </w:r>
          </w:p>
        </w:tc>
        <w:tc>
          <w:tcPr>
            <w:tcW w:w="992" w:type="dxa"/>
            <w:vAlign w:val="bottom"/>
          </w:tcPr>
          <w:p w14:paraId="462F80E8" w14:textId="77777777" w:rsidR="00A3021A" w:rsidRPr="00701439" w:rsidRDefault="00A3021A">
            <w:pPr>
              <w:jc w:val="right"/>
              <w:rPr>
                <w:rFonts w:asciiTheme="minorHAnsi" w:hAnsiTheme="minorHAnsi" w:cs="Arial"/>
                <w:sz w:val="20"/>
                <w:szCs w:val="20"/>
              </w:rPr>
            </w:pPr>
          </w:p>
        </w:tc>
        <w:tc>
          <w:tcPr>
            <w:tcW w:w="1276" w:type="dxa"/>
            <w:vAlign w:val="bottom"/>
          </w:tcPr>
          <w:p w14:paraId="27711AE6"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(250.2)</w:t>
            </w:r>
          </w:p>
        </w:tc>
        <w:tc>
          <w:tcPr>
            <w:tcW w:w="1168" w:type="dxa"/>
            <w:vAlign w:val="bottom"/>
          </w:tcPr>
          <w:p w14:paraId="3921C27F"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(204.2)</w:t>
            </w:r>
          </w:p>
        </w:tc>
      </w:tr>
      <w:tr w:rsidR="00A3021A" w:rsidRPr="00701439" w14:paraId="69640B20" w14:textId="77777777">
        <w:tc>
          <w:tcPr>
            <w:tcW w:w="6487" w:type="dxa"/>
            <w:vAlign w:val="bottom"/>
          </w:tcPr>
          <w:p w14:paraId="34A6917D"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Cash, cash equivalents and overdrafts at beginning of year</w:t>
            </w:r>
          </w:p>
        </w:tc>
        <w:tc>
          <w:tcPr>
            <w:tcW w:w="992" w:type="dxa"/>
            <w:vAlign w:val="bottom"/>
          </w:tcPr>
          <w:p w14:paraId="75283223" w14:textId="77777777" w:rsidR="00A3021A" w:rsidRPr="00701439" w:rsidRDefault="00A3021A">
            <w:pPr>
              <w:jc w:val="right"/>
              <w:rPr>
                <w:rFonts w:asciiTheme="minorHAnsi" w:hAnsiTheme="minorHAnsi" w:cs="Arial"/>
                <w:sz w:val="20"/>
                <w:szCs w:val="20"/>
              </w:rPr>
            </w:pPr>
          </w:p>
        </w:tc>
        <w:tc>
          <w:tcPr>
            <w:tcW w:w="1276" w:type="dxa"/>
            <w:vAlign w:val="bottom"/>
          </w:tcPr>
          <w:p w14:paraId="22185EBB"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714.1</w:t>
            </w:r>
          </w:p>
        </w:tc>
        <w:tc>
          <w:tcPr>
            <w:tcW w:w="1168" w:type="dxa"/>
            <w:vAlign w:val="bottom"/>
          </w:tcPr>
          <w:p w14:paraId="1BF6E2B5"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918.3</w:t>
            </w:r>
          </w:p>
        </w:tc>
      </w:tr>
      <w:tr w:rsidR="00A3021A" w:rsidRPr="00701439" w14:paraId="6192304B" w14:textId="77777777">
        <w:tc>
          <w:tcPr>
            <w:tcW w:w="6487" w:type="dxa"/>
            <w:vAlign w:val="bottom"/>
          </w:tcPr>
          <w:p w14:paraId="3E0BAE81" w14:textId="77777777" w:rsidR="00A3021A" w:rsidRPr="00701439" w:rsidRDefault="00A3021A">
            <w:pPr>
              <w:rPr>
                <w:rFonts w:asciiTheme="minorHAnsi" w:hAnsiTheme="minorHAnsi" w:cs="Arial"/>
                <w:b/>
                <w:sz w:val="20"/>
                <w:szCs w:val="20"/>
              </w:rPr>
            </w:pPr>
            <w:r w:rsidRPr="00701439">
              <w:rPr>
                <w:rFonts w:asciiTheme="minorHAnsi" w:hAnsiTheme="minorHAnsi" w:cs="Arial"/>
                <w:b/>
                <w:sz w:val="20"/>
                <w:szCs w:val="20"/>
              </w:rPr>
              <w:t>Cash, cash equivalents and overdrafts at end of year</w:t>
            </w:r>
          </w:p>
        </w:tc>
        <w:tc>
          <w:tcPr>
            <w:tcW w:w="992" w:type="dxa"/>
            <w:vAlign w:val="bottom"/>
          </w:tcPr>
          <w:p w14:paraId="61326992" w14:textId="77777777" w:rsidR="00A3021A" w:rsidRPr="00701439" w:rsidRDefault="00A3021A">
            <w:pPr>
              <w:jc w:val="right"/>
              <w:rPr>
                <w:rFonts w:asciiTheme="minorHAnsi" w:hAnsiTheme="minorHAnsi" w:cs="Arial"/>
                <w:sz w:val="20"/>
                <w:szCs w:val="20"/>
              </w:rPr>
            </w:pPr>
          </w:p>
        </w:tc>
        <w:tc>
          <w:tcPr>
            <w:tcW w:w="1276" w:type="dxa"/>
            <w:tcBorders>
              <w:top w:val="single" w:sz="4" w:space="0" w:color="auto"/>
              <w:left w:val="nil"/>
              <w:bottom w:val="single" w:sz="12" w:space="0" w:color="auto"/>
              <w:right w:val="nil"/>
            </w:tcBorders>
            <w:vAlign w:val="bottom"/>
          </w:tcPr>
          <w:p w14:paraId="6608F6A7"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463.9</w:t>
            </w:r>
          </w:p>
        </w:tc>
        <w:tc>
          <w:tcPr>
            <w:tcW w:w="1168" w:type="dxa"/>
            <w:tcBorders>
              <w:top w:val="single" w:sz="4" w:space="0" w:color="auto"/>
              <w:left w:val="nil"/>
              <w:bottom w:val="single" w:sz="12" w:space="0" w:color="auto"/>
              <w:right w:val="nil"/>
            </w:tcBorders>
            <w:vAlign w:val="bottom"/>
          </w:tcPr>
          <w:p w14:paraId="00EB6519"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714.1</w:t>
            </w:r>
          </w:p>
        </w:tc>
      </w:tr>
      <w:tr w:rsidR="00A3021A" w:rsidRPr="00701439" w14:paraId="0A7A4183" w14:textId="77777777">
        <w:tc>
          <w:tcPr>
            <w:tcW w:w="6487" w:type="dxa"/>
            <w:vAlign w:val="bottom"/>
          </w:tcPr>
          <w:p w14:paraId="4053A0A3" w14:textId="77777777" w:rsidR="00A3021A" w:rsidRPr="00701439" w:rsidRDefault="00A3021A">
            <w:pPr>
              <w:rPr>
                <w:rFonts w:asciiTheme="minorHAnsi" w:hAnsiTheme="minorHAnsi" w:cs="Arial"/>
                <w:sz w:val="20"/>
                <w:szCs w:val="20"/>
              </w:rPr>
            </w:pPr>
          </w:p>
        </w:tc>
        <w:tc>
          <w:tcPr>
            <w:tcW w:w="992" w:type="dxa"/>
            <w:vAlign w:val="bottom"/>
          </w:tcPr>
          <w:p w14:paraId="63466807" w14:textId="77777777" w:rsidR="00A3021A" w:rsidRPr="00701439" w:rsidRDefault="00A3021A">
            <w:pPr>
              <w:jc w:val="right"/>
              <w:rPr>
                <w:rFonts w:asciiTheme="minorHAnsi" w:hAnsiTheme="minorHAnsi" w:cs="Arial"/>
                <w:sz w:val="20"/>
                <w:szCs w:val="20"/>
              </w:rPr>
            </w:pPr>
          </w:p>
        </w:tc>
        <w:tc>
          <w:tcPr>
            <w:tcW w:w="1276" w:type="dxa"/>
            <w:tcBorders>
              <w:top w:val="single" w:sz="12" w:space="0" w:color="auto"/>
              <w:left w:val="nil"/>
              <w:bottom w:val="nil"/>
              <w:right w:val="nil"/>
            </w:tcBorders>
            <w:vAlign w:val="bottom"/>
          </w:tcPr>
          <w:p w14:paraId="1F11B414" w14:textId="77777777" w:rsidR="00A3021A" w:rsidRPr="00701439" w:rsidRDefault="00A3021A">
            <w:pPr>
              <w:jc w:val="right"/>
              <w:rPr>
                <w:rFonts w:asciiTheme="minorHAnsi" w:hAnsiTheme="minorHAnsi" w:cs="Arial"/>
                <w:sz w:val="20"/>
                <w:szCs w:val="20"/>
              </w:rPr>
            </w:pPr>
          </w:p>
        </w:tc>
        <w:tc>
          <w:tcPr>
            <w:tcW w:w="1168" w:type="dxa"/>
            <w:tcBorders>
              <w:top w:val="single" w:sz="12" w:space="0" w:color="auto"/>
              <w:left w:val="nil"/>
              <w:bottom w:val="nil"/>
              <w:right w:val="nil"/>
            </w:tcBorders>
            <w:vAlign w:val="bottom"/>
          </w:tcPr>
          <w:p w14:paraId="05362D73" w14:textId="77777777" w:rsidR="00A3021A" w:rsidRPr="00701439" w:rsidRDefault="00A3021A">
            <w:pPr>
              <w:jc w:val="right"/>
              <w:rPr>
                <w:rFonts w:asciiTheme="minorHAnsi" w:hAnsiTheme="minorHAnsi" w:cs="Arial"/>
                <w:sz w:val="20"/>
                <w:szCs w:val="20"/>
              </w:rPr>
            </w:pPr>
          </w:p>
        </w:tc>
      </w:tr>
      <w:tr w:rsidR="00A3021A" w:rsidRPr="00701439" w14:paraId="06DB0F9B" w14:textId="77777777">
        <w:tc>
          <w:tcPr>
            <w:tcW w:w="6487" w:type="dxa"/>
            <w:vAlign w:val="bottom"/>
          </w:tcPr>
          <w:p w14:paraId="0F3002EE" w14:textId="77777777" w:rsidR="00A3021A" w:rsidRPr="00701439" w:rsidRDefault="00A3021A">
            <w:pPr>
              <w:rPr>
                <w:rFonts w:asciiTheme="minorHAnsi" w:hAnsiTheme="minorHAnsi" w:cs="Arial"/>
                <w:b/>
                <w:sz w:val="20"/>
                <w:szCs w:val="20"/>
              </w:rPr>
            </w:pPr>
            <w:r w:rsidRPr="00701439">
              <w:rPr>
                <w:rFonts w:asciiTheme="minorHAnsi" w:hAnsiTheme="minorHAnsi" w:cs="Arial"/>
                <w:b/>
                <w:sz w:val="20"/>
                <w:szCs w:val="20"/>
              </w:rPr>
              <w:t>Cash, cash equivalents and overdrafts at end of year comprise:</w:t>
            </w:r>
          </w:p>
        </w:tc>
        <w:tc>
          <w:tcPr>
            <w:tcW w:w="992" w:type="dxa"/>
            <w:vAlign w:val="bottom"/>
          </w:tcPr>
          <w:p w14:paraId="3FED0AC0" w14:textId="77777777" w:rsidR="00A3021A" w:rsidRPr="00701439" w:rsidRDefault="00A3021A">
            <w:pPr>
              <w:jc w:val="right"/>
              <w:rPr>
                <w:rFonts w:asciiTheme="minorHAnsi" w:hAnsiTheme="minorHAnsi" w:cs="Arial"/>
                <w:sz w:val="20"/>
                <w:szCs w:val="20"/>
              </w:rPr>
            </w:pPr>
          </w:p>
        </w:tc>
        <w:tc>
          <w:tcPr>
            <w:tcW w:w="1276" w:type="dxa"/>
            <w:vAlign w:val="bottom"/>
          </w:tcPr>
          <w:p w14:paraId="03C23AA0" w14:textId="77777777" w:rsidR="00A3021A" w:rsidRPr="00701439" w:rsidRDefault="00A3021A">
            <w:pPr>
              <w:jc w:val="right"/>
              <w:rPr>
                <w:rFonts w:asciiTheme="minorHAnsi" w:hAnsiTheme="minorHAnsi" w:cs="Arial"/>
                <w:sz w:val="20"/>
                <w:szCs w:val="20"/>
              </w:rPr>
            </w:pPr>
          </w:p>
        </w:tc>
        <w:tc>
          <w:tcPr>
            <w:tcW w:w="1168" w:type="dxa"/>
            <w:vAlign w:val="bottom"/>
          </w:tcPr>
          <w:p w14:paraId="4D4FBB8E" w14:textId="77777777" w:rsidR="00A3021A" w:rsidRPr="00701439" w:rsidRDefault="00A3021A">
            <w:pPr>
              <w:jc w:val="right"/>
              <w:rPr>
                <w:rFonts w:asciiTheme="minorHAnsi" w:hAnsiTheme="minorHAnsi" w:cs="Arial"/>
                <w:sz w:val="20"/>
                <w:szCs w:val="20"/>
              </w:rPr>
            </w:pPr>
          </w:p>
        </w:tc>
      </w:tr>
      <w:tr w:rsidR="00A3021A" w:rsidRPr="00701439" w14:paraId="50EB55F1" w14:textId="77777777">
        <w:tc>
          <w:tcPr>
            <w:tcW w:w="6487" w:type="dxa"/>
            <w:vAlign w:val="bottom"/>
          </w:tcPr>
          <w:p w14:paraId="1CF258B2"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Cash at bank and in hand</w:t>
            </w:r>
          </w:p>
        </w:tc>
        <w:tc>
          <w:tcPr>
            <w:tcW w:w="992" w:type="dxa"/>
            <w:vAlign w:val="bottom"/>
          </w:tcPr>
          <w:p w14:paraId="18415EA9" w14:textId="77777777" w:rsidR="00A3021A" w:rsidRPr="00701439" w:rsidRDefault="00A3021A">
            <w:pPr>
              <w:jc w:val="right"/>
              <w:rPr>
                <w:rFonts w:asciiTheme="minorHAnsi" w:hAnsiTheme="minorHAnsi" w:cs="Arial"/>
                <w:sz w:val="20"/>
                <w:szCs w:val="20"/>
              </w:rPr>
            </w:pPr>
          </w:p>
        </w:tc>
        <w:tc>
          <w:tcPr>
            <w:tcW w:w="1276" w:type="dxa"/>
            <w:vAlign w:val="bottom"/>
          </w:tcPr>
          <w:p w14:paraId="1ED94380"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464.9</w:t>
            </w:r>
          </w:p>
        </w:tc>
        <w:tc>
          <w:tcPr>
            <w:tcW w:w="1168" w:type="dxa"/>
            <w:vAlign w:val="bottom"/>
          </w:tcPr>
          <w:p w14:paraId="0FFF51A1"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717.7</w:t>
            </w:r>
          </w:p>
        </w:tc>
      </w:tr>
      <w:tr w:rsidR="00A3021A" w:rsidRPr="00701439" w14:paraId="07E0F551" w14:textId="77777777">
        <w:tc>
          <w:tcPr>
            <w:tcW w:w="6487" w:type="dxa"/>
            <w:vAlign w:val="bottom"/>
          </w:tcPr>
          <w:p w14:paraId="6F4CF130"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Overdrafts (held in bank and other borrowings)</w:t>
            </w:r>
          </w:p>
        </w:tc>
        <w:tc>
          <w:tcPr>
            <w:tcW w:w="992" w:type="dxa"/>
            <w:vAlign w:val="bottom"/>
          </w:tcPr>
          <w:p w14:paraId="75CDBB31" w14:textId="77777777" w:rsidR="00A3021A" w:rsidRPr="00701439" w:rsidRDefault="00A3021A">
            <w:pPr>
              <w:jc w:val="right"/>
              <w:rPr>
                <w:rFonts w:asciiTheme="minorHAnsi" w:hAnsiTheme="minorHAnsi" w:cs="Arial"/>
                <w:sz w:val="20"/>
                <w:szCs w:val="20"/>
              </w:rPr>
            </w:pPr>
          </w:p>
        </w:tc>
        <w:tc>
          <w:tcPr>
            <w:tcW w:w="1276" w:type="dxa"/>
            <w:tcBorders>
              <w:top w:val="nil"/>
              <w:left w:val="nil"/>
              <w:bottom w:val="single" w:sz="4" w:space="0" w:color="auto"/>
              <w:right w:val="nil"/>
            </w:tcBorders>
            <w:vAlign w:val="bottom"/>
          </w:tcPr>
          <w:p w14:paraId="70933145"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(1.0)</w:t>
            </w:r>
          </w:p>
        </w:tc>
        <w:tc>
          <w:tcPr>
            <w:tcW w:w="1168" w:type="dxa"/>
            <w:tcBorders>
              <w:top w:val="nil"/>
              <w:left w:val="nil"/>
              <w:bottom w:val="single" w:sz="4" w:space="0" w:color="auto"/>
              <w:right w:val="nil"/>
            </w:tcBorders>
            <w:vAlign w:val="bottom"/>
          </w:tcPr>
          <w:p w14:paraId="59D6289D"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(3.6)</w:t>
            </w:r>
          </w:p>
        </w:tc>
      </w:tr>
      <w:tr w:rsidR="00A3021A" w:rsidRPr="00701439" w14:paraId="6E276ED9" w14:textId="77777777">
        <w:tc>
          <w:tcPr>
            <w:tcW w:w="6487" w:type="dxa"/>
            <w:vAlign w:val="bottom"/>
          </w:tcPr>
          <w:p w14:paraId="5C2FD594" w14:textId="77777777" w:rsidR="00A3021A" w:rsidRPr="00701439" w:rsidRDefault="00A3021A">
            <w:pPr>
              <w:rPr>
                <w:rFonts w:asciiTheme="minorHAnsi" w:hAnsiTheme="minorHAnsi" w:cs="Arial"/>
                <w:b/>
                <w:sz w:val="20"/>
                <w:szCs w:val="20"/>
              </w:rPr>
            </w:pPr>
            <w:r w:rsidRPr="00701439">
              <w:rPr>
                <w:rFonts w:asciiTheme="minorHAnsi" w:hAnsiTheme="minorHAnsi" w:cs="Arial"/>
                <w:b/>
                <w:sz w:val="20"/>
                <w:szCs w:val="20"/>
              </w:rPr>
              <w:t>Total cash, cash equivalents and overdrafts</w:t>
            </w:r>
          </w:p>
        </w:tc>
        <w:tc>
          <w:tcPr>
            <w:tcW w:w="992" w:type="dxa"/>
            <w:vAlign w:val="bottom"/>
          </w:tcPr>
          <w:p w14:paraId="32216E9A" w14:textId="77777777" w:rsidR="00A3021A" w:rsidRPr="00701439" w:rsidRDefault="00A3021A">
            <w:pPr>
              <w:jc w:val="right"/>
              <w:rPr>
                <w:rFonts w:asciiTheme="minorHAnsi" w:hAnsiTheme="minorHAnsi" w:cs="Arial"/>
                <w:sz w:val="20"/>
                <w:szCs w:val="20"/>
              </w:rPr>
            </w:pPr>
          </w:p>
        </w:tc>
        <w:tc>
          <w:tcPr>
            <w:tcW w:w="1276" w:type="dxa"/>
            <w:tcBorders>
              <w:top w:val="single" w:sz="4" w:space="0" w:color="auto"/>
              <w:left w:val="nil"/>
              <w:bottom w:val="single" w:sz="12" w:space="0" w:color="auto"/>
              <w:right w:val="nil"/>
            </w:tcBorders>
            <w:vAlign w:val="bottom"/>
          </w:tcPr>
          <w:p w14:paraId="479CC9A2"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463.9</w:t>
            </w:r>
          </w:p>
        </w:tc>
        <w:tc>
          <w:tcPr>
            <w:tcW w:w="1168" w:type="dxa"/>
            <w:tcBorders>
              <w:top w:val="single" w:sz="4" w:space="0" w:color="auto"/>
              <w:left w:val="nil"/>
              <w:bottom w:val="single" w:sz="12" w:space="0" w:color="auto"/>
              <w:right w:val="nil"/>
            </w:tcBorders>
            <w:vAlign w:val="bottom"/>
          </w:tcPr>
          <w:p w14:paraId="64F034D3"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714.1</w:t>
            </w:r>
          </w:p>
        </w:tc>
      </w:tr>
    </w:tbl>
    <w:p w14:paraId="79D45FC2" w14:textId="77777777" w:rsidR="00A3021A" w:rsidRPr="00701439" w:rsidRDefault="00A3021A" w:rsidP="00A3021A">
      <w:pPr>
        <w:jc w:val="both"/>
        <w:rPr>
          <w:rFonts w:asciiTheme="minorHAnsi" w:hAnsiTheme="minorHAnsi" w:cs="Arial"/>
          <w:sz w:val="20"/>
          <w:szCs w:val="20"/>
        </w:rPr>
      </w:pPr>
    </w:p>
    <w:p w14:paraId="636A8917" w14:textId="77777777" w:rsidR="00A3021A" w:rsidRPr="00701439" w:rsidRDefault="00A3021A" w:rsidP="00A3021A">
      <w:pPr>
        <w:jc w:val="both"/>
        <w:rPr>
          <w:rFonts w:asciiTheme="minorHAnsi" w:hAnsiTheme="minorHAnsi" w:cs="Avenir-Light"/>
          <w:sz w:val="20"/>
          <w:szCs w:val="20"/>
          <w:lang w:val="en-US"/>
        </w:rPr>
      </w:pPr>
      <w:r w:rsidRPr="00701439">
        <w:rPr>
          <w:rFonts w:asciiTheme="minorHAnsi" w:hAnsiTheme="minorHAnsi" w:cs="Avenir-Light"/>
          <w:sz w:val="20"/>
          <w:szCs w:val="20"/>
          <w:lang w:val="en-US"/>
        </w:rPr>
        <w:t xml:space="preserve">Cash at bank and in hand includes £420.5m (2021: £414.8m) in respect of the liquid assets buffer, including other </w:t>
      </w:r>
      <w:proofErr w:type="gramStart"/>
      <w:r w:rsidRPr="00701439">
        <w:rPr>
          <w:rFonts w:asciiTheme="minorHAnsi" w:hAnsiTheme="minorHAnsi" w:cs="Avenir-Light"/>
          <w:sz w:val="20"/>
          <w:szCs w:val="20"/>
          <w:lang w:val="en-US"/>
        </w:rPr>
        <w:t>liquidity</w:t>
      </w:r>
      <w:proofErr w:type="gramEnd"/>
    </w:p>
    <w:p w14:paraId="091A1BB0" w14:textId="6DFE4904" w:rsidR="00A3021A" w:rsidRPr="00701439" w:rsidRDefault="00A3021A" w:rsidP="00A3021A">
      <w:pPr>
        <w:jc w:val="both"/>
        <w:rPr>
          <w:rFonts w:asciiTheme="minorHAnsi" w:hAnsiTheme="minorHAnsi" w:cs="Arial"/>
          <w:bCs/>
          <w:color w:val="4747FF"/>
          <w:sz w:val="22"/>
          <w:szCs w:val="22"/>
        </w:rPr>
      </w:pPr>
      <w:r w:rsidRPr="00701439">
        <w:rPr>
          <w:rFonts w:asciiTheme="minorHAnsi" w:hAnsiTheme="minorHAnsi" w:cs="Avenir-Light"/>
          <w:sz w:val="20"/>
          <w:szCs w:val="20"/>
          <w:lang w:val="en-US"/>
        </w:rPr>
        <w:t xml:space="preserve">resources, held by Vanquis Bank Limited in accordance with the PRA’s liquidity regime. </w:t>
      </w:r>
      <w:r w:rsidRPr="00701439">
        <w:rPr>
          <w:rFonts w:asciiTheme="minorHAnsi" w:hAnsiTheme="minorHAnsi" w:cs="Arial"/>
          <w:b/>
          <w:color w:val="4747FF"/>
          <w:sz w:val="22"/>
          <w:szCs w:val="22"/>
        </w:rPr>
        <w:br w:type="page"/>
      </w:r>
      <w:r w:rsidRPr="00701439">
        <w:rPr>
          <w:rFonts w:asciiTheme="minorHAnsi" w:hAnsiTheme="minorHAnsi" w:cs="Arial"/>
          <w:b/>
          <w:bCs/>
          <w:color w:val="4747FF"/>
          <w:sz w:val="22"/>
          <w:szCs w:val="22"/>
        </w:rPr>
        <w:lastRenderedPageBreak/>
        <w:t>Notes to the financial information</w:t>
      </w:r>
    </w:p>
    <w:p w14:paraId="49A4EABB" w14:textId="77777777" w:rsidR="00A3021A" w:rsidRPr="00701439" w:rsidRDefault="00A3021A" w:rsidP="00A3021A">
      <w:pPr>
        <w:jc w:val="both"/>
        <w:rPr>
          <w:rFonts w:asciiTheme="minorHAnsi" w:hAnsiTheme="minorHAnsi" w:cs="Arial"/>
          <w:sz w:val="20"/>
          <w:szCs w:val="20"/>
        </w:rPr>
      </w:pPr>
    </w:p>
    <w:p w14:paraId="56CDDFD3" w14:textId="77777777" w:rsidR="00A3021A" w:rsidRPr="00701439" w:rsidRDefault="00A3021A" w:rsidP="00A3021A">
      <w:pPr>
        <w:ind w:left="567" w:hanging="567"/>
        <w:jc w:val="both"/>
        <w:rPr>
          <w:rStyle w:val="bodycopynumber"/>
          <w:rFonts w:asciiTheme="minorHAnsi" w:hAnsiTheme="minorHAnsi" w:cs="Arial"/>
          <w:b/>
          <w:bCs/>
          <w:color w:val="4747FF"/>
          <w:sz w:val="22"/>
          <w:szCs w:val="22"/>
        </w:rPr>
      </w:pPr>
      <w:bookmarkStart w:id="15" w:name="_Hlk99455617"/>
      <w:r w:rsidRPr="00701439">
        <w:rPr>
          <w:rStyle w:val="bodycopynumber"/>
          <w:rFonts w:asciiTheme="minorHAnsi" w:hAnsiTheme="minorHAnsi" w:cs="Arial"/>
          <w:b/>
          <w:bCs/>
          <w:color w:val="4747FF"/>
          <w:sz w:val="22"/>
          <w:szCs w:val="22"/>
        </w:rPr>
        <w:t>1.</w:t>
      </w:r>
      <w:r w:rsidRPr="00701439">
        <w:rPr>
          <w:rStyle w:val="bodycopynumber"/>
          <w:rFonts w:asciiTheme="minorHAnsi" w:hAnsiTheme="minorHAnsi" w:cs="Arial"/>
          <w:b/>
          <w:bCs/>
          <w:color w:val="4747FF"/>
          <w:sz w:val="22"/>
          <w:szCs w:val="22"/>
        </w:rPr>
        <w:tab/>
        <w:t>Basis of preparation</w:t>
      </w:r>
    </w:p>
    <w:p w14:paraId="33107DF7" w14:textId="77777777" w:rsidR="00A3021A" w:rsidRPr="00701439" w:rsidRDefault="00A3021A" w:rsidP="00A3021A">
      <w:pPr>
        <w:autoSpaceDE w:val="0"/>
        <w:autoSpaceDN w:val="0"/>
        <w:adjustRightInd w:val="0"/>
        <w:jc w:val="both"/>
        <w:rPr>
          <w:rFonts w:asciiTheme="minorHAnsi" w:hAnsiTheme="minorHAnsi" w:cs="Poppins-Light"/>
          <w:sz w:val="20"/>
          <w:szCs w:val="20"/>
        </w:rPr>
      </w:pPr>
    </w:p>
    <w:p w14:paraId="1ABD3E2E" w14:textId="77777777" w:rsidR="00A3021A" w:rsidRPr="00701439" w:rsidRDefault="00A3021A" w:rsidP="00A3021A">
      <w:pPr>
        <w:jc w:val="both"/>
        <w:rPr>
          <w:rFonts w:asciiTheme="minorHAnsi" w:hAnsiTheme="minorHAnsi"/>
          <w:sz w:val="20"/>
          <w:szCs w:val="20"/>
        </w:rPr>
      </w:pPr>
      <w:r w:rsidRPr="00701439">
        <w:rPr>
          <w:rFonts w:asciiTheme="minorHAnsi" w:hAnsiTheme="minorHAnsi"/>
          <w:sz w:val="20"/>
          <w:szCs w:val="20"/>
        </w:rPr>
        <w:t xml:space="preserve">The preliminary announcement has been prepared in accordance with the Listing Rules of the FCA and is based on the 2022 financial statements which have been prepared under International Financial Reporting Standards (IFRS) as adopted by the UK, </w:t>
      </w:r>
      <w:r w:rsidRPr="00701439">
        <w:rPr>
          <w:rFonts w:asciiTheme="minorHAnsi" w:hAnsiTheme="minorHAnsi" w:cs="Poppins-Light"/>
          <w:sz w:val="20"/>
          <w:szCs w:val="20"/>
        </w:rPr>
        <w:t>International Financial Reporting Interpretations Committee (IFRIC) interpretations and the Companies Act 2006.</w:t>
      </w:r>
    </w:p>
    <w:p w14:paraId="69072F31" w14:textId="77777777" w:rsidR="00A3021A" w:rsidRPr="00701439" w:rsidRDefault="00A3021A" w:rsidP="00A3021A">
      <w:pPr>
        <w:jc w:val="both"/>
        <w:rPr>
          <w:rFonts w:asciiTheme="minorHAnsi" w:hAnsiTheme="minorHAnsi"/>
          <w:sz w:val="20"/>
          <w:szCs w:val="20"/>
        </w:rPr>
      </w:pPr>
    </w:p>
    <w:p w14:paraId="53AA6BC0" w14:textId="16BD5820" w:rsidR="00A3021A" w:rsidRPr="00701439" w:rsidRDefault="00A3021A" w:rsidP="00A3021A">
      <w:pPr>
        <w:jc w:val="both"/>
        <w:rPr>
          <w:rFonts w:asciiTheme="minorHAnsi" w:hAnsiTheme="minorHAnsi"/>
          <w:sz w:val="20"/>
          <w:szCs w:val="20"/>
        </w:rPr>
      </w:pPr>
      <w:r w:rsidRPr="00701439">
        <w:rPr>
          <w:rFonts w:asciiTheme="minorHAnsi" w:hAnsiTheme="minorHAnsi"/>
          <w:sz w:val="20"/>
          <w:szCs w:val="20"/>
        </w:rPr>
        <w:t>The financial information set out in this announcement does not constitute the Group’s statutory accounts for the year ended 31 December 2022 or the year ended 31 December 2021</w:t>
      </w:r>
      <w:r w:rsidR="000C3249" w:rsidRPr="00701439">
        <w:rPr>
          <w:rFonts w:asciiTheme="minorHAnsi" w:hAnsiTheme="minorHAnsi"/>
          <w:sz w:val="20"/>
          <w:szCs w:val="20"/>
        </w:rPr>
        <w:t xml:space="preserve"> but is derived from those accounts</w:t>
      </w:r>
      <w:r w:rsidRPr="00701439">
        <w:rPr>
          <w:rFonts w:asciiTheme="minorHAnsi" w:hAnsiTheme="minorHAnsi"/>
          <w:sz w:val="20"/>
          <w:szCs w:val="20"/>
        </w:rPr>
        <w:t xml:space="preserve">. </w:t>
      </w:r>
      <w:r w:rsidR="00AC3E3E" w:rsidRPr="00701439">
        <w:rPr>
          <w:rFonts w:asciiTheme="minorHAnsi" w:hAnsiTheme="minorHAnsi"/>
          <w:sz w:val="20"/>
          <w:szCs w:val="20"/>
        </w:rPr>
        <w:t>S</w:t>
      </w:r>
      <w:r w:rsidRPr="00701439">
        <w:rPr>
          <w:rFonts w:asciiTheme="minorHAnsi" w:hAnsiTheme="minorHAnsi"/>
          <w:sz w:val="20"/>
          <w:szCs w:val="20"/>
        </w:rPr>
        <w:t xml:space="preserve">tatutory accounts for </w:t>
      </w:r>
      <w:r w:rsidR="00F41A13" w:rsidRPr="00701439">
        <w:rPr>
          <w:rFonts w:asciiTheme="minorHAnsi" w:hAnsiTheme="minorHAnsi"/>
          <w:sz w:val="20"/>
          <w:szCs w:val="20"/>
        </w:rPr>
        <w:t xml:space="preserve">the </w:t>
      </w:r>
      <w:r w:rsidRPr="00701439">
        <w:rPr>
          <w:rFonts w:asciiTheme="minorHAnsi" w:hAnsiTheme="minorHAnsi"/>
          <w:sz w:val="20"/>
          <w:szCs w:val="20"/>
        </w:rPr>
        <w:t xml:space="preserve">year </w:t>
      </w:r>
      <w:r w:rsidR="00114F5D" w:rsidRPr="00701439">
        <w:rPr>
          <w:rFonts w:asciiTheme="minorHAnsi" w:hAnsiTheme="minorHAnsi"/>
          <w:sz w:val="20"/>
          <w:szCs w:val="20"/>
        </w:rPr>
        <w:t xml:space="preserve">ended 31 December 2021 </w:t>
      </w:r>
      <w:r w:rsidRPr="00701439">
        <w:rPr>
          <w:rFonts w:asciiTheme="minorHAnsi" w:hAnsiTheme="minorHAnsi"/>
          <w:sz w:val="20"/>
          <w:szCs w:val="20"/>
        </w:rPr>
        <w:t>have been delivered to the Registrar of Companies</w:t>
      </w:r>
      <w:r w:rsidR="00611A0B" w:rsidRPr="00701439">
        <w:rPr>
          <w:rFonts w:asciiTheme="minorHAnsi" w:hAnsiTheme="minorHAnsi"/>
          <w:sz w:val="20"/>
          <w:szCs w:val="20"/>
        </w:rPr>
        <w:t>, and those for the year ended 31 December 2022</w:t>
      </w:r>
      <w:r w:rsidR="00AA33E2" w:rsidRPr="00701439">
        <w:rPr>
          <w:rFonts w:asciiTheme="minorHAnsi" w:hAnsiTheme="minorHAnsi"/>
          <w:sz w:val="20"/>
          <w:szCs w:val="20"/>
        </w:rPr>
        <w:t xml:space="preserve"> will be delivered to the Registrar of Companies </w:t>
      </w:r>
      <w:r w:rsidR="001F04C9" w:rsidRPr="00701439">
        <w:rPr>
          <w:rFonts w:asciiTheme="minorHAnsi" w:hAnsiTheme="minorHAnsi"/>
          <w:sz w:val="20"/>
          <w:szCs w:val="20"/>
        </w:rPr>
        <w:t>before</w:t>
      </w:r>
      <w:r w:rsidR="00AA33E2" w:rsidRPr="00701439">
        <w:rPr>
          <w:rFonts w:asciiTheme="minorHAnsi" w:hAnsiTheme="minorHAnsi"/>
          <w:sz w:val="20"/>
          <w:szCs w:val="20"/>
        </w:rPr>
        <w:t xml:space="preserve"> the Company's annual general meeting</w:t>
      </w:r>
      <w:r w:rsidRPr="00701439">
        <w:rPr>
          <w:rFonts w:asciiTheme="minorHAnsi" w:hAnsiTheme="minorHAnsi"/>
          <w:sz w:val="20"/>
          <w:szCs w:val="20"/>
        </w:rPr>
        <w:t>. The auditor</w:t>
      </w:r>
      <w:r w:rsidR="00957B4F" w:rsidRPr="00701439">
        <w:rPr>
          <w:rFonts w:asciiTheme="minorHAnsi" w:hAnsiTheme="minorHAnsi"/>
          <w:sz w:val="20"/>
          <w:szCs w:val="20"/>
        </w:rPr>
        <w:t>s</w:t>
      </w:r>
      <w:r w:rsidR="00C0623C" w:rsidRPr="00701439">
        <w:rPr>
          <w:rFonts w:asciiTheme="minorHAnsi" w:hAnsiTheme="minorHAnsi"/>
          <w:sz w:val="20"/>
          <w:szCs w:val="20"/>
        </w:rPr>
        <w:t xml:space="preserve"> ha</w:t>
      </w:r>
      <w:r w:rsidR="00957B4F" w:rsidRPr="00701439">
        <w:rPr>
          <w:rFonts w:asciiTheme="minorHAnsi" w:hAnsiTheme="minorHAnsi"/>
          <w:sz w:val="20"/>
          <w:szCs w:val="20"/>
        </w:rPr>
        <w:t>ve</w:t>
      </w:r>
      <w:r w:rsidRPr="00701439">
        <w:rPr>
          <w:rFonts w:asciiTheme="minorHAnsi" w:hAnsiTheme="minorHAnsi"/>
          <w:sz w:val="20"/>
          <w:szCs w:val="20"/>
        </w:rPr>
        <w:t xml:space="preserve"> reported on those accounts: their report</w:t>
      </w:r>
      <w:r w:rsidR="00456DA6" w:rsidRPr="00701439">
        <w:rPr>
          <w:rFonts w:asciiTheme="minorHAnsi" w:hAnsiTheme="minorHAnsi"/>
          <w:sz w:val="20"/>
          <w:szCs w:val="20"/>
        </w:rPr>
        <w:t>s</w:t>
      </w:r>
      <w:r w:rsidRPr="00701439">
        <w:rPr>
          <w:rFonts w:asciiTheme="minorHAnsi" w:hAnsiTheme="minorHAnsi"/>
          <w:sz w:val="20"/>
          <w:szCs w:val="20"/>
        </w:rPr>
        <w:t xml:space="preserve"> </w:t>
      </w:r>
      <w:r w:rsidR="00456DA6" w:rsidRPr="00701439">
        <w:rPr>
          <w:rFonts w:asciiTheme="minorHAnsi" w:hAnsiTheme="minorHAnsi"/>
          <w:sz w:val="20"/>
          <w:szCs w:val="20"/>
        </w:rPr>
        <w:t xml:space="preserve">were </w:t>
      </w:r>
      <w:r w:rsidRPr="00701439">
        <w:rPr>
          <w:rFonts w:asciiTheme="minorHAnsi" w:hAnsiTheme="minorHAnsi"/>
          <w:sz w:val="20"/>
          <w:szCs w:val="20"/>
        </w:rPr>
        <w:t>unqualified, did not draw attention to any matters by way of emphasis and did not contain statement</w:t>
      </w:r>
      <w:r w:rsidR="006668E4" w:rsidRPr="00701439">
        <w:rPr>
          <w:rFonts w:asciiTheme="minorHAnsi" w:hAnsiTheme="minorHAnsi"/>
          <w:sz w:val="20"/>
          <w:szCs w:val="20"/>
        </w:rPr>
        <w:t>s</w:t>
      </w:r>
      <w:r w:rsidRPr="00701439">
        <w:rPr>
          <w:rFonts w:asciiTheme="minorHAnsi" w:hAnsiTheme="minorHAnsi"/>
          <w:sz w:val="20"/>
          <w:szCs w:val="20"/>
        </w:rPr>
        <w:t xml:space="preserve"> under s498(2) or (3) of the Companies Act 2006. </w:t>
      </w:r>
    </w:p>
    <w:p w14:paraId="0A80D559" w14:textId="77777777" w:rsidR="00232F4C" w:rsidRPr="00701439" w:rsidRDefault="00232F4C" w:rsidP="0002541E">
      <w:pPr>
        <w:pStyle w:val="Default"/>
      </w:pPr>
    </w:p>
    <w:p w14:paraId="01217092" w14:textId="77777777" w:rsidR="00A3021A" w:rsidRPr="00701439" w:rsidRDefault="00A3021A" w:rsidP="00A3021A">
      <w:pPr>
        <w:pStyle w:val="Pa2"/>
        <w:spacing w:after="100"/>
        <w:jc w:val="both"/>
        <w:rPr>
          <w:rFonts w:asciiTheme="minorHAnsi" w:hAnsiTheme="minorHAnsi" w:cs="Poppins-Light"/>
          <w:sz w:val="20"/>
          <w:szCs w:val="20"/>
        </w:rPr>
      </w:pPr>
      <w:bookmarkStart w:id="16" w:name="_Hlk99455333"/>
      <w:r w:rsidRPr="00701439">
        <w:rPr>
          <w:rFonts w:asciiTheme="minorHAnsi" w:hAnsiTheme="minorHAnsi" w:cs="Poppins-Light"/>
          <w:sz w:val="20"/>
          <w:szCs w:val="20"/>
        </w:rPr>
        <w:t>The statutory financial statements have been prepared on a going concern basis under the historical cost convention, as modified by the revaluation of derivative financial instruments and investments held at fair value through profit and loss.</w:t>
      </w:r>
    </w:p>
    <w:bookmarkEnd w:id="15"/>
    <w:bookmarkEnd w:id="16"/>
    <w:p w14:paraId="4CB35E01" w14:textId="77777777" w:rsidR="00002F10" w:rsidRPr="00701439" w:rsidRDefault="00232F4C" w:rsidP="00232F4C">
      <w:pPr>
        <w:pStyle w:val="Pa2"/>
        <w:spacing w:after="100"/>
        <w:jc w:val="both"/>
        <w:rPr>
          <w:rFonts w:asciiTheme="minorHAnsi" w:hAnsiTheme="minorHAnsi" w:cs="Poppins-Light"/>
          <w:sz w:val="20"/>
          <w:szCs w:val="20"/>
        </w:rPr>
      </w:pPr>
      <w:r w:rsidRPr="00701439">
        <w:rPr>
          <w:rFonts w:asciiTheme="minorHAnsi" w:hAnsiTheme="minorHAnsi" w:cs="Poppins-Light"/>
          <w:sz w:val="20"/>
          <w:szCs w:val="20"/>
        </w:rPr>
        <w:t xml:space="preserve">In assessing whether the Group is a going concern, the directors have reviewed the Group’s corporate plan as approved in December 2022, </w:t>
      </w:r>
      <w:proofErr w:type="gramStart"/>
      <w:r w:rsidRPr="00701439">
        <w:rPr>
          <w:rFonts w:asciiTheme="minorHAnsi" w:hAnsiTheme="minorHAnsi" w:cs="Poppins-Light"/>
          <w:sz w:val="20"/>
          <w:szCs w:val="20"/>
        </w:rPr>
        <w:t>In</w:t>
      </w:r>
      <w:proofErr w:type="gramEnd"/>
      <w:r w:rsidRPr="00701439">
        <w:rPr>
          <w:rFonts w:asciiTheme="minorHAnsi" w:hAnsiTheme="minorHAnsi" w:cs="Poppins-Light"/>
          <w:sz w:val="20"/>
          <w:szCs w:val="20"/>
        </w:rPr>
        <w:t xml:space="preserve"> doing so, the Board reviewed detailed forecasts for the three year period to December 2025 and also considered less detailed forecasts for 2026 and 2027. These </w:t>
      </w:r>
      <w:proofErr w:type="gramStart"/>
      <w:r w:rsidRPr="00701439">
        <w:rPr>
          <w:rFonts w:asciiTheme="minorHAnsi" w:hAnsiTheme="minorHAnsi" w:cs="Poppins-Light"/>
          <w:sz w:val="20"/>
          <w:szCs w:val="20"/>
        </w:rPr>
        <w:t>higher level</w:t>
      </w:r>
      <w:proofErr w:type="gramEnd"/>
      <w:r w:rsidRPr="00701439">
        <w:rPr>
          <w:rFonts w:asciiTheme="minorHAnsi" w:hAnsiTheme="minorHAnsi" w:cs="Poppins-Light"/>
          <w:sz w:val="20"/>
          <w:szCs w:val="20"/>
        </w:rPr>
        <w:t xml:space="preserve"> outer year forecasts do not contain any information which would cause different conclusions to be reached over the longer-term viability of the Group. The assessment included consideration of the Group’s principal risks and uncertainties, with a focus on capital and liquidity.</w:t>
      </w:r>
    </w:p>
    <w:p w14:paraId="2AAF21C6" w14:textId="76111655" w:rsidR="00A3021A" w:rsidRPr="00701439" w:rsidRDefault="00232F4C" w:rsidP="0002541E">
      <w:pPr>
        <w:pStyle w:val="Pa2"/>
        <w:spacing w:after="100"/>
        <w:jc w:val="both"/>
        <w:rPr>
          <w:rFonts w:asciiTheme="minorHAnsi" w:hAnsiTheme="minorHAnsi" w:cs="Poppins-Light"/>
          <w:sz w:val="20"/>
          <w:szCs w:val="20"/>
        </w:rPr>
      </w:pPr>
      <w:r w:rsidRPr="00701439">
        <w:rPr>
          <w:rFonts w:asciiTheme="minorHAnsi" w:hAnsiTheme="minorHAnsi" w:cs="Poppins-Light"/>
          <w:sz w:val="20"/>
          <w:szCs w:val="20"/>
        </w:rPr>
        <w:t>The directors have also reviewed the Group’s stress testing projections which are based on a severe but plausible scenario. The stress test scenario envisages that the UK economy enters a period of stagflation in 2023 with inflation rising to approximately 17% and the UK Bank Rate rising to 6%. As a result, the UK unemployment rate rises to approximately 8.5%</w:t>
      </w:r>
      <w:r w:rsidR="008255D7">
        <w:rPr>
          <w:rFonts w:asciiTheme="minorHAnsi" w:hAnsiTheme="minorHAnsi" w:cs="Poppins-Light"/>
          <w:sz w:val="20"/>
          <w:szCs w:val="20"/>
        </w:rPr>
        <w:t>,</w:t>
      </w:r>
      <w:r w:rsidRPr="00701439">
        <w:rPr>
          <w:rFonts w:asciiTheme="minorHAnsi" w:hAnsiTheme="minorHAnsi" w:cs="Poppins-Light"/>
          <w:sz w:val="20"/>
          <w:szCs w:val="20"/>
        </w:rPr>
        <w:t xml:space="preserve"> </w:t>
      </w:r>
      <w:r w:rsidR="008255D7">
        <w:rPr>
          <w:rFonts w:asciiTheme="minorHAnsi" w:hAnsiTheme="minorHAnsi" w:cs="Poppins-Light"/>
          <w:sz w:val="20"/>
          <w:szCs w:val="20"/>
        </w:rPr>
        <w:t>t</w:t>
      </w:r>
      <w:r w:rsidRPr="00701439">
        <w:rPr>
          <w:rFonts w:asciiTheme="minorHAnsi" w:hAnsiTheme="minorHAnsi" w:cs="Poppins-Light"/>
          <w:sz w:val="20"/>
          <w:szCs w:val="20"/>
        </w:rPr>
        <w:t xml:space="preserve">his shows that the Group </w:t>
      </w:r>
      <w:proofErr w:type="gramStart"/>
      <w:r w:rsidRPr="00701439">
        <w:rPr>
          <w:rFonts w:asciiTheme="minorHAnsi" w:hAnsiTheme="minorHAnsi" w:cs="Poppins-Light"/>
          <w:sz w:val="20"/>
          <w:szCs w:val="20"/>
        </w:rPr>
        <w:t>is able to</w:t>
      </w:r>
      <w:proofErr w:type="gramEnd"/>
      <w:r w:rsidRPr="00701439">
        <w:rPr>
          <w:rFonts w:asciiTheme="minorHAnsi" w:hAnsiTheme="minorHAnsi" w:cs="Poppins-Light"/>
          <w:sz w:val="20"/>
          <w:szCs w:val="20"/>
        </w:rPr>
        <w:t xml:space="preserve"> maintain sufficient capital headroom above minimum requirements. The directors have reviewed the Group’s reverse stress testing projections to the point of non-viability, which concluded that the Group’s viability only comes into question under an unprecedented macroeconomic scenario</w:t>
      </w:r>
      <w:r w:rsidR="007D576D" w:rsidRPr="00701439">
        <w:rPr>
          <w:rFonts w:asciiTheme="minorHAnsi" w:hAnsiTheme="minorHAnsi" w:cs="Poppins-Light"/>
          <w:sz w:val="20"/>
          <w:szCs w:val="20"/>
        </w:rPr>
        <w:t>.</w:t>
      </w:r>
    </w:p>
    <w:p w14:paraId="1904EEC8" w14:textId="77777777" w:rsidR="00F44304" w:rsidRDefault="00F44304" w:rsidP="00A3021A">
      <w:pPr>
        <w:jc w:val="both"/>
        <w:rPr>
          <w:rStyle w:val="bodycopynumber"/>
          <w:rFonts w:asciiTheme="minorHAnsi" w:hAnsiTheme="minorHAnsi" w:cs="Arial"/>
          <w:b/>
          <w:bCs/>
          <w:color w:val="4747FF"/>
          <w:sz w:val="22"/>
          <w:szCs w:val="22"/>
        </w:rPr>
      </w:pPr>
      <w:bookmarkStart w:id="17" w:name="OLE_LINK15"/>
      <w:bookmarkStart w:id="18" w:name="OLE_LINK16"/>
    </w:p>
    <w:p w14:paraId="1BAF7177" w14:textId="17D672F5" w:rsidR="00A3021A" w:rsidRPr="00701439" w:rsidRDefault="00A3021A" w:rsidP="00A3021A">
      <w:pPr>
        <w:jc w:val="both"/>
        <w:rPr>
          <w:rStyle w:val="bodycopynumber"/>
          <w:rFonts w:asciiTheme="minorHAnsi" w:hAnsiTheme="minorHAnsi" w:cs="Arial"/>
          <w:b/>
          <w:bCs/>
          <w:color w:val="4747FF"/>
          <w:sz w:val="22"/>
          <w:szCs w:val="22"/>
        </w:rPr>
      </w:pPr>
      <w:r w:rsidRPr="00701439">
        <w:rPr>
          <w:rStyle w:val="bodycopynumber"/>
          <w:rFonts w:asciiTheme="minorHAnsi" w:hAnsiTheme="minorHAnsi" w:cs="Arial"/>
          <w:b/>
          <w:bCs/>
          <w:color w:val="4747FF"/>
          <w:sz w:val="22"/>
          <w:szCs w:val="22"/>
        </w:rPr>
        <w:t>2.</w:t>
      </w:r>
      <w:r w:rsidRPr="00701439">
        <w:rPr>
          <w:rStyle w:val="bodycopynumber"/>
          <w:rFonts w:asciiTheme="minorHAnsi" w:hAnsiTheme="minorHAnsi" w:cs="Arial"/>
          <w:b/>
          <w:bCs/>
          <w:color w:val="4747FF"/>
          <w:sz w:val="22"/>
          <w:szCs w:val="22"/>
        </w:rPr>
        <w:tab/>
        <w:t>Accounting policies</w:t>
      </w:r>
    </w:p>
    <w:p w14:paraId="34A0A61E" w14:textId="77777777" w:rsidR="00A3021A" w:rsidRPr="00701439" w:rsidRDefault="00A3021A" w:rsidP="00A3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sz w:val="20"/>
          <w:szCs w:val="20"/>
        </w:rPr>
      </w:pPr>
    </w:p>
    <w:p w14:paraId="1211961B" w14:textId="77777777" w:rsidR="00A3021A" w:rsidRPr="00701439" w:rsidRDefault="00A3021A" w:rsidP="00A3021A">
      <w:pPr>
        <w:autoSpaceDE w:val="0"/>
        <w:autoSpaceDN w:val="0"/>
        <w:adjustRightInd w:val="0"/>
        <w:rPr>
          <w:rFonts w:asciiTheme="minorHAnsi" w:hAnsiTheme="minorHAnsi" w:cs="Poppins-Light"/>
          <w:sz w:val="20"/>
          <w:szCs w:val="20"/>
        </w:rPr>
      </w:pPr>
      <w:r w:rsidRPr="00701439">
        <w:rPr>
          <w:rFonts w:asciiTheme="minorHAnsi" w:hAnsiTheme="minorHAnsi" w:cs="Poppins-Light"/>
          <w:sz w:val="20"/>
          <w:szCs w:val="20"/>
        </w:rPr>
        <w:t>Group principal accounting policies under IFRS have been consistently applied to all the years presented.</w:t>
      </w:r>
    </w:p>
    <w:p w14:paraId="47B84F0B" w14:textId="77777777" w:rsidR="00A3021A" w:rsidRPr="00701439" w:rsidRDefault="00A3021A" w:rsidP="00A3021A">
      <w:pPr>
        <w:autoSpaceDE w:val="0"/>
        <w:autoSpaceDN w:val="0"/>
        <w:adjustRightInd w:val="0"/>
        <w:rPr>
          <w:rFonts w:asciiTheme="minorHAnsi" w:hAnsiTheme="minorHAnsi" w:cs="Poppins-Light"/>
          <w:sz w:val="20"/>
          <w:szCs w:val="20"/>
        </w:rPr>
      </w:pPr>
    </w:p>
    <w:p w14:paraId="04BD2C8C" w14:textId="02ADF993" w:rsidR="00A3021A" w:rsidRPr="00701439" w:rsidRDefault="00A3021A" w:rsidP="00A3021A">
      <w:pPr>
        <w:autoSpaceDE w:val="0"/>
        <w:autoSpaceDN w:val="0"/>
        <w:adjustRightInd w:val="0"/>
        <w:rPr>
          <w:rFonts w:asciiTheme="minorHAnsi" w:hAnsiTheme="minorHAnsi" w:cs="Poppins-Light"/>
          <w:sz w:val="20"/>
          <w:szCs w:val="20"/>
        </w:rPr>
      </w:pPr>
      <w:r w:rsidRPr="00701439">
        <w:rPr>
          <w:rFonts w:asciiTheme="minorHAnsi" w:hAnsiTheme="minorHAnsi" w:cs="Poppins-Light"/>
          <w:sz w:val="20"/>
          <w:szCs w:val="20"/>
        </w:rPr>
        <w:t xml:space="preserve">In line with </w:t>
      </w:r>
      <w:r w:rsidR="00000E17" w:rsidRPr="00701439">
        <w:rPr>
          <w:rFonts w:asciiTheme="minorHAnsi" w:hAnsiTheme="minorHAnsi" w:cs="Poppins-Light"/>
          <w:sz w:val="20"/>
          <w:szCs w:val="20"/>
        </w:rPr>
        <w:t>its</w:t>
      </w:r>
      <w:r w:rsidRPr="00701439">
        <w:rPr>
          <w:rFonts w:asciiTheme="minorHAnsi" w:hAnsiTheme="minorHAnsi" w:cs="Poppins-Light"/>
          <w:sz w:val="20"/>
          <w:szCs w:val="20"/>
        </w:rPr>
        <w:t xml:space="preserve"> continued repositioning as a specialist banking group, the Group has taken the decision in the current year to change the presentation of </w:t>
      </w:r>
      <w:r w:rsidR="003F3834" w:rsidRPr="00701439">
        <w:rPr>
          <w:rFonts w:asciiTheme="minorHAnsi" w:hAnsiTheme="minorHAnsi" w:cs="Poppins-Light"/>
          <w:sz w:val="20"/>
          <w:szCs w:val="20"/>
        </w:rPr>
        <w:t>its</w:t>
      </w:r>
      <w:r w:rsidRPr="00701439">
        <w:rPr>
          <w:rFonts w:asciiTheme="minorHAnsi" w:hAnsiTheme="minorHAnsi" w:cs="Poppins-Light"/>
          <w:sz w:val="20"/>
          <w:szCs w:val="20"/>
        </w:rPr>
        <w:t xml:space="preserve"> statutory income statement to align with the wider banking industry. All periods presented have been retrospectively re-presented. This change does not constitute a change in accounting policy and there is no impact on recognition, measurement or profit and loss in any period presented in the financial statements.</w:t>
      </w:r>
    </w:p>
    <w:p w14:paraId="68629846" w14:textId="77777777" w:rsidR="00A3021A" w:rsidRPr="00701439" w:rsidRDefault="00A3021A" w:rsidP="00A3021A">
      <w:pPr>
        <w:autoSpaceDE w:val="0"/>
        <w:autoSpaceDN w:val="0"/>
        <w:adjustRightInd w:val="0"/>
        <w:rPr>
          <w:rStyle w:val="bodycopynumber"/>
          <w:rFonts w:asciiTheme="minorHAnsi" w:hAnsiTheme="minorHAnsi" w:cs="Poppins-Light"/>
          <w:color w:val="000000"/>
          <w:sz w:val="20"/>
          <w:szCs w:val="20"/>
        </w:rPr>
      </w:pPr>
    </w:p>
    <w:p w14:paraId="2978B615" w14:textId="77777777" w:rsidR="00A3021A" w:rsidRPr="00701439" w:rsidRDefault="00A3021A" w:rsidP="00A3021A">
      <w:pPr>
        <w:autoSpaceDE w:val="0"/>
        <w:autoSpaceDN w:val="0"/>
        <w:adjustRightInd w:val="0"/>
        <w:jc w:val="both"/>
        <w:rPr>
          <w:rStyle w:val="bodycopynumber"/>
          <w:rFonts w:asciiTheme="minorHAnsi" w:hAnsiTheme="minorHAnsi" w:cs="Poppins-Light"/>
          <w:color w:val="000000"/>
          <w:sz w:val="20"/>
          <w:szCs w:val="20"/>
        </w:rPr>
      </w:pPr>
    </w:p>
    <w:bookmarkEnd w:id="17"/>
    <w:bookmarkEnd w:id="18"/>
    <w:p w14:paraId="16EE18C0" w14:textId="77777777" w:rsidR="00A3021A" w:rsidRPr="00701439" w:rsidRDefault="00A3021A" w:rsidP="00A3021A">
      <w:pPr>
        <w:autoSpaceDE w:val="0"/>
        <w:autoSpaceDN w:val="0"/>
        <w:adjustRightInd w:val="0"/>
        <w:rPr>
          <w:rFonts w:asciiTheme="minorHAnsi" w:hAnsiTheme="minorHAnsi" w:cs="Arial"/>
          <w:b/>
          <w:sz w:val="20"/>
          <w:szCs w:val="20"/>
        </w:rPr>
      </w:pPr>
    </w:p>
    <w:p w14:paraId="47383E6A" w14:textId="77777777" w:rsidR="00A3021A" w:rsidRPr="00701439" w:rsidRDefault="00A3021A" w:rsidP="00A3021A">
      <w:pPr>
        <w:rPr>
          <w:rFonts w:asciiTheme="minorHAnsi" w:hAnsiTheme="minorHAnsi" w:cs="Arial"/>
          <w:b/>
          <w:color w:val="4747FF"/>
          <w:sz w:val="22"/>
          <w:szCs w:val="22"/>
        </w:rPr>
      </w:pPr>
    </w:p>
    <w:p w14:paraId="53BF38FB" w14:textId="77777777" w:rsidR="00A3021A" w:rsidRPr="00701439" w:rsidRDefault="00A3021A" w:rsidP="00A3021A">
      <w:pPr>
        <w:rPr>
          <w:rFonts w:asciiTheme="minorHAnsi" w:hAnsiTheme="minorHAnsi" w:cs="Arial"/>
          <w:b/>
          <w:color w:val="4747FF"/>
          <w:sz w:val="22"/>
          <w:szCs w:val="22"/>
        </w:rPr>
      </w:pPr>
    </w:p>
    <w:p w14:paraId="69F9D22B" w14:textId="77777777" w:rsidR="00A3021A" w:rsidRPr="00701439" w:rsidRDefault="00A3021A" w:rsidP="00A3021A">
      <w:pPr>
        <w:rPr>
          <w:rFonts w:asciiTheme="minorHAnsi" w:hAnsiTheme="minorHAnsi" w:cs="Arial"/>
          <w:b/>
          <w:color w:val="4747FF"/>
          <w:sz w:val="22"/>
          <w:szCs w:val="22"/>
        </w:rPr>
      </w:pPr>
    </w:p>
    <w:p w14:paraId="3000A56C" w14:textId="77777777" w:rsidR="00A3021A" w:rsidRPr="00701439" w:rsidRDefault="00A3021A" w:rsidP="00A3021A">
      <w:pPr>
        <w:rPr>
          <w:rFonts w:asciiTheme="minorHAnsi" w:hAnsiTheme="minorHAnsi" w:cs="Arial"/>
          <w:b/>
          <w:color w:val="4747FF"/>
          <w:sz w:val="22"/>
          <w:szCs w:val="22"/>
        </w:rPr>
      </w:pPr>
    </w:p>
    <w:p w14:paraId="23D6E5FF" w14:textId="77777777" w:rsidR="00A3021A" w:rsidRPr="00701439" w:rsidRDefault="00A3021A" w:rsidP="00A3021A">
      <w:pPr>
        <w:rPr>
          <w:rFonts w:asciiTheme="minorHAnsi" w:hAnsiTheme="minorHAnsi" w:cs="Arial"/>
          <w:b/>
          <w:color w:val="4747FF"/>
          <w:sz w:val="22"/>
          <w:szCs w:val="22"/>
        </w:rPr>
      </w:pPr>
    </w:p>
    <w:p w14:paraId="06421F3D" w14:textId="77777777" w:rsidR="00A3021A" w:rsidRPr="00701439" w:rsidRDefault="00A3021A" w:rsidP="00A3021A">
      <w:pPr>
        <w:rPr>
          <w:rFonts w:asciiTheme="minorHAnsi" w:hAnsiTheme="minorHAnsi" w:cs="Arial"/>
          <w:b/>
          <w:color w:val="4747FF"/>
          <w:sz w:val="22"/>
          <w:szCs w:val="22"/>
        </w:rPr>
      </w:pPr>
    </w:p>
    <w:p w14:paraId="31B51218" w14:textId="77777777" w:rsidR="00A3021A" w:rsidRPr="00701439" w:rsidRDefault="00A3021A" w:rsidP="00A3021A">
      <w:pPr>
        <w:rPr>
          <w:rFonts w:asciiTheme="minorHAnsi" w:hAnsiTheme="minorHAnsi" w:cs="Arial"/>
          <w:b/>
          <w:color w:val="4747FF"/>
          <w:sz w:val="22"/>
          <w:szCs w:val="22"/>
        </w:rPr>
      </w:pPr>
    </w:p>
    <w:p w14:paraId="0A83FFA2" w14:textId="77777777" w:rsidR="00A3021A" w:rsidRPr="00701439" w:rsidRDefault="00A3021A" w:rsidP="00A3021A">
      <w:pPr>
        <w:rPr>
          <w:rFonts w:asciiTheme="minorHAnsi" w:hAnsiTheme="minorHAnsi" w:cs="Arial"/>
          <w:b/>
          <w:color w:val="4747FF"/>
          <w:sz w:val="22"/>
          <w:szCs w:val="22"/>
        </w:rPr>
      </w:pPr>
    </w:p>
    <w:p w14:paraId="04F2A653" w14:textId="77777777" w:rsidR="00A3021A" w:rsidRPr="00701439" w:rsidRDefault="00A3021A" w:rsidP="00A3021A">
      <w:pPr>
        <w:rPr>
          <w:rFonts w:asciiTheme="minorHAnsi" w:hAnsiTheme="minorHAnsi" w:cs="Arial"/>
          <w:b/>
          <w:color w:val="4747FF"/>
          <w:sz w:val="22"/>
          <w:szCs w:val="22"/>
        </w:rPr>
      </w:pPr>
    </w:p>
    <w:p w14:paraId="6BE361AA" w14:textId="77777777" w:rsidR="00A3021A" w:rsidRPr="00701439" w:rsidRDefault="00A3021A" w:rsidP="00A3021A">
      <w:pPr>
        <w:rPr>
          <w:rFonts w:asciiTheme="minorHAnsi" w:hAnsiTheme="minorHAnsi" w:cs="Arial"/>
          <w:b/>
          <w:color w:val="4747FF"/>
          <w:sz w:val="22"/>
          <w:szCs w:val="22"/>
        </w:rPr>
      </w:pPr>
    </w:p>
    <w:p w14:paraId="0D26BAB6" w14:textId="77777777" w:rsidR="00A3021A" w:rsidRPr="00701439" w:rsidRDefault="00A3021A" w:rsidP="00A3021A">
      <w:pPr>
        <w:rPr>
          <w:rFonts w:asciiTheme="minorHAnsi" w:hAnsiTheme="minorHAnsi" w:cs="Arial"/>
          <w:b/>
          <w:color w:val="4747FF"/>
          <w:sz w:val="22"/>
          <w:szCs w:val="22"/>
        </w:rPr>
      </w:pPr>
    </w:p>
    <w:p w14:paraId="21D586A6" w14:textId="77777777" w:rsidR="00A3021A" w:rsidRPr="00701439" w:rsidRDefault="00A3021A" w:rsidP="00A3021A">
      <w:pPr>
        <w:rPr>
          <w:rFonts w:asciiTheme="minorHAnsi" w:hAnsiTheme="minorHAnsi" w:cs="Arial"/>
          <w:b/>
          <w:color w:val="4747FF"/>
          <w:sz w:val="22"/>
          <w:szCs w:val="22"/>
        </w:rPr>
      </w:pPr>
    </w:p>
    <w:p w14:paraId="179B606E" w14:textId="77777777" w:rsidR="00A3021A" w:rsidRPr="00701439" w:rsidRDefault="00A3021A" w:rsidP="00A3021A">
      <w:pPr>
        <w:rPr>
          <w:rFonts w:asciiTheme="minorHAnsi" w:hAnsiTheme="minorHAnsi" w:cs="Arial"/>
          <w:b/>
          <w:color w:val="4747FF"/>
          <w:sz w:val="22"/>
          <w:szCs w:val="22"/>
        </w:rPr>
      </w:pPr>
    </w:p>
    <w:p w14:paraId="273C8EEE" w14:textId="77777777" w:rsidR="003140DD" w:rsidRPr="00701439" w:rsidRDefault="003140DD" w:rsidP="00A3021A">
      <w:pPr>
        <w:rPr>
          <w:rFonts w:asciiTheme="minorHAnsi" w:hAnsiTheme="minorHAnsi" w:cs="Arial"/>
          <w:b/>
          <w:color w:val="4747FF"/>
          <w:sz w:val="22"/>
          <w:szCs w:val="22"/>
        </w:rPr>
      </w:pPr>
    </w:p>
    <w:p w14:paraId="29030830" w14:textId="77777777" w:rsidR="00A3021A" w:rsidRPr="00701439" w:rsidRDefault="00A3021A" w:rsidP="00A3021A">
      <w:pPr>
        <w:rPr>
          <w:rFonts w:asciiTheme="minorHAnsi" w:hAnsiTheme="minorHAnsi" w:cs="Arial"/>
          <w:b/>
          <w:color w:val="4747FF"/>
          <w:sz w:val="22"/>
          <w:szCs w:val="22"/>
        </w:rPr>
      </w:pPr>
      <w:r w:rsidRPr="00701439">
        <w:rPr>
          <w:rFonts w:asciiTheme="minorHAnsi" w:hAnsiTheme="minorHAnsi" w:cs="Arial"/>
          <w:b/>
          <w:color w:val="4747FF"/>
          <w:sz w:val="22"/>
          <w:szCs w:val="22"/>
        </w:rPr>
        <w:lastRenderedPageBreak/>
        <w:t>3.</w:t>
      </w:r>
      <w:r w:rsidRPr="00701439">
        <w:rPr>
          <w:rFonts w:asciiTheme="minorHAnsi" w:hAnsiTheme="minorHAnsi" w:cs="Arial"/>
          <w:b/>
          <w:color w:val="4747FF"/>
          <w:sz w:val="22"/>
          <w:szCs w:val="22"/>
        </w:rPr>
        <w:tab/>
        <w:t>Segment reporting</w:t>
      </w:r>
    </w:p>
    <w:p w14:paraId="745DE76F" w14:textId="77777777" w:rsidR="00A3021A" w:rsidRPr="00701439" w:rsidRDefault="00A3021A" w:rsidP="00A3021A">
      <w:pPr>
        <w:rPr>
          <w:rFonts w:asciiTheme="minorHAnsi" w:hAnsiTheme="minorHAnsi" w:cs="Arial"/>
          <w:b/>
          <w:sz w:val="20"/>
          <w:szCs w:val="20"/>
        </w:rPr>
      </w:pPr>
    </w:p>
    <w:tbl>
      <w:tblPr>
        <w:tblW w:w="10656" w:type="dxa"/>
        <w:tblLayout w:type="fixed"/>
        <w:tblLook w:val="0000" w:firstRow="0" w:lastRow="0" w:firstColumn="0" w:lastColumn="0" w:noHBand="0" w:noVBand="0"/>
      </w:tblPr>
      <w:tblGrid>
        <w:gridCol w:w="2919"/>
        <w:gridCol w:w="1157"/>
        <w:gridCol w:w="1311"/>
        <w:gridCol w:w="1134"/>
        <w:gridCol w:w="1134"/>
        <w:gridCol w:w="1044"/>
        <w:gridCol w:w="1168"/>
        <w:gridCol w:w="789"/>
      </w:tblGrid>
      <w:tr w:rsidR="00A3021A" w:rsidRPr="00701439" w14:paraId="5FBDE1C6" w14:textId="77777777" w:rsidTr="0002541E">
        <w:trPr>
          <w:gridAfter w:val="1"/>
          <w:wAfter w:w="789" w:type="dxa"/>
          <w:trHeight w:val="465"/>
        </w:trPr>
        <w:tc>
          <w:tcPr>
            <w:tcW w:w="2919" w:type="dxa"/>
          </w:tcPr>
          <w:p w14:paraId="518490E6" w14:textId="77777777" w:rsidR="00A3021A" w:rsidRPr="00701439" w:rsidRDefault="00A3021A">
            <w:pPr>
              <w:rPr>
                <w:rFonts w:asciiTheme="minorHAnsi" w:hAnsiTheme="minorHAnsi" w:cs="Arial"/>
                <w:sz w:val="20"/>
                <w:szCs w:val="20"/>
              </w:rPr>
            </w:pPr>
          </w:p>
        </w:tc>
        <w:tc>
          <w:tcPr>
            <w:tcW w:w="2468" w:type="dxa"/>
            <w:gridSpan w:val="2"/>
          </w:tcPr>
          <w:p w14:paraId="65B79FE5" w14:textId="77777777" w:rsidR="00A3021A" w:rsidRPr="00701439" w:rsidRDefault="00A3021A">
            <w:pPr>
              <w:jc w:val="center"/>
              <w:rPr>
                <w:rFonts w:asciiTheme="minorHAnsi" w:hAnsiTheme="minorHAnsi" w:cs="Arial"/>
                <w:sz w:val="20"/>
                <w:szCs w:val="20"/>
              </w:rPr>
            </w:pPr>
            <w:r w:rsidRPr="00701439">
              <w:rPr>
                <w:rFonts w:asciiTheme="minorHAnsi" w:hAnsiTheme="minorHAnsi" w:cs="Arial"/>
                <w:sz w:val="20"/>
                <w:szCs w:val="20"/>
              </w:rPr>
              <w:t>Interest income</w:t>
            </w:r>
          </w:p>
        </w:tc>
        <w:tc>
          <w:tcPr>
            <w:tcW w:w="2268" w:type="dxa"/>
            <w:gridSpan w:val="2"/>
          </w:tcPr>
          <w:p w14:paraId="507DF3F3" w14:textId="7320E8EF" w:rsidR="00A3021A" w:rsidRPr="00701439" w:rsidRDefault="00A3021A">
            <w:pPr>
              <w:jc w:val="center"/>
              <w:rPr>
                <w:rFonts w:asciiTheme="minorHAnsi" w:hAnsiTheme="minorHAnsi" w:cs="Arial"/>
                <w:sz w:val="20"/>
                <w:szCs w:val="20"/>
              </w:rPr>
            </w:pPr>
            <w:r w:rsidRPr="00701439">
              <w:rPr>
                <w:rFonts w:asciiTheme="minorHAnsi" w:hAnsiTheme="minorHAnsi" w:cs="Arial"/>
                <w:sz w:val="20"/>
                <w:szCs w:val="20"/>
              </w:rPr>
              <w:t>Fee and Commission income</w:t>
            </w:r>
          </w:p>
        </w:tc>
        <w:tc>
          <w:tcPr>
            <w:tcW w:w="2212" w:type="dxa"/>
            <w:gridSpan w:val="2"/>
          </w:tcPr>
          <w:p w14:paraId="49230684" w14:textId="2ACF18FE" w:rsidR="00A3021A" w:rsidRPr="00701439" w:rsidRDefault="00A3021A">
            <w:pPr>
              <w:jc w:val="center"/>
              <w:rPr>
                <w:rFonts w:asciiTheme="minorHAnsi" w:hAnsiTheme="minorHAnsi" w:cs="Arial"/>
                <w:sz w:val="20"/>
                <w:szCs w:val="20"/>
              </w:rPr>
            </w:pPr>
            <w:r w:rsidRPr="00701439">
              <w:rPr>
                <w:rFonts w:asciiTheme="minorHAnsi" w:hAnsiTheme="minorHAnsi" w:cs="Arial"/>
                <w:sz w:val="20"/>
                <w:szCs w:val="20"/>
              </w:rPr>
              <w:t>Profit/(loss) before</w:t>
            </w:r>
            <w:r w:rsidR="00685436" w:rsidRPr="00701439">
              <w:rPr>
                <w:rFonts w:asciiTheme="minorHAnsi" w:hAnsiTheme="minorHAnsi" w:cs="Arial"/>
                <w:sz w:val="20"/>
                <w:szCs w:val="20"/>
              </w:rPr>
              <w:t xml:space="preserve"> </w:t>
            </w:r>
            <w:r w:rsidRPr="00701439">
              <w:rPr>
                <w:rFonts w:asciiTheme="minorHAnsi" w:hAnsiTheme="minorHAnsi" w:cs="Arial"/>
                <w:sz w:val="20"/>
                <w:szCs w:val="20"/>
              </w:rPr>
              <w:t>tax</w:t>
            </w:r>
          </w:p>
        </w:tc>
      </w:tr>
      <w:tr w:rsidR="00A3021A" w:rsidRPr="00701439" w14:paraId="75682A91" w14:textId="77777777" w:rsidTr="0002541E">
        <w:trPr>
          <w:gridAfter w:val="1"/>
          <w:wAfter w:w="789" w:type="dxa"/>
          <w:trHeight w:val="233"/>
        </w:trPr>
        <w:tc>
          <w:tcPr>
            <w:tcW w:w="2919" w:type="dxa"/>
          </w:tcPr>
          <w:p w14:paraId="128B5162" w14:textId="77777777" w:rsidR="00A3021A" w:rsidRPr="00701439" w:rsidRDefault="00A3021A">
            <w:pPr>
              <w:rPr>
                <w:rFonts w:asciiTheme="minorHAnsi" w:hAnsiTheme="minorHAnsi" w:cs="Arial"/>
                <w:sz w:val="20"/>
                <w:szCs w:val="20"/>
              </w:rPr>
            </w:pPr>
          </w:p>
        </w:tc>
        <w:tc>
          <w:tcPr>
            <w:tcW w:w="1157" w:type="dxa"/>
          </w:tcPr>
          <w:p w14:paraId="05BDD806"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2022 </w:t>
            </w:r>
          </w:p>
        </w:tc>
        <w:tc>
          <w:tcPr>
            <w:tcW w:w="1311" w:type="dxa"/>
          </w:tcPr>
          <w:p w14:paraId="5F15133A"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2021</w:t>
            </w:r>
          </w:p>
        </w:tc>
        <w:tc>
          <w:tcPr>
            <w:tcW w:w="1134" w:type="dxa"/>
          </w:tcPr>
          <w:p w14:paraId="468F88FD"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2022</w:t>
            </w:r>
          </w:p>
        </w:tc>
        <w:tc>
          <w:tcPr>
            <w:tcW w:w="1134" w:type="dxa"/>
          </w:tcPr>
          <w:p w14:paraId="0B87217D"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2021</w:t>
            </w:r>
          </w:p>
        </w:tc>
        <w:tc>
          <w:tcPr>
            <w:tcW w:w="1044" w:type="dxa"/>
          </w:tcPr>
          <w:p w14:paraId="5A1C6823"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2022</w:t>
            </w:r>
          </w:p>
        </w:tc>
        <w:tc>
          <w:tcPr>
            <w:tcW w:w="1168" w:type="dxa"/>
          </w:tcPr>
          <w:p w14:paraId="0ED3FB9B"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2021</w:t>
            </w:r>
          </w:p>
        </w:tc>
      </w:tr>
      <w:tr w:rsidR="0074732B" w:rsidRPr="00701439" w14:paraId="71EA7225" w14:textId="77777777" w:rsidTr="0002541E">
        <w:trPr>
          <w:gridAfter w:val="1"/>
          <w:wAfter w:w="789" w:type="dxa"/>
          <w:trHeight w:val="221"/>
        </w:trPr>
        <w:tc>
          <w:tcPr>
            <w:tcW w:w="2919" w:type="dxa"/>
          </w:tcPr>
          <w:p w14:paraId="383604E5" w14:textId="77777777" w:rsidR="0074732B" w:rsidRPr="00701439" w:rsidRDefault="0074732B" w:rsidP="0074732B">
            <w:pPr>
              <w:rPr>
                <w:rFonts w:asciiTheme="minorHAnsi" w:hAnsiTheme="minorHAnsi" w:cs="Arial"/>
                <w:sz w:val="20"/>
                <w:szCs w:val="20"/>
              </w:rPr>
            </w:pPr>
          </w:p>
        </w:tc>
        <w:tc>
          <w:tcPr>
            <w:tcW w:w="1157" w:type="dxa"/>
            <w:tcBorders>
              <w:top w:val="nil"/>
              <w:left w:val="nil"/>
              <w:bottom w:val="single" w:sz="4" w:space="0" w:color="auto"/>
              <w:right w:val="nil"/>
            </w:tcBorders>
          </w:tcPr>
          <w:p w14:paraId="0B66A7BA" w14:textId="77777777" w:rsidR="0074732B" w:rsidRPr="00701439" w:rsidRDefault="0074732B" w:rsidP="0074732B">
            <w:pPr>
              <w:jc w:val="right"/>
              <w:rPr>
                <w:rFonts w:asciiTheme="minorHAnsi" w:hAnsiTheme="minorHAnsi" w:cs="Arial"/>
                <w:sz w:val="20"/>
                <w:szCs w:val="20"/>
              </w:rPr>
            </w:pPr>
            <w:r w:rsidRPr="00701439">
              <w:rPr>
                <w:rFonts w:asciiTheme="minorHAnsi" w:hAnsiTheme="minorHAnsi" w:cs="Arial"/>
                <w:sz w:val="20"/>
                <w:szCs w:val="20"/>
              </w:rPr>
              <w:t>£m </w:t>
            </w:r>
          </w:p>
        </w:tc>
        <w:tc>
          <w:tcPr>
            <w:tcW w:w="1311" w:type="dxa"/>
            <w:tcBorders>
              <w:top w:val="nil"/>
              <w:left w:val="nil"/>
              <w:bottom w:val="single" w:sz="4" w:space="0" w:color="auto"/>
              <w:right w:val="nil"/>
            </w:tcBorders>
          </w:tcPr>
          <w:p w14:paraId="7C3D3893" w14:textId="77777777" w:rsidR="0074732B" w:rsidRPr="00701439" w:rsidRDefault="0074732B" w:rsidP="0074732B">
            <w:pPr>
              <w:jc w:val="right"/>
              <w:rPr>
                <w:rFonts w:asciiTheme="minorHAnsi" w:hAnsiTheme="minorHAnsi" w:cs="Arial"/>
                <w:sz w:val="20"/>
                <w:szCs w:val="20"/>
              </w:rPr>
            </w:pPr>
            <w:r w:rsidRPr="00701439">
              <w:rPr>
                <w:rFonts w:asciiTheme="minorHAnsi" w:hAnsiTheme="minorHAnsi" w:cs="Arial"/>
                <w:sz w:val="20"/>
                <w:szCs w:val="20"/>
              </w:rPr>
              <w:t>£m </w:t>
            </w:r>
          </w:p>
        </w:tc>
        <w:tc>
          <w:tcPr>
            <w:tcW w:w="1134" w:type="dxa"/>
            <w:tcBorders>
              <w:top w:val="nil"/>
              <w:left w:val="nil"/>
              <w:bottom w:val="single" w:sz="4" w:space="0" w:color="auto"/>
              <w:right w:val="nil"/>
            </w:tcBorders>
          </w:tcPr>
          <w:p w14:paraId="53B04D79" w14:textId="2F60FE3D" w:rsidR="0074732B" w:rsidRPr="00701439" w:rsidRDefault="0074732B" w:rsidP="0074732B">
            <w:pPr>
              <w:jc w:val="right"/>
              <w:rPr>
                <w:rFonts w:asciiTheme="minorHAnsi" w:hAnsiTheme="minorHAnsi" w:cs="Arial"/>
                <w:sz w:val="20"/>
                <w:szCs w:val="20"/>
              </w:rPr>
            </w:pPr>
            <w:r w:rsidRPr="00701439">
              <w:rPr>
                <w:rFonts w:asciiTheme="minorHAnsi" w:hAnsiTheme="minorHAnsi" w:cs="Arial"/>
                <w:sz w:val="20"/>
                <w:szCs w:val="20"/>
              </w:rPr>
              <w:t>£m</w:t>
            </w:r>
          </w:p>
        </w:tc>
        <w:tc>
          <w:tcPr>
            <w:tcW w:w="1134" w:type="dxa"/>
            <w:tcBorders>
              <w:top w:val="nil"/>
              <w:left w:val="nil"/>
              <w:bottom w:val="single" w:sz="4" w:space="0" w:color="auto"/>
              <w:right w:val="nil"/>
            </w:tcBorders>
          </w:tcPr>
          <w:p w14:paraId="2D98EE5B" w14:textId="1B39341B" w:rsidR="0074732B" w:rsidRPr="00701439" w:rsidRDefault="0074732B" w:rsidP="0074732B">
            <w:pPr>
              <w:jc w:val="right"/>
              <w:rPr>
                <w:rFonts w:asciiTheme="minorHAnsi" w:hAnsiTheme="minorHAnsi" w:cs="Arial"/>
                <w:sz w:val="20"/>
                <w:szCs w:val="20"/>
              </w:rPr>
            </w:pPr>
            <w:r w:rsidRPr="00701439">
              <w:rPr>
                <w:rFonts w:asciiTheme="minorHAnsi" w:hAnsiTheme="minorHAnsi" w:cs="Arial"/>
                <w:sz w:val="20"/>
                <w:szCs w:val="20"/>
              </w:rPr>
              <w:t>£m</w:t>
            </w:r>
          </w:p>
        </w:tc>
        <w:tc>
          <w:tcPr>
            <w:tcW w:w="1044" w:type="dxa"/>
            <w:tcBorders>
              <w:top w:val="nil"/>
              <w:left w:val="nil"/>
              <w:bottom w:val="single" w:sz="4" w:space="0" w:color="auto"/>
              <w:right w:val="nil"/>
            </w:tcBorders>
          </w:tcPr>
          <w:p w14:paraId="5EFCD2E7" w14:textId="65FEA45C" w:rsidR="0074732B" w:rsidRPr="00701439" w:rsidRDefault="0074732B" w:rsidP="0074732B">
            <w:pPr>
              <w:jc w:val="right"/>
              <w:rPr>
                <w:rFonts w:asciiTheme="minorHAnsi" w:hAnsiTheme="minorHAnsi" w:cs="Arial"/>
                <w:sz w:val="20"/>
                <w:szCs w:val="20"/>
              </w:rPr>
            </w:pPr>
            <w:r w:rsidRPr="00701439">
              <w:rPr>
                <w:rFonts w:asciiTheme="minorHAnsi" w:hAnsiTheme="minorHAnsi" w:cs="Arial"/>
                <w:sz w:val="20"/>
                <w:szCs w:val="20"/>
              </w:rPr>
              <w:t>£m</w:t>
            </w:r>
          </w:p>
        </w:tc>
        <w:tc>
          <w:tcPr>
            <w:tcW w:w="1168" w:type="dxa"/>
            <w:tcBorders>
              <w:top w:val="nil"/>
              <w:left w:val="nil"/>
              <w:bottom w:val="single" w:sz="4" w:space="0" w:color="auto"/>
              <w:right w:val="nil"/>
            </w:tcBorders>
          </w:tcPr>
          <w:p w14:paraId="2433CA73" w14:textId="74F44053" w:rsidR="0074732B" w:rsidRPr="00701439" w:rsidRDefault="0074732B" w:rsidP="0074732B">
            <w:pPr>
              <w:jc w:val="right"/>
              <w:rPr>
                <w:rFonts w:asciiTheme="minorHAnsi" w:hAnsiTheme="minorHAnsi" w:cs="Arial"/>
                <w:sz w:val="20"/>
                <w:szCs w:val="20"/>
              </w:rPr>
            </w:pPr>
            <w:r w:rsidRPr="00701439">
              <w:rPr>
                <w:rFonts w:asciiTheme="minorHAnsi" w:hAnsiTheme="minorHAnsi" w:cs="Arial"/>
                <w:sz w:val="20"/>
                <w:szCs w:val="20"/>
              </w:rPr>
              <w:t>£m</w:t>
            </w:r>
          </w:p>
        </w:tc>
      </w:tr>
      <w:tr w:rsidR="00A3021A" w:rsidRPr="00701439" w14:paraId="1E4CEB0B" w14:textId="77777777" w:rsidTr="0002541E">
        <w:trPr>
          <w:trHeight w:val="264"/>
        </w:trPr>
        <w:tc>
          <w:tcPr>
            <w:tcW w:w="2919" w:type="dxa"/>
            <w:vAlign w:val="bottom"/>
          </w:tcPr>
          <w:p w14:paraId="4A29E383"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Credit cards</w:t>
            </w:r>
          </w:p>
        </w:tc>
        <w:tc>
          <w:tcPr>
            <w:tcW w:w="1157" w:type="dxa"/>
            <w:vAlign w:val="bottom"/>
          </w:tcPr>
          <w:p w14:paraId="4409EBFC"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333.2</w:t>
            </w:r>
          </w:p>
        </w:tc>
        <w:tc>
          <w:tcPr>
            <w:tcW w:w="1311" w:type="dxa"/>
            <w:vAlign w:val="bottom"/>
          </w:tcPr>
          <w:p w14:paraId="4BAF02C1"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328.8</w:t>
            </w:r>
          </w:p>
        </w:tc>
        <w:tc>
          <w:tcPr>
            <w:tcW w:w="1134" w:type="dxa"/>
          </w:tcPr>
          <w:p w14:paraId="140988A6"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47.0</w:t>
            </w:r>
          </w:p>
        </w:tc>
        <w:tc>
          <w:tcPr>
            <w:tcW w:w="1134" w:type="dxa"/>
          </w:tcPr>
          <w:p w14:paraId="4CCBF64F"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60.3</w:t>
            </w:r>
          </w:p>
        </w:tc>
        <w:tc>
          <w:tcPr>
            <w:tcW w:w="1044" w:type="dxa"/>
            <w:vAlign w:val="bottom"/>
          </w:tcPr>
          <w:p w14:paraId="47B522C5"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178.5</w:t>
            </w:r>
          </w:p>
        </w:tc>
        <w:tc>
          <w:tcPr>
            <w:tcW w:w="1168" w:type="dxa"/>
            <w:shd w:val="clear" w:color="auto" w:fill="auto"/>
            <w:vAlign w:val="bottom"/>
          </w:tcPr>
          <w:p w14:paraId="0B03B2E4"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173.9</w:t>
            </w:r>
          </w:p>
        </w:tc>
        <w:tc>
          <w:tcPr>
            <w:tcW w:w="789" w:type="dxa"/>
            <w:vAlign w:val="bottom"/>
          </w:tcPr>
          <w:p w14:paraId="27F287B5" w14:textId="77777777" w:rsidR="00A3021A" w:rsidRPr="00701439" w:rsidRDefault="00A3021A"/>
        </w:tc>
      </w:tr>
      <w:tr w:rsidR="00A3021A" w:rsidRPr="00701439" w14:paraId="0C15A655" w14:textId="77777777" w:rsidTr="0002541E">
        <w:trPr>
          <w:gridAfter w:val="1"/>
          <w:wAfter w:w="789" w:type="dxa"/>
          <w:trHeight w:val="233"/>
        </w:trPr>
        <w:tc>
          <w:tcPr>
            <w:tcW w:w="2919" w:type="dxa"/>
            <w:vAlign w:val="bottom"/>
          </w:tcPr>
          <w:p w14:paraId="07E1D8FF"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Vehicle finance</w:t>
            </w:r>
          </w:p>
        </w:tc>
        <w:tc>
          <w:tcPr>
            <w:tcW w:w="1157" w:type="dxa"/>
            <w:vAlign w:val="bottom"/>
          </w:tcPr>
          <w:p w14:paraId="7E4E537F"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140.6</w:t>
            </w:r>
          </w:p>
        </w:tc>
        <w:tc>
          <w:tcPr>
            <w:tcW w:w="1311" w:type="dxa"/>
            <w:shd w:val="clear" w:color="auto" w:fill="auto"/>
            <w:vAlign w:val="bottom"/>
          </w:tcPr>
          <w:p w14:paraId="1DE63D6E"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137.9</w:t>
            </w:r>
          </w:p>
        </w:tc>
        <w:tc>
          <w:tcPr>
            <w:tcW w:w="1134" w:type="dxa"/>
          </w:tcPr>
          <w:p w14:paraId="24CF560A"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c>
          <w:tcPr>
            <w:tcW w:w="1134" w:type="dxa"/>
          </w:tcPr>
          <w:p w14:paraId="4124967F"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c>
          <w:tcPr>
            <w:tcW w:w="1044" w:type="dxa"/>
            <w:vAlign w:val="bottom"/>
          </w:tcPr>
          <w:p w14:paraId="33AE7050"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38.0</w:t>
            </w:r>
          </w:p>
        </w:tc>
        <w:tc>
          <w:tcPr>
            <w:tcW w:w="1168" w:type="dxa"/>
            <w:shd w:val="clear" w:color="auto" w:fill="auto"/>
            <w:vAlign w:val="bottom"/>
          </w:tcPr>
          <w:p w14:paraId="46176F4D"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28.9</w:t>
            </w:r>
          </w:p>
        </w:tc>
      </w:tr>
      <w:tr w:rsidR="00A3021A" w:rsidRPr="00701439" w14:paraId="286CC1B7" w14:textId="77777777" w:rsidTr="0002541E">
        <w:trPr>
          <w:gridAfter w:val="1"/>
          <w:wAfter w:w="789" w:type="dxa"/>
          <w:trHeight w:val="233"/>
        </w:trPr>
        <w:tc>
          <w:tcPr>
            <w:tcW w:w="2919" w:type="dxa"/>
            <w:vAlign w:val="bottom"/>
          </w:tcPr>
          <w:p w14:paraId="359AB7B0"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Personal loans</w:t>
            </w:r>
          </w:p>
        </w:tc>
        <w:tc>
          <w:tcPr>
            <w:tcW w:w="1157" w:type="dxa"/>
            <w:vAlign w:val="bottom"/>
          </w:tcPr>
          <w:p w14:paraId="0B85A63E"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13.1</w:t>
            </w:r>
          </w:p>
        </w:tc>
        <w:tc>
          <w:tcPr>
            <w:tcW w:w="1311" w:type="dxa"/>
            <w:shd w:val="clear" w:color="auto" w:fill="auto"/>
            <w:vAlign w:val="bottom"/>
          </w:tcPr>
          <w:p w14:paraId="2147610E"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7.2</w:t>
            </w:r>
          </w:p>
        </w:tc>
        <w:tc>
          <w:tcPr>
            <w:tcW w:w="1134" w:type="dxa"/>
          </w:tcPr>
          <w:p w14:paraId="4A632955"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c>
          <w:tcPr>
            <w:tcW w:w="1134" w:type="dxa"/>
          </w:tcPr>
          <w:p w14:paraId="59357426"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c>
          <w:tcPr>
            <w:tcW w:w="1044" w:type="dxa"/>
            <w:vAlign w:val="bottom"/>
          </w:tcPr>
          <w:p w14:paraId="72B5C093"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(15.7)</w:t>
            </w:r>
          </w:p>
        </w:tc>
        <w:tc>
          <w:tcPr>
            <w:tcW w:w="1168" w:type="dxa"/>
            <w:shd w:val="clear" w:color="auto" w:fill="auto"/>
            <w:vAlign w:val="bottom"/>
          </w:tcPr>
          <w:p w14:paraId="41A9C163"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(8.7)</w:t>
            </w:r>
          </w:p>
        </w:tc>
      </w:tr>
      <w:tr w:rsidR="00A3021A" w:rsidRPr="00701439" w14:paraId="0635A22E" w14:textId="77777777" w:rsidTr="0002541E">
        <w:trPr>
          <w:gridAfter w:val="1"/>
          <w:wAfter w:w="789" w:type="dxa"/>
          <w:trHeight w:val="233"/>
        </w:trPr>
        <w:tc>
          <w:tcPr>
            <w:tcW w:w="2919" w:type="dxa"/>
            <w:vAlign w:val="bottom"/>
          </w:tcPr>
          <w:p w14:paraId="6F505FA5" w14:textId="77777777" w:rsidR="00A3021A" w:rsidRPr="00701439" w:rsidRDefault="00A3021A">
            <w:pPr>
              <w:rPr>
                <w:rFonts w:asciiTheme="minorHAnsi" w:hAnsiTheme="minorHAnsi" w:cs="Arial"/>
                <w:bCs/>
                <w:sz w:val="20"/>
                <w:szCs w:val="20"/>
                <w:lang w:val="en-US"/>
              </w:rPr>
            </w:pPr>
            <w:r w:rsidRPr="00701439">
              <w:rPr>
                <w:rFonts w:asciiTheme="minorHAnsi" w:hAnsiTheme="minorHAnsi" w:cs="Arial"/>
                <w:bCs/>
                <w:sz w:val="20"/>
                <w:szCs w:val="20"/>
                <w:lang w:val="en-US"/>
              </w:rPr>
              <w:t>Central costs</w:t>
            </w:r>
          </w:p>
        </w:tc>
        <w:tc>
          <w:tcPr>
            <w:tcW w:w="1157" w:type="dxa"/>
            <w:tcBorders>
              <w:left w:val="nil"/>
              <w:bottom w:val="single" w:sz="4" w:space="0" w:color="auto"/>
              <w:right w:val="nil"/>
            </w:tcBorders>
            <w:vAlign w:val="bottom"/>
          </w:tcPr>
          <w:p w14:paraId="797238CB"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c>
          <w:tcPr>
            <w:tcW w:w="1311" w:type="dxa"/>
            <w:tcBorders>
              <w:left w:val="nil"/>
              <w:bottom w:val="single" w:sz="4" w:space="0" w:color="auto"/>
              <w:right w:val="nil"/>
            </w:tcBorders>
            <w:shd w:val="clear" w:color="auto" w:fill="auto"/>
            <w:vAlign w:val="bottom"/>
          </w:tcPr>
          <w:p w14:paraId="2DF9CDB1"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c>
          <w:tcPr>
            <w:tcW w:w="1134" w:type="dxa"/>
            <w:tcBorders>
              <w:left w:val="nil"/>
              <w:bottom w:val="single" w:sz="4" w:space="0" w:color="auto"/>
              <w:right w:val="nil"/>
            </w:tcBorders>
          </w:tcPr>
          <w:p w14:paraId="6354C236" w14:textId="77777777" w:rsidR="00A3021A" w:rsidRPr="00701439" w:rsidRDefault="00A3021A">
            <w:pPr>
              <w:jc w:val="right"/>
              <w:rPr>
                <w:rFonts w:asciiTheme="minorHAnsi" w:hAnsiTheme="minorHAnsi" w:cs="Arial"/>
                <w:sz w:val="20"/>
                <w:szCs w:val="20"/>
                <w:lang w:val="en-US"/>
              </w:rPr>
            </w:pPr>
            <w:r w:rsidRPr="00701439">
              <w:rPr>
                <w:rFonts w:asciiTheme="minorHAnsi" w:hAnsiTheme="minorHAnsi" w:cs="Arial"/>
                <w:sz w:val="20"/>
                <w:szCs w:val="20"/>
                <w:lang w:val="en-US"/>
              </w:rPr>
              <w:t>-</w:t>
            </w:r>
          </w:p>
        </w:tc>
        <w:tc>
          <w:tcPr>
            <w:tcW w:w="1134" w:type="dxa"/>
            <w:tcBorders>
              <w:left w:val="nil"/>
              <w:bottom w:val="single" w:sz="4" w:space="0" w:color="auto"/>
              <w:right w:val="nil"/>
            </w:tcBorders>
          </w:tcPr>
          <w:p w14:paraId="45AB7353" w14:textId="77777777" w:rsidR="00A3021A" w:rsidRPr="00701439" w:rsidRDefault="00A3021A">
            <w:pPr>
              <w:jc w:val="right"/>
              <w:rPr>
                <w:rFonts w:asciiTheme="minorHAnsi" w:hAnsiTheme="minorHAnsi" w:cs="Arial"/>
                <w:sz w:val="20"/>
                <w:szCs w:val="20"/>
                <w:lang w:val="en-US"/>
              </w:rPr>
            </w:pPr>
            <w:r w:rsidRPr="00701439">
              <w:rPr>
                <w:rFonts w:asciiTheme="minorHAnsi" w:hAnsiTheme="minorHAnsi" w:cs="Arial"/>
                <w:sz w:val="20"/>
                <w:szCs w:val="20"/>
                <w:lang w:val="en-US"/>
              </w:rPr>
              <w:t>-</w:t>
            </w:r>
          </w:p>
        </w:tc>
        <w:tc>
          <w:tcPr>
            <w:tcW w:w="1044" w:type="dxa"/>
            <w:tcBorders>
              <w:left w:val="nil"/>
              <w:bottom w:val="single" w:sz="4" w:space="0" w:color="auto"/>
              <w:right w:val="nil"/>
            </w:tcBorders>
            <w:vAlign w:val="bottom"/>
          </w:tcPr>
          <w:p w14:paraId="5D740B98" w14:textId="77777777" w:rsidR="00A3021A" w:rsidRPr="00701439" w:rsidRDefault="00A3021A">
            <w:pPr>
              <w:jc w:val="right"/>
              <w:rPr>
                <w:rFonts w:asciiTheme="minorHAnsi" w:hAnsiTheme="minorHAnsi" w:cs="Arial"/>
                <w:sz w:val="20"/>
                <w:szCs w:val="20"/>
                <w:lang w:val="en-US"/>
              </w:rPr>
            </w:pPr>
            <w:r w:rsidRPr="00701439">
              <w:rPr>
                <w:rFonts w:asciiTheme="minorHAnsi" w:hAnsiTheme="minorHAnsi" w:cs="Arial"/>
                <w:sz w:val="20"/>
                <w:szCs w:val="20"/>
                <w:lang w:val="en-US"/>
              </w:rPr>
              <w:t>(74.2)</w:t>
            </w:r>
          </w:p>
        </w:tc>
        <w:tc>
          <w:tcPr>
            <w:tcW w:w="1168" w:type="dxa"/>
            <w:tcBorders>
              <w:left w:val="nil"/>
              <w:bottom w:val="single" w:sz="4" w:space="0" w:color="auto"/>
              <w:right w:val="nil"/>
            </w:tcBorders>
            <w:shd w:val="clear" w:color="auto" w:fill="auto"/>
            <w:vAlign w:val="bottom"/>
          </w:tcPr>
          <w:p w14:paraId="47EDBB42"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lang w:val="en-US"/>
              </w:rPr>
              <w:t>(26.3)</w:t>
            </w:r>
          </w:p>
        </w:tc>
      </w:tr>
      <w:tr w:rsidR="00A3021A" w:rsidRPr="00701439" w14:paraId="1ADEB302" w14:textId="77777777" w:rsidTr="0002541E">
        <w:trPr>
          <w:gridAfter w:val="1"/>
          <w:wAfter w:w="789" w:type="dxa"/>
          <w:trHeight w:val="454"/>
        </w:trPr>
        <w:tc>
          <w:tcPr>
            <w:tcW w:w="2919" w:type="dxa"/>
            <w:vAlign w:val="bottom"/>
          </w:tcPr>
          <w:p w14:paraId="529B71F6" w14:textId="77777777" w:rsidR="00A3021A" w:rsidRPr="00701439" w:rsidRDefault="00A3021A">
            <w:pPr>
              <w:rPr>
                <w:rFonts w:asciiTheme="minorHAnsi" w:hAnsiTheme="minorHAnsi" w:cs="Arial"/>
                <w:b/>
                <w:bCs/>
                <w:sz w:val="20"/>
                <w:szCs w:val="20"/>
                <w:lang w:val="en-US"/>
              </w:rPr>
            </w:pPr>
            <w:r w:rsidRPr="00701439">
              <w:rPr>
                <w:rFonts w:asciiTheme="minorHAnsi" w:hAnsiTheme="minorHAnsi" w:cs="Arial"/>
                <w:b/>
                <w:bCs/>
                <w:sz w:val="20"/>
                <w:szCs w:val="20"/>
                <w:lang w:val="en-US"/>
              </w:rPr>
              <w:t xml:space="preserve">Total group before </w:t>
            </w:r>
            <w:proofErr w:type="spellStart"/>
            <w:r w:rsidRPr="00701439">
              <w:rPr>
                <w:rFonts w:asciiTheme="minorHAnsi" w:hAnsiTheme="minorHAnsi" w:cs="Arial"/>
                <w:b/>
                <w:bCs/>
                <w:sz w:val="20"/>
                <w:szCs w:val="20"/>
                <w:lang w:val="en-US"/>
              </w:rPr>
              <w:t>amortisation</w:t>
            </w:r>
            <w:proofErr w:type="spellEnd"/>
            <w:r w:rsidRPr="00701439">
              <w:rPr>
                <w:rFonts w:asciiTheme="minorHAnsi" w:hAnsiTheme="minorHAnsi" w:cs="Arial"/>
                <w:b/>
                <w:bCs/>
                <w:sz w:val="20"/>
                <w:szCs w:val="20"/>
                <w:lang w:val="en-US"/>
              </w:rPr>
              <w:t xml:space="preserve"> of acquisition intangibles and exceptional items</w:t>
            </w:r>
          </w:p>
        </w:tc>
        <w:tc>
          <w:tcPr>
            <w:tcW w:w="1157" w:type="dxa"/>
            <w:tcBorders>
              <w:top w:val="single" w:sz="4" w:space="0" w:color="auto"/>
              <w:left w:val="nil"/>
              <w:right w:val="nil"/>
            </w:tcBorders>
            <w:vAlign w:val="bottom"/>
          </w:tcPr>
          <w:p w14:paraId="306FCD80"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486.9</w:t>
            </w:r>
          </w:p>
        </w:tc>
        <w:tc>
          <w:tcPr>
            <w:tcW w:w="1311" w:type="dxa"/>
            <w:tcBorders>
              <w:top w:val="single" w:sz="4" w:space="0" w:color="auto"/>
              <w:left w:val="nil"/>
              <w:right w:val="nil"/>
            </w:tcBorders>
            <w:shd w:val="clear" w:color="auto" w:fill="auto"/>
            <w:vAlign w:val="bottom"/>
          </w:tcPr>
          <w:p w14:paraId="4C2B66E4"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473.9</w:t>
            </w:r>
          </w:p>
        </w:tc>
        <w:tc>
          <w:tcPr>
            <w:tcW w:w="1134" w:type="dxa"/>
            <w:tcBorders>
              <w:top w:val="single" w:sz="4" w:space="0" w:color="auto"/>
              <w:left w:val="nil"/>
              <w:right w:val="nil"/>
            </w:tcBorders>
          </w:tcPr>
          <w:p w14:paraId="381705EE" w14:textId="77777777" w:rsidR="00A3021A" w:rsidRPr="00701439" w:rsidRDefault="00A3021A">
            <w:pPr>
              <w:jc w:val="right"/>
              <w:rPr>
                <w:rFonts w:asciiTheme="minorHAnsi" w:hAnsiTheme="minorHAnsi" w:cs="Arial"/>
                <w:sz w:val="20"/>
                <w:szCs w:val="20"/>
                <w:lang w:val="en-US"/>
              </w:rPr>
            </w:pPr>
          </w:p>
          <w:p w14:paraId="664B51C7" w14:textId="77777777" w:rsidR="00A3021A" w:rsidRPr="00701439" w:rsidRDefault="00A3021A">
            <w:pPr>
              <w:jc w:val="right"/>
              <w:rPr>
                <w:rFonts w:asciiTheme="minorHAnsi" w:hAnsiTheme="minorHAnsi" w:cs="Arial"/>
                <w:sz w:val="20"/>
                <w:szCs w:val="20"/>
                <w:lang w:val="en-US"/>
              </w:rPr>
            </w:pPr>
          </w:p>
          <w:p w14:paraId="728D22B8" w14:textId="77777777" w:rsidR="00A3021A" w:rsidRPr="00701439" w:rsidRDefault="00A3021A">
            <w:pPr>
              <w:jc w:val="right"/>
              <w:rPr>
                <w:rFonts w:asciiTheme="minorHAnsi" w:hAnsiTheme="minorHAnsi" w:cs="Arial"/>
                <w:sz w:val="20"/>
                <w:szCs w:val="20"/>
                <w:lang w:val="en-US"/>
              </w:rPr>
            </w:pPr>
            <w:r w:rsidRPr="00701439">
              <w:rPr>
                <w:rFonts w:asciiTheme="minorHAnsi" w:hAnsiTheme="minorHAnsi" w:cs="Arial"/>
                <w:sz w:val="20"/>
                <w:szCs w:val="20"/>
                <w:lang w:val="en-US"/>
              </w:rPr>
              <w:t>47.0</w:t>
            </w:r>
          </w:p>
        </w:tc>
        <w:tc>
          <w:tcPr>
            <w:tcW w:w="1134" w:type="dxa"/>
            <w:tcBorders>
              <w:top w:val="single" w:sz="4" w:space="0" w:color="auto"/>
              <w:left w:val="nil"/>
              <w:right w:val="nil"/>
            </w:tcBorders>
          </w:tcPr>
          <w:p w14:paraId="2B79EE79" w14:textId="77777777" w:rsidR="00A3021A" w:rsidRPr="00701439" w:rsidRDefault="00A3021A">
            <w:pPr>
              <w:jc w:val="right"/>
              <w:rPr>
                <w:rFonts w:asciiTheme="minorHAnsi" w:hAnsiTheme="minorHAnsi" w:cs="Arial"/>
                <w:sz w:val="20"/>
                <w:szCs w:val="20"/>
                <w:lang w:val="en-US"/>
              </w:rPr>
            </w:pPr>
          </w:p>
          <w:p w14:paraId="7FBE54B8" w14:textId="77777777" w:rsidR="00A3021A" w:rsidRPr="00701439" w:rsidRDefault="00A3021A">
            <w:pPr>
              <w:jc w:val="right"/>
              <w:rPr>
                <w:rFonts w:asciiTheme="minorHAnsi" w:hAnsiTheme="minorHAnsi" w:cs="Arial"/>
                <w:sz w:val="20"/>
                <w:szCs w:val="20"/>
                <w:lang w:val="en-US"/>
              </w:rPr>
            </w:pPr>
          </w:p>
          <w:p w14:paraId="43C522F6" w14:textId="77777777" w:rsidR="00A3021A" w:rsidRPr="00701439" w:rsidRDefault="00A3021A">
            <w:pPr>
              <w:jc w:val="right"/>
              <w:rPr>
                <w:rFonts w:asciiTheme="minorHAnsi" w:hAnsiTheme="minorHAnsi" w:cs="Arial"/>
                <w:sz w:val="20"/>
                <w:szCs w:val="20"/>
                <w:lang w:val="en-US"/>
              </w:rPr>
            </w:pPr>
            <w:r w:rsidRPr="00701439">
              <w:rPr>
                <w:rFonts w:asciiTheme="minorHAnsi" w:hAnsiTheme="minorHAnsi" w:cs="Arial"/>
                <w:sz w:val="20"/>
                <w:szCs w:val="20"/>
                <w:lang w:val="en-US"/>
              </w:rPr>
              <w:t>60.3</w:t>
            </w:r>
          </w:p>
        </w:tc>
        <w:tc>
          <w:tcPr>
            <w:tcW w:w="1044" w:type="dxa"/>
            <w:tcBorders>
              <w:top w:val="single" w:sz="4" w:space="0" w:color="auto"/>
              <w:left w:val="nil"/>
              <w:right w:val="nil"/>
            </w:tcBorders>
            <w:vAlign w:val="bottom"/>
          </w:tcPr>
          <w:p w14:paraId="7CDB049D" w14:textId="77777777" w:rsidR="00A3021A" w:rsidRPr="00701439" w:rsidRDefault="00A3021A">
            <w:pPr>
              <w:jc w:val="right"/>
              <w:rPr>
                <w:rFonts w:asciiTheme="minorHAnsi" w:hAnsiTheme="minorHAnsi" w:cs="Arial"/>
                <w:sz w:val="20"/>
                <w:szCs w:val="20"/>
                <w:lang w:val="en-US"/>
              </w:rPr>
            </w:pPr>
            <w:r w:rsidRPr="00701439">
              <w:rPr>
                <w:rFonts w:asciiTheme="minorHAnsi" w:hAnsiTheme="minorHAnsi" w:cs="Arial"/>
                <w:sz w:val="20"/>
                <w:szCs w:val="20"/>
                <w:lang w:val="en-US"/>
              </w:rPr>
              <w:t>126.6</w:t>
            </w:r>
          </w:p>
        </w:tc>
        <w:tc>
          <w:tcPr>
            <w:tcW w:w="1168" w:type="dxa"/>
            <w:tcBorders>
              <w:top w:val="single" w:sz="4" w:space="0" w:color="auto"/>
              <w:left w:val="nil"/>
              <w:right w:val="nil"/>
            </w:tcBorders>
            <w:shd w:val="clear" w:color="auto" w:fill="auto"/>
            <w:vAlign w:val="bottom"/>
          </w:tcPr>
          <w:p w14:paraId="794D05A6" w14:textId="77777777" w:rsidR="00A3021A" w:rsidRPr="00701439" w:rsidRDefault="00A3021A">
            <w:pPr>
              <w:jc w:val="right"/>
              <w:rPr>
                <w:rFonts w:asciiTheme="minorHAnsi" w:hAnsiTheme="minorHAnsi" w:cs="Arial"/>
                <w:sz w:val="20"/>
                <w:szCs w:val="20"/>
                <w:lang w:val="en-US"/>
              </w:rPr>
            </w:pPr>
            <w:r w:rsidRPr="00701439">
              <w:rPr>
                <w:rFonts w:asciiTheme="minorHAnsi" w:hAnsiTheme="minorHAnsi" w:cs="Arial"/>
                <w:sz w:val="20"/>
                <w:szCs w:val="20"/>
                <w:lang w:val="en-US"/>
              </w:rPr>
              <w:t>167.8</w:t>
            </w:r>
          </w:p>
        </w:tc>
      </w:tr>
      <w:tr w:rsidR="00A3021A" w:rsidRPr="00701439" w14:paraId="2BBA3D25" w14:textId="77777777" w:rsidTr="0002541E">
        <w:trPr>
          <w:gridAfter w:val="1"/>
          <w:wAfter w:w="789" w:type="dxa"/>
          <w:trHeight w:val="233"/>
        </w:trPr>
        <w:tc>
          <w:tcPr>
            <w:tcW w:w="2919" w:type="dxa"/>
            <w:vAlign w:val="bottom"/>
          </w:tcPr>
          <w:p w14:paraId="6C861762" w14:textId="77777777" w:rsidR="00A3021A" w:rsidRPr="00701439" w:rsidRDefault="00A3021A">
            <w:pPr>
              <w:rPr>
                <w:rFonts w:asciiTheme="minorHAnsi" w:hAnsiTheme="minorHAnsi" w:cs="Arial"/>
                <w:bCs/>
                <w:sz w:val="20"/>
                <w:szCs w:val="20"/>
                <w:lang w:val="en-US"/>
              </w:rPr>
            </w:pPr>
            <w:proofErr w:type="spellStart"/>
            <w:r w:rsidRPr="00701439">
              <w:rPr>
                <w:rFonts w:asciiTheme="minorHAnsi" w:hAnsiTheme="minorHAnsi" w:cs="Arial"/>
                <w:bCs/>
                <w:sz w:val="20"/>
                <w:szCs w:val="20"/>
                <w:lang w:val="en-US"/>
              </w:rPr>
              <w:t>Amortisation</w:t>
            </w:r>
            <w:proofErr w:type="spellEnd"/>
            <w:r w:rsidRPr="00701439">
              <w:rPr>
                <w:rFonts w:asciiTheme="minorHAnsi" w:hAnsiTheme="minorHAnsi" w:cs="Arial"/>
                <w:bCs/>
                <w:sz w:val="20"/>
                <w:szCs w:val="20"/>
                <w:lang w:val="en-US"/>
              </w:rPr>
              <w:t xml:space="preserve"> of acquisition intangibles </w:t>
            </w:r>
            <w:r w:rsidRPr="00701439">
              <w:rPr>
                <w:rFonts w:asciiTheme="minorHAnsi" w:hAnsiTheme="minorHAnsi" w:cs="Arial"/>
                <w:sz w:val="20"/>
                <w:szCs w:val="20"/>
                <w:lang w:val="en-US"/>
              </w:rPr>
              <w:t>(note 10)</w:t>
            </w:r>
          </w:p>
        </w:tc>
        <w:tc>
          <w:tcPr>
            <w:tcW w:w="1157" w:type="dxa"/>
            <w:tcBorders>
              <w:left w:val="nil"/>
              <w:right w:val="nil"/>
            </w:tcBorders>
            <w:vAlign w:val="bottom"/>
          </w:tcPr>
          <w:p w14:paraId="6F3C0BA0"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c>
          <w:tcPr>
            <w:tcW w:w="1311" w:type="dxa"/>
            <w:tcBorders>
              <w:left w:val="nil"/>
              <w:right w:val="nil"/>
            </w:tcBorders>
            <w:shd w:val="clear" w:color="auto" w:fill="auto"/>
            <w:vAlign w:val="bottom"/>
          </w:tcPr>
          <w:p w14:paraId="6D96F13C"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 </w:t>
            </w:r>
          </w:p>
        </w:tc>
        <w:tc>
          <w:tcPr>
            <w:tcW w:w="1134" w:type="dxa"/>
            <w:tcBorders>
              <w:left w:val="nil"/>
              <w:right w:val="nil"/>
            </w:tcBorders>
          </w:tcPr>
          <w:p w14:paraId="52B16B3B" w14:textId="77777777" w:rsidR="00A3021A" w:rsidRPr="00701439" w:rsidRDefault="00A3021A">
            <w:pPr>
              <w:jc w:val="right"/>
              <w:rPr>
                <w:rFonts w:asciiTheme="minorHAnsi" w:hAnsiTheme="minorHAnsi" w:cs="Arial"/>
                <w:sz w:val="20"/>
                <w:szCs w:val="20"/>
                <w:lang w:val="en-US"/>
              </w:rPr>
            </w:pPr>
          </w:p>
          <w:p w14:paraId="7B6B8794" w14:textId="77777777" w:rsidR="00A3021A" w:rsidRPr="00701439" w:rsidRDefault="00A3021A">
            <w:pPr>
              <w:jc w:val="right"/>
              <w:rPr>
                <w:rFonts w:asciiTheme="minorHAnsi" w:hAnsiTheme="minorHAnsi" w:cs="Arial"/>
                <w:sz w:val="20"/>
                <w:szCs w:val="20"/>
                <w:lang w:val="en-US"/>
              </w:rPr>
            </w:pPr>
            <w:r w:rsidRPr="00701439">
              <w:rPr>
                <w:rFonts w:asciiTheme="minorHAnsi" w:hAnsiTheme="minorHAnsi" w:cs="Arial"/>
                <w:sz w:val="20"/>
                <w:szCs w:val="20"/>
                <w:lang w:val="en-US"/>
              </w:rPr>
              <w:t>-</w:t>
            </w:r>
          </w:p>
        </w:tc>
        <w:tc>
          <w:tcPr>
            <w:tcW w:w="1134" w:type="dxa"/>
            <w:tcBorders>
              <w:left w:val="nil"/>
              <w:right w:val="nil"/>
            </w:tcBorders>
          </w:tcPr>
          <w:p w14:paraId="673D2E1A" w14:textId="77777777" w:rsidR="00A3021A" w:rsidRPr="00701439" w:rsidRDefault="00A3021A">
            <w:pPr>
              <w:jc w:val="right"/>
              <w:rPr>
                <w:rFonts w:asciiTheme="minorHAnsi" w:hAnsiTheme="minorHAnsi" w:cs="Arial"/>
                <w:sz w:val="20"/>
                <w:szCs w:val="20"/>
                <w:lang w:val="en-US"/>
              </w:rPr>
            </w:pPr>
          </w:p>
          <w:p w14:paraId="311E86AB" w14:textId="77777777" w:rsidR="00A3021A" w:rsidRPr="00701439" w:rsidRDefault="00A3021A">
            <w:pPr>
              <w:jc w:val="right"/>
              <w:rPr>
                <w:rFonts w:asciiTheme="minorHAnsi" w:hAnsiTheme="minorHAnsi" w:cs="Arial"/>
                <w:sz w:val="20"/>
                <w:szCs w:val="20"/>
                <w:lang w:val="en-US"/>
              </w:rPr>
            </w:pPr>
            <w:r w:rsidRPr="00701439">
              <w:rPr>
                <w:rFonts w:asciiTheme="minorHAnsi" w:hAnsiTheme="minorHAnsi" w:cs="Arial"/>
                <w:sz w:val="20"/>
                <w:szCs w:val="20"/>
                <w:lang w:val="en-US"/>
              </w:rPr>
              <w:t>-</w:t>
            </w:r>
          </w:p>
        </w:tc>
        <w:tc>
          <w:tcPr>
            <w:tcW w:w="1044" w:type="dxa"/>
            <w:tcBorders>
              <w:left w:val="nil"/>
              <w:right w:val="nil"/>
            </w:tcBorders>
            <w:vAlign w:val="bottom"/>
          </w:tcPr>
          <w:p w14:paraId="7B21252F" w14:textId="77777777" w:rsidR="00A3021A" w:rsidRPr="00701439" w:rsidRDefault="00A3021A">
            <w:pPr>
              <w:jc w:val="right"/>
              <w:rPr>
                <w:rFonts w:asciiTheme="minorHAnsi" w:hAnsiTheme="minorHAnsi" w:cs="Arial"/>
                <w:sz w:val="20"/>
                <w:szCs w:val="20"/>
                <w:lang w:val="en-US"/>
              </w:rPr>
            </w:pPr>
            <w:r w:rsidRPr="00701439">
              <w:rPr>
                <w:rFonts w:asciiTheme="minorHAnsi" w:hAnsiTheme="minorHAnsi" w:cs="Arial"/>
                <w:sz w:val="20"/>
                <w:szCs w:val="20"/>
                <w:lang w:val="en-US"/>
              </w:rPr>
              <w:t>(7.5)</w:t>
            </w:r>
          </w:p>
        </w:tc>
        <w:tc>
          <w:tcPr>
            <w:tcW w:w="1168" w:type="dxa"/>
            <w:tcBorders>
              <w:left w:val="nil"/>
              <w:right w:val="nil"/>
            </w:tcBorders>
            <w:shd w:val="clear" w:color="auto" w:fill="auto"/>
            <w:vAlign w:val="bottom"/>
          </w:tcPr>
          <w:p w14:paraId="419C7ED3" w14:textId="77777777" w:rsidR="00A3021A" w:rsidRPr="00701439" w:rsidRDefault="00A3021A">
            <w:pPr>
              <w:jc w:val="right"/>
              <w:rPr>
                <w:rFonts w:asciiTheme="minorHAnsi" w:hAnsiTheme="minorHAnsi" w:cs="Arial"/>
                <w:sz w:val="20"/>
                <w:szCs w:val="20"/>
                <w:lang w:val="en-US"/>
              </w:rPr>
            </w:pPr>
            <w:r w:rsidRPr="00701439">
              <w:rPr>
                <w:rFonts w:asciiTheme="minorHAnsi" w:hAnsiTheme="minorHAnsi" w:cs="Arial"/>
                <w:sz w:val="20"/>
                <w:szCs w:val="20"/>
                <w:lang w:val="en-US"/>
              </w:rPr>
              <w:t>(7.5)</w:t>
            </w:r>
          </w:p>
        </w:tc>
      </w:tr>
      <w:tr w:rsidR="00A3021A" w:rsidRPr="00701439" w14:paraId="516B402E" w14:textId="77777777" w:rsidTr="0002541E">
        <w:trPr>
          <w:gridAfter w:val="1"/>
          <w:wAfter w:w="789" w:type="dxa"/>
          <w:trHeight w:val="233"/>
        </w:trPr>
        <w:tc>
          <w:tcPr>
            <w:tcW w:w="2919" w:type="dxa"/>
            <w:vAlign w:val="bottom"/>
          </w:tcPr>
          <w:p w14:paraId="22C87BC6" w14:textId="77777777" w:rsidR="00A3021A" w:rsidRPr="00701439" w:rsidRDefault="00A3021A">
            <w:pPr>
              <w:rPr>
                <w:rFonts w:asciiTheme="minorHAnsi" w:hAnsiTheme="minorHAnsi" w:cs="Arial"/>
                <w:bCs/>
                <w:sz w:val="20"/>
                <w:szCs w:val="20"/>
                <w:lang w:val="en-US"/>
              </w:rPr>
            </w:pPr>
            <w:r w:rsidRPr="00701439">
              <w:rPr>
                <w:rFonts w:asciiTheme="minorHAnsi" w:hAnsiTheme="minorHAnsi" w:cs="Arial"/>
                <w:bCs/>
                <w:sz w:val="20"/>
                <w:szCs w:val="20"/>
                <w:lang w:val="en-US"/>
              </w:rPr>
              <w:t>Exceptional items</w:t>
            </w:r>
          </w:p>
        </w:tc>
        <w:tc>
          <w:tcPr>
            <w:tcW w:w="1157" w:type="dxa"/>
            <w:tcBorders>
              <w:left w:val="nil"/>
              <w:bottom w:val="single" w:sz="4" w:space="0" w:color="auto"/>
              <w:right w:val="nil"/>
            </w:tcBorders>
            <w:vAlign w:val="bottom"/>
          </w:tcPr>
          <w:p w14:paraId="004131C7"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c>
          <w:tcPr>
            <w:tcW w:w="1311" w:type="dxa"/>
            <w:tcBorders>
              <w:left w:val="nil"/>
              <w:bottom w:val="single" w:sz="4" w:space="0" w:color="auto"/>
              <w:right w:val="nil"/>
            </w:tcBorders>
            <w:shd w:val="clear" w:color="auto" w:fill="auto"/>
            <w:vAlign w:val="bottom"/>
          </w:tcPr>
          <w:p w14:paraId="601F4069"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 </w:t>
            </w:r>
          </w:p>
        </w:tc>
        <w:tc>
          <w:tcPr>
            <w:tcW w:w="1134" w:type="dxa"/>
            <w:tcBorders>
              <w:left w:val="nil"/>
              <w:bottom w:val="single" w:sz="4" w:space="0" w:color="auto"/>
              <w:right w:val="nil"/>
            </w:tcBorders>
          </w:tcPr>
          <w:p w14:paraId="29F6E0ED" w14:textId="77777777" w:rsidR="00A3021A" w:rsidRPr="00701439" w:rsidRDefault="00A3021A">
            <w:pPr>
              <w:jc w:val="right"/>
              <w:rPr>
                <w:rFonts w:asciiTheme="minorHAnsi" w:hAnsiTheme="minorHAnsi" w:cs="Arial"/>
                <w:sz w:val="20"/>
                <w:szCs w:val="20"/>
                <w:lang w:val="en-US"/>
              </w:rPr>
            </w:pPr>
            <w:r w:rsidRPr="00701439">
              <w:rPr>
                <w:rFonts w:asciiTheme="minorHAnsi" w:hAnsiTheme="minorHAnsi" w:cs="Arial"/>
                <w:sz w:val="20"/>
                <w:szCs w:val="20"/>
                <w:lang w:val="en-US"/>
              </w:rPr>
              <w:t>-</w:t>
            </w:r>
          </w:p>
        </w:tc>
        <w:tc>
          <w:tcPr>
            <w:tcW w:w="1134" w:type="dxa"/>
            <w:tcBorders>
              <w:left w:val="nil"/>
              <w:bottom w:val="single" w:sz="4" w:space="0" w:color="auto"/>
              <w:right w:val="nil"/>
            </w:tcBorders>
          </w:tcPr>
          <w:p w14:paraId="7F1FB1B8" w14:textId="77777777" w:rsidR="00A3021A" w:rsidRPr="00701439" w:rsidRDefault="00A3021A">
            <w:pPr>
              <w:jc w:val="right"/>
              <w:rPr>
                <w:rFonts w:asciiTheme="minorHAnsi" w:hAnsiTheme="minorHAnsi" w:cs="Arial"/>
                <w:sz w:val="20"/>
                <w:szCs w:val="20"/>
                <w:lang w:val="en-US"/>
              </w:rPr>
            </w:pPr>
            <w:r w:rsidRPr="00701439">
              <w:rPr>
                <w:rFonts w:asciiTheme="minorHAnsi" w:hAnsiTheme="minorHAnsi" w:cs="Arial"/>
                <w:sz w:val="20"/>
                <w:szCs w:val="20"/>
                <w:lang w:val="en-US"/>
              </w:rPr>
              <w:t>-</w:t>
            </w:r>
          </w:p>
        </w:tc>
        <w:tc>
          <w:tcPr>
            <w:tcW w:w="1044" w:type="dxa"/>
            <w:tcBorders>
              <w:left w:val="nil"/>
              <w:bottom w:val="single" w:sz="4" w:space="0" w:color="auto"/>
              <w:right w:val="nil"/>
            </w:tcBorders>
            <w:vAlign w:val="bottom"/>
          </w:tcPr>
          <w:p w14:paraId="7DF1E6F0" w14:textId="77777777" w:rsidR="00A3021A" w:rsidRPr="00701439" w:rsidRDefault="00A3021A">
            <w:pPr>
              <w:jc w:val="right"/>
              <w:rPr>
                <w:rFonts w:asciiTheme="minorHAnsi" w:hAnsiTheme="minorHAnsi" w:cs="Arial"/>
                <w:sz w:val="20"/>
                <w:szCs w:val="20"/>
                <w:lang w:val="en-US"/>
              </w:rPr>
            </w:pPr>
            <w:r w:rsidRPr="00701439">
              <w:rPr>
                <w:rFonts w:asciiTheme="minorHAnsi" w:hAnsiTheme="minorHAnsi" w:cs="Arial"/>
                <w:sz w:val="20"/>
                <w:szCs w:val="20"/>
                <w:lang w:val="en-US"/>
              </w:rPr>
              <w:t>(9.0)</w:t>
            </w:r>
          </w:p>
        </w:tc>
        <w:tc>
          <w:tcPr>
            <w:tcW w:w="1168" w:type="dxa"/>
            <w:tcBorders>
              <w:left w:val="nil"/>
              <w:bottom w:val="single" w:sz="4" w:space="0" w:color="auto"/>
              <w:right w:val="nil"/>
            </w:tcBorders>
            <w:shd w:val="clear" w:color="auto" w:fill="auto"/>
            <w:vAlign w:val="bottom"/>
          </w:tcPr>
          <w:p w14:paraId="44357235" w14:textId="77777777" w:rsidR="00A3021A" w:rsidRPr="00701439" w:rsidRDefault="00A3021A">
            <w:pPr>
              <w:jc w:val="right"/>
              <w:rPr>
                <w:rFonts w:asciiTheme="minorHAnsi" w:hAnsiTheme="minorHAnsi" w:cs="Arial"/>
                <w:sz w:val="20"/>
                <w:szCs w:val="20"/>
                <w:lang w:val="en-US"/>
              </w:rPr>
            </w:pPr>
            <w:r w:rsidRPr="00701439">
              <w:rPr>
                <w:rFonts w:asciiTheme="minorHAnsi" w:hAnsiTheme="minorHAnsi" w:cs="Arial"/>
                <w:sz w:val="20"/>
                <w:szCs w:val="20"/>
                <w:lang w:val="en-US"/>
              </w:rPr>
              <w:t>(18.1)</w:t>
            </w:r>
          </w:p>
        </w:tc>
      </w:tr>
      <w:tr w:rsidR="00A3021A" w:rsidRPr="00701439" w14:paraId="6A69655F" w14:textId="77777777" w:rsidTr="0002541E">
        <w:trPr>
          <w:gridAfter w:val="1"/>
          <w:wAfter w:w="789" w:type="dxa"/>
          <w:trHeight w:val="233"/>
        </w:trPr>
        <w:tc>
          <w:tcPr>
            <w:tcW w:w="2919" w:type="dxa"/>
            <w:vAlign w:val="bottom"/>
          </w:tcPr>
          <w:p w14:paraId="1A8A1841" w14:textId="77777777" w:rsidR="00A3021A" w:rsidRPr="00701439" w:rsidRDefault="00A3021A">
            <w:pPr>
              <w:rPr>
                <w:rFonts w:asciiTheme="minorHAnsi" w:hAnsiTheme="minorHAnsi" w:cs="Arial"/>
                <w:b/>
                <w:bCs/>
                <w:sz w:val="20"/>
                <w:szCs w:val="20"/>
                <w:lang w:val="en-US"/>
              </w:rPr>
            </w:pPr>
            <w:r w:rsidRPr="00701439">
              <w:rPr>
                <w:rFonts w:asciiTheme="minorHAnsi" w:hAnsiTheme="minorHAnsi" w:cs="Arial"/>
                <w:b/>
                <w:bCs/>
                <w:sz w:val="20"/>
                <w:szCs w:val="20"/>
                <w:lang w:val="en-US"/>
              </w:rPr>
              <w:t>Total Group – continuing operations</w:t>
            </w:r>
          </w:p>
        </w:tc>
        <w:tc>
          <w:tcPr>
            <w:tcW w:w="1157" w:type="dxa"/>
            <w:tcBorders>
              <w:top w:val="single" w:sz="4" w:space="0" w:color="auto"/>
              <w:left w:val="nil"/>
              <w:bottom w:val="single" w:sz="4" w:space="0" w:color="auto"/>
              <w:right w:val="nil"/>
            </w:tcBorders>
            <w:vAlign w:val="bottom"/>
          </w:tcPr>
          <w:p w14:paraId="3ED12C89"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486.9</w:t>
            </w:r>
          </w:p>
        </w:tc>
        <w:tc>
          <w:tcPr>
            <w:tcW w:w="1311" w:type="dxa"/>
            <w:tcBorders>
              <w:top w:val="single" w:sz="4" w:space="0" w:color="auto"/>
              <w:left w:val="nil"/>
              <w:bottom w:val="single" w:sz="4" w:space="0" w:color="auto"/>
              <w:right w:val="nil"/>
            </w:tcBorders>
            <w:shd w:val="clear" w:color="auto" w:fill="auto"/>
            <w:vAlign w:val="bottom"/>
          </w:tcPr>
          <w:p w14:paraId="79A66313"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473.9</w:t>
            </w:r>
          </w:p>
        </w:tc>
        <w:tc>
          <w:tcPr>
            <w:tcW w:w="1134" w:type="dxa"/>
            <w:tcBorders>
              <w:top w:val="single" w:sz="4" w:space="0" w:color="auto"/>
              <w:left w:val="nil"/>
              <w:bottom w:val="single" w:sz="4" w:space="0" w:color="auto"/>
              <w:right w:val="nil"/>
            </w:tcBorders>
          </w:tcPr>
          <w:p w14:paraId="7F33D1E6" w14:textId="77777777" w:rsidR="00A3021A" w:rsidRPr="00701439" w:rsidRDefault="00A3021A">
            <w:pPr>
              <w:jc w:val="right"/>
              <w:rPr>
                <w:rFonts w:asciiTheme="minorHAnsi" w:hAnsiTheme="minorHAnsi" w:cs="Arial"/>
                <w:sz w:val="20"/>
                <w:szCs w:val="20"/>
                <w:lang w:val="en-US"/>
              </w:rPr>
            </w:pPr>
          </w:p>
          <w:p w14:paraId="02086A75" w14:textId="77777777" w:rsidR="00A3021A" w:rsidRPr="00701439" w:rsidRDefault="00A3021A">
            <w:pPr>
              <w:jc w:val="right"/>
              <w:rPr>
                <w:rFonts w:asciiTheme="minorHAnsi" w:hAnsiTheme="minorHAnsi" w:cs="Arial"/>
                <w:sz w:val="20"/>
                <w:szCs w:val="20"/>
                <w:lang w:val="en-US"/>
              </w:rPr>
            </w:pPr>
            <w:r w:rsidRPr="00701439">
              <w:rPr>
                <w:rFonts w:asciiTheme="minorHAnsi" w:hAnsiTheme="minorHAnsi" w:cs="Arial"/>
                <w:sz w:val="20"/>
                <w:szCs w:val="20"/>
                <w:lang w:val="en-US"/>
              </w:rPr>
              <w:t>47.0</w:t>
            </w:r>
          </w:p>
        </w:tc>
        <w:tc>
          <w:tcPr>
            <w:tcW w:w="1134" w:type="dxa"/>
            <w:tcBorders>
              <w:top w:val="single" w:sz="4" w:space="0" w:color="auto"/>
              <w:left w:val="nil"/>
              <w:bottom w:val="single" w:sz="4" w:space="0" w:color="auto"/>
              <w:right w:val="nil"/>
            </w:tcBorders>
          </w:tcPr>
          <w:p w14:paraId="17E8AE66" w14:textId="77777777" w:rsidR="00A3021A" w:rsidRPr="00701439" w:rsidRDefault="00A3021A">
            <w:pPr>
              <w:jc w:val="right"/>
              <w:rPr>
                <w:rFonts w:asciiTheme="minorHAnsi" w:hAnsiTheme="minorHAnsi" w:cs="Arial"/>
                <w:sz w:val="20"/>
                <w:szCs w:val="20"/>
                <w:lang w:val="en-US"/>
              </w:rPr>
            </w:pPr>
          </w:p>
          <w:p w14:paraId="547732C2" w14:textId="77777777" w:rsidR="00A3021A" w:rsidRPr="00701439" w:rsidRDefault="00A3021A">
            <w:pPr>
              <w:jc w:val="right"/>
              <w:rPr>
                <w:rFonts w:asciiTheme="minorHAnsi" w:hAnsiTheme="minorHAnsi" w:cs="Arial"/>
                <w:sz w:val="20"/>
                <w:szCs w:val="20"/>
                <w:lang w:val="en-US"/>
              </w:rPr>
            </w:pPr>
            <w:r w:rsidRPr="00701439">
              <w:rPr>
                <w:rFonts w:asciiTheme="minorHAnsi" w:hAnsiTheme="minorHAnsi" w:cs="Arial"/>
                <w:sz w:val="20"/>
                <w:szCs w:val="20"/>
                <w:lang w:val="en-US"/>
              </w:rPr>
              <w:t>60.3</w:t>
            </w:r>
          </w:p>
        </w:tc>
        <w:tc>
          <w:tcPr>
            <w:tcW w:w="1044" w:type="dxa"/>
            <w:tcBorders>
              <w:top w:val="single" w:sz="4" w:space="0" w:color="auto"/>
              <w:left w:val="nil"/>
              <w:bottom w:val="single" w:sz="4" w:space="0" w:color="auto"/>
              <w:right w:val="nil"/>
            </w:tcBorders>
            <w:vAlign w:val="bottom"/>
          </w:tcPr>
          <w:p w14:paraId="7BE313B1" w14:textId="77777777" w:rsidR="00A3021A" w:rsidRPr="00701439" w:rsidRDefault="00A3021A">
            <w:pPr>
              <w:jc w:val="right"/>
              <w:rPr>
                <w:rFonts w:asciiTheme="minorHAnsi" w:hAnsiTheme="minorHAnsi" w:cs="Arial"/>
                <w:sz w:val="20"/>
                <w:szCs w:val="20"/>
                <w:lang w:val="en-US"/>
              </w:rPr>
            </w:pPr>
            <w:r w:rsidRPr="00701439">
              <w:rPr>
                <w:rFonts w:asciiTheme="minorHAnsi" w:hAnsiTheme="minorHAnsi" w:cs="Arial"/>
                <w:sz w:val="20"/>
                <w:szCs w:val="20"/>
                <w:lang w:val="en-US"/>
              </w:rPr>
              <w:t>110.1</w:t>
            </w:r>
          </w:p>
        </w:tc>
        <w:tc>
          <w:tcPr>
            <w:tcW w:w="1168" w:type="dxa"/>
            <w:tcBorders>
              <w:top w:val="single" w:sz="4" w:space="0" w:color="auto"/>
              <w:left w:val="nil"/>
              <w:bottom w:val="single" w:sz="4" w:space="0" w:color="auto"/>
              <w:right w:val="nil"/>
            </w:tcBorders>
            <w:shd w:val="clear" w:color="auto" w:fill="auto"/>
            <w:vAlign w:val="bottom"/>
          </w:tcPr>
          <w:p w14:paraId="517757A0" w14:textId="77777777" w:rsidR="00A3021A" w:rsidRPr="00701439" w:rsidRDefault="00A3021A">
            <w:pPr>
              <w:jc w:val="right"/>
              <w:rPr>
                <w:rFonts w:asciiTheme="minorHAnsi" w:hAnsiTheme="minorHAnsi" w:cs="Arial"/>
                <w:sz w:val="20"/>
                <w:szCs w:val="20"/>
                <w:lang w:val="en-US"/>
              </w:rPr>
            </w:pPr>
            <w:r w:rsidRPr="00701439">
              <w:rPr>
                <w:rFonts w:asciiTheme="minorHAnsi" w:hAnsiTheme="minorHAnsi" w:cs="Arial"/>
                <w:sz w:val="20"/>
                <w:szCs w:val="20"/>
                <w:lang w:val="en-US"/>
              </w:rPr>
              <w:t>142.2</w:t>
            </w:r>
          </w:p>
        </w:tc>
      </w:tr>
      <w:tr w:rsidR="00A3021A" w:rsidRPr="00701439" w14:paraId="7031C25B" w14:textId="77777777" w:rsidTr="0002541E">
        <w:trPr>
          <w:trHeight w:val="233"/>
        </w:trPr>
        <w:tc>
          <w:tcPr>
            <w:tcW w:w="2919" w:type="dxa"/>
            <w:vAlign w:val="bottom"/>
          </w:tcPr>
          <w:p w14:paraId="6862DBF4" w14:textId="77777777" w:rsidR="00A3021A" w:rsidRPr="00701439" w:rsidRDefault="00A3021A">
            <w:pPr>
              <w:rPr>
                <w:rFonts w:asciiTheme="minorHAnsi" w:hAnsiTheme="minorHAnsi" w:cs="Arial"/>
                <w:b/>
                <w:bCs/>
                <w:sz w:val="20"/>
                <w:szCs w:val="20"/>
                <w:lang w:val="en-US"/>
              </w:rPr>
            </w:pPr>
            <w:r w:rsidRPr="00701439">
              <w:rPr>
                <w:rFonts w:asciiTheme="minorHAnsi" w:hAnsiTheme="minorHAnsi" w:cs="Arial"/>
                <w:b/>
                <w:bCs/>
                <w:sz w:val="20"/>
                <w:szCs w:val="20"/>
                <w:lang w:val="en-US"/>
              </w:rPr>
              <w:t xml:space="preserve">CCD – discontinued operations </w:t>
            </w:r>
            <w:r w:rsidRPr="00701439">
              <w:rPr>
                <w:rFonts w:asciiTheme="minorHAnsi" w:hAnsiTheme="minorHAnsi" w:cs="Arial"/>
                <w:b/>
                <w:sz w:val="20"/>
                <w:szCs w:val="20"/>
                <w:lang w:val="en-US"/>
              </w:rPr>
              <w:t>(note 4)</w:t>
            </w:r>
          </w:p>
        </w:tc>
        <w:tc>
          <w:tcPr>
            <w:tcW w:w="1157" w:type="dxa"/>
            <w:tcBorders>
              <w:left w:val="nil"/>
              <w:right w:val="nil"/>
            </w:tcBorders>
            <w:vAlign w:val="bottom"/>
          </w:tcPr>
          <w:p w14:paraId="339D15CE"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c>
          <w:tcPr>
            <w:tcW w:w="1311" w:type="dxa"/>
            <w:tcBorders>
              <w:left w:val="nil"/>
              <w:right w:val="nil"/>
            </w:tcBorders>
            <w:shd w:val="clear" w:color="auto" w:fill="auto"/>
            <w:vAlign w:val="bottom"/>
          </w:tcPr>
          <w:p w14:paraId="2C5A4479"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68.0</w:t>
            </w:r>
          </w:p>
        </w:tc>
        <w:tc>
          <w:tcPr>
            <w:tcW w:w="1134" w:type="dxa"/>
            <w:tcBorders>
              <w:left w:val="nil"/>
              <w:right w:val="nil"/>
            </w:tcBorders>
          </w:tcPr>
          <w:p w14:paraId="1E01981F" w14:textId="77777777" w:rsidR="00A3021A" w:rsidRPr="00701439" w:rsidRDefault="00A3021A">
            <w:pPr>
              <w:jc w:val="right"/>
              <w:rPr>
                <w:rFonts w:asciiTheme="minorHAnsi" w:hAnsiTheme="minorHAnsi" w:cs="Arial"/>
                <w:sz w:val="20"/>
                <w:szCs w:val="20"/>
                <w:lang w:val="en-US"/>
              </w:rPr>
            </w:pPr>
          </w:p>
          <w:p w14:paraId="3E359FA6" w14:textId="77777777" w:rsidR="00A3021A" w:rsidRPr="00701439" w:rsidRDefault="00A3021A">
            <w:pPr>
              <w:jc w:val="right"/>
              <w:rPr>
                <w:rFonts w:asciiTheme="minorHAnsi" w:hAnsiTheme="minorHAnsi" w:cs="Arial"/>
                <w:sz w:val="20"/>
                <w:szCs w:val="20"/>
                <w:lang w:val="en-US"/>
              </w:rPr>
            </w:pPr>
            <w:r w:rsidRPr="00701439">
              <w:rPr>
                <w:rFonts w:asciiTheme="minorHAnsi" w:hAnsiTheme="minorHAnsi" w:cs="Arial"/>
                <w:sz w:val="20"/>
                <w:szCs w:val="20"/>
                <w:lang w:val="en-US"/>
              </w:rPr>
              <w:t>-</w:t>
            </w:r>
          </w:p>
        </w:tc>
        <w:tc>
          <w:tcPr>
            <w:tcW w:w="1134" w:type="dxa"/>
            <w:tcBorders>
              <w:left w:val="nil"/>
              <w:right w:val="nil"/>
            </w:tcBorders>
          </w:tcPr>
          <w:p w14:paraId="2A3A7A99" w14:textId="77777777" w:rsidR="00A3021A" w:rsidRPr="00701439" w:rsidRDefault="00A3021A">
            <w:pPr>
              <w:jc w:val="right"/>
              <w:rPr>
                <w:rFonts w:asciiTheme="minorHAnsi" w:hAnsiTheme="minorHAnsi" w:cs="Arial"/>
                <w:sz w:val="20"/>
                <w:szCs w:val="20"/>
                <w:lang w:val="en-US"/>
              </w:rPr>
            </w:pPr>
          </w:p>
          <w:p w14:paraId="207E0A83" w14:textId="77777777" w:rsidR="00A3021A" w:rsidRPr="00701439" w:rsidRDefault="00A3021A">
            <w:pPr>
              <w:jc w:val="right"/>
              <w:rPr>
                <w:rFonts w:asciiTheme="minorHAnsi" w:hAnsiTheme="minorHAnsi" w:cs="Arial"/>
                <w:sz w:val="20"/>
                <w:szCs w:val="20"/>
                <w:lang w:val="en-US"/>
              </w:rPr>
            </w:pPr>
            <w:r w:rsidRPr="00701439">
              <w:rPr>
                <w:rFonts w:asciiTheme="minorHAnsi" w:hAnsiTheme="minorHAnsi" w:cs="Arial"/>
                <w:sz w:val="20"/>
                <w:szCs w:val="20"/>
                <w:lang w:val="en-US"/>
              </w:rPr>
              <w:t>-</w:t>
            </w:r>
          </w:p>
        </w:tc>
        <w:tc>
          <w:tcPr>
            <w:tcW w:w="1044" w:type="dxa"/>
            <w:tcBorders>
              <w:left w:val="nil"/>
              <w:right w:val="nil"/>
            </w:tcBorders>
            <w:vAlign w:val="bottom"/>
          </w:tcPr>
          <w:p w14:paraId="1E660FA5" w14:textId="77777777" w:rsidR="00A3021A" w:rsidRPr="00701439" w:rsidRDefault="00A3021A">
            <w:pPr>
              <w:jc w:val="right"/>
              <w:rPr>
                <w:rFonts w:asciiTheme="minorHAnsi" w:hAnsiTheme="minorHAnsi" w:cs="Arial"/>
                <w:sz w:val="20"/>
                <w:szCs w:val="20"/>
                <w:lang w:val="en-US"/>
              </w:rPr>
            </w:pPr>
            <w:r w:rsidRPr="00701439">
              <w:rPr>
                <w:rFonts w:asciiTheme="minorHAnsi" w:hAnsiTheme="minorHAnsi" w:cs="Arial"/>
                <w:sz w:val="20"/>
                <w:szCs w:val="20"/>
                <w:lang w:val="en-US"/>
              </w:rPr>
              <w:t>(15.3)</w:t>
            </w:r>
          </w:p>
        </w:tc>
        <w:tc>
          <w:tcPr>
            <w:tcW w:w="1957" w:type="dxa"/>
            <w:gridSpan w:val="2"/>
            <w:tcBorders>
              <w:left w:val="nil"/>
              <w:right w:val="nil"/>
            </w:tcBorders>
            <w:shd w:val="clear" w:color="auto" w:fill="auto"/>
            <w:vAlign w:val="bottom"/>
          </w:tcPr>
          <w:p w14:paraId="4C72EE6E" w14:textId="77777777" w:rsidR="00A3021A" w:rsidRPr="00701439" w:rsidRDefault="00A3021A">
            <w:pPr>
              <w:rPr>
                <w:rFonts w:asciiTheme="minorHAnsi" w:hAnsiTheme="minorHAnsi" w:cs="Arial"/>
                <w:sz w:val="20"/>
                <w:szCs w:val="20"/>
                <w:lang w:val="en-US"/>
              </w:rPr>
            </w:pPr>
            <w:r w:rsidRPr="00701439">
              <w:rPr>
                <w:rFonts w:asciiTheme="minorHAnsi" w:hAnsiTheme="minorHAnsi" w:cs="Arial"/>
                <w:sz w:val="20"/>
                <w:szCs w:val="20"/>
                <w:lang w:val="en-US"/>
              </w:rPr>
              <w:t xml:space="preserve">          (95.5)</w:t>
            </w:r>
          </w:p>
        </w:tc>
      </w:tr>
      <w:tr w:rsidR="00A3021A" w:rsidRPr="00701439" w14:paraId="5D1F2A74" w14:textId="77777777" w:rsidTr="0002541E">
        <w:trPr>
          <w:gridAfter w:val="1"/>
          <w:wAfter w:w="789" w:type="dxa"/>
          <w:trHeight w:val="454"/>
        </w:trPr>
        <w:tc>
          <w:tcPr>
            <w:tcW w:w="2919" w:type="dxa"/>
            <w:vAlign w:val="bottom"/>
          </w:tcPr>
          <w:p w14:paraId="3FFA1971" w14:textId="77777777" w:rsidR="00A3021A" w:rsidRPr="00701439" w:rsidRDefault="00A3021A">
            <w:pPr>
              <w:rPr>
                <w:rFonts w:asciiTheme="minorHAnsi" w:hAnsiTheme="minorHAnsi" w:cs="Arial"/>
                <w:b/>
                <w:bCs/>
                <w:sz w:val="20"/>
                <w:szCs w:val="20"/>
                <w:lang w:val="en-US"/>
              </w:rPr>
            </w:pPr>
            <w:r w:rsidRPr="00701439">
              <w:rPr>
                <w:rFonts w:asciiTheme="minorHAnsi" w:hAnsiTheme="minorHAnsi" w:cs="Arial"/>
                <w:b/>
                <w:bCs/>
                <w:sz w:val="20"/>
                <w:szCs w:val="20"/>
                <w:lang w:val="en-US"/>
              </w:rPr>
              <w:t xml:space="preserve">CCD – discontinued operations exceptional items </w:t>
            </w:r>
            <w:r w:rsidRPr="00701439">
              <w:rPr>
                <w:rFonts w:asciiTheme="minorHAnsi" w:hAnsiTheme="minorHAnsi" w:cs="Arial"/>
                <w:b/>
                <w:sz w:val="20"/>
                <w:szCs w:val="20"/>
                <w:lang w:val="en-US"/>
              </w:rPr>
              <w:t>(note 4)</w:t>
            </w:r>
          </w:p>
        </w:tc>
        <w:tc>
          <w:tcPr>
            <w:tcW w:w="1157" w:type="dxa"/>
            <w:tcBorders>
              <w:left w:val="nil"/>
              <w:bottom w:val="single" w:sz="4" w:space="0" w:color="auto"/>
              <w:right w:val="nil"/>
            </w:tcBorders>
            <w:vAlign w:val="bottom"/>
          </w:tcPr>
          <w:p w14:paraId="78AECB9B"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c>
          <w:tcPr>
            <w:tcW w:w="1311" w:type="dxa"/>
            <w:tcBorders>
              <w:left w:val="nil"/>
              <w:bottom w:val="single" w:sz="4" w:space="0" w:color="auto"/>
              <w:right w:val="nil"/>
            </w:tcBorders>
            <w:shd w:val="clear" w:color="auto" w:fill="auto"/>
            <w:vAlign w:val="bottom"/>
          </w:tcPr>
          <w:p w14:paraId="64C5E50E"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c>
          <w:tcPr>
            <w:tcW w:w="1134" w:type="dxa"/>
            <w:tcBorders>
              <w:left w:val="nil"/>
              <w:bottom w:val="single" w:sz="4" w:space="0" w:color="auto"/>
              <w:right w:val="nil"/>
            </w:tcBorders>
          </w:tcPr>
          <w:p w14:paraId="16F12BB8" w14:textId="77777777" w:rsidR="00A3021A" w:rsidRPr="00701439" w:rsidRDefault="00A3021A">
            <w:pPr>
              <w:jc w:val="right"/>
              <w:rPr>
                <w:rFonts w:asciiTheme="minorHAnsi" w:hAnsiTheme="minorHAnsi" w:cs="Arial"/>
                <w:sz w:val="20"/>
                <w:szCs w:val="20"/>
                <w:lang w:val="en-US"/>
              </w:rPr>
            </w:pPr>
          </w:p>
          <w:p w14:paraId="3D26FF52" w14:textId="77777777" w:rsidR="00A3021A" w:rsidRPr="00701439" w:rsidRDefault="00A3021A">
            <w:pPr>
              <w:jc w:val="right"/>
              <w:rPr>
                <w:rFonts w:asciiTheme="minorHAnsi" w:hAnsiTheme="minorHAnsi" w:cs="Arial"/>
                <w:sz w:val="20"/>
                <w:szCs w:val="20"/>
                <w:lang w:val="en-US"/>
              </w:rPr>
            </w:pPr>
            <w:r w:rsidRPr="00701439">
              <w:rPr>
                <w:rFonts w:asciiTheme="minorHAnsi" w:hAnsiTheme="minorHAnsi" w:cs="Arial"/>
                <w:sz w:val="20"/>
                <w:szCs w:val="20"/>
                <w:lang w:val="en-US"/>
              </w:rPr>
              <w:t>-</w:t>
            </w:r>
          </w:p>
        </w:tc>
        <w:tc>
          <w:tcPr>
            <w:tcW w:w="1134" w:type="dxa"/>
            <w:tcBorders>
              <w:left w:val="nil"/>
              <w:bottom w:val="single" w:sz="4" w:space="0" w:color="auto"/>
              <w:right w:val="nil"/>
            </w:tcBorders>
          </w:tcPr>
          <w:p w14:paraId="1C1DBF96" w14:textId="77777777" w:rsidR="00A3021A" w:rsidRPr="00701439" w:rsidRDefault="00A3021A">
            <w:pPr>
              <w:jc w:val="right"/>
              <w:rPr>
                <w:rFonts w:asciiTheme="minorHAnsi" w:hAnsiTheme="minorHAnsi" w:cs="Arial"/>
                <w:sz w:val="20"/>
                <w:szCs w:val="20"/>
                <w:lang w:val="en-US"/>
              </w:rPr>
            </w:pPr>
          </w:p>
          <w:p w14:paraId="3C4BAC51" w14:textId="77777777" w:rsidR="00A3021A" w:rsidRPr="00701439" w:rsidRDefault="00A3021A">
            <w:pPr>
              <w:jc w:val="right"/>
              <w:rPr>
                <w:rFonts w:asciiTheme="minorHAnsi" w:hAnsiTheme="minorHAnsi" w:cs="Arial"/>
                <w:sz w:val="20"/>
                <w:szCs w:val="20"/>
                <w:lang w:val="en-US"/>
              </w:rPr>
            </w:pPr>
            <w:r w:rsidRPr="00701439">
              <w:rPr>
                <w:rFonts w:asciiTheme="minorHAnsi" w:hAnsiTheme="minorHAnsi" w:cs="Arial"/>
                <w:sz w:val="20"/>
                <w:szCs w:val="20"/>
                <w:lang w:val="en-US"/>
              </w:rPr>
              <w:t>-</w:t>
            </w:r>
          </w:p>
        </w:tc>
        <w:tc>
          <w:tcPr>
            <w:tcW w:w="1044" w:type="dxa"/>
            <w:tcBorders>
              <w:left w:val="nil"/>
              <w:bottom w:val="single" w:sz="4" w:space="0" w:color="auto"/>
              <w:right w:val="nil"/>
            </w:tcBorders>
            <w:vAlign w:val="bottom"/>
          </w:tcPr>
          <w:p w14:paraId="3E1E7C90" w14:textId="77777777" w:rsidR="00A3021A" w:rsidRPr="00701439" w:rsidRDefault="00A3021A">
            <w:pPr>
              <w:jc w:val="right"/>
              <w:rPr>
                <w:rFonts w:asciiTheme="minorHAnsi" w:hAnsiTheme="minorHAnsi" w:cs="Arial"/>
                <w:sz w:val="20"/>
                <w:szCs w:val="20"/>
                <w:lang w:val="en-US"/>
              </w:rPr>
            </w:pPr>
            <w:r w:rsidRPr="00701439">
              <w:rPr>
                <w:rFonts w:asciiTheme="minorHAnsi" w:hAnsiTheme="minorHAnsi" w:cs="Arial"/>
                <w:sz w:val="20"/>
                <w:szCs w:val="20"/>
                <w:lang w:val="en-US"/>
              </w:rPr>
              <w:t>4.6</w:t>
            </w:r>
          </w:p>
        </w:tc>
        <w:tc>
          <w:tcPr>
            <w:tcW w:w="1168" w:type="dxa"/>
            <w:tcBorders>
              <w:left w:val="nil"/>
              <w:bottom w:val="single" w:sz="4" w:space="0" w:color="auto"/>
              <w:right w:val="nil"/>
            </w:tcBorders>
            <w:shd w:val="clear" w:color="auto" w:fill="auto"/>
            <w:vAlign w:val="bottom"/>
          </w:tcPr>
          <w:p w14:paraId="329D71B0" w14:textId="77777777" w:rsidR="00A3021A" w:rsidRPr="00701439" w:rsidRDefault="00A3021A">
            <w:pPr>
              <w:jc w:val="right"/>
              <w:rPr>
                <w:rFonts w:asciiTheme="minorHAnsi" w:hAnsiTheme="minorHAnsi" w:cs="Arial"/>
                <w:sz w:val="20"/>
                <w:szCs w:val="20"/>
                <w:lang w:val="en-US"/>
              </w:rPr>
            </w:pPr>
            <w:r w:rsidRPr="00701439">
              <w:rPr>
                <w:rFonts w:asciiTheme="minorHAnsi" w:hAnsiTheme="minorHAnsi" w:cs="Arial"/>
                <w:sz w:val="20"/>
                <w:szCs w:val="20"/>
                <w:lang w:val="en-US"/>
              </w:rPr>
              <w:t>(42.6)</w:t>
            </w:r>
          </w:p>
        </w:tc>
      </w:tr>
      <w:tr w:rsidR="00A3021A" w:rsidRPr="00701439" w14:paraId="1D71E000" w14:textId="77777777" w:rsidTr="0002541E">
        <w:trPr>
          <w:gridAfter w:val="1"/>
          <w:wAfter w:w="789" w:type="dxa"/>
          <w:trHeight w:val="233"/>
        </w:trPr>
        <w:tc>
          <w:tcPr>
            <w:tcW w:w="2919" w:type="dxa"/>
            <w:vAlign w:val="bottom"/>
          </w:tcPr>
          <w:p w14:paraId="0FAC82DA" w14:textId="77777777" w:rsidR="00A3021A" w:rsidRPr="00701439" w:rsidRDefault="00A3021A">
            <w:pPr>
              <w:rPr>
                <w:rFonts w:asciiTheme="minorHAnsi" w:hAnsiTheme="minorHAnsi" w:cs="Arial"/>
                <w:b/>
                <w:bCs/>
                <w:sz w:val="20"/>
                <w:szCs w:val="20"/>
                <w:lang w:val="en-US"/>
              </w:rPr>
            </w:pPr>
            <w:r w:rsidRPr="00701439">
              <w:rPr>
                <w:rFonts w:asciiTheme="minorHAnsi" w:hAnsiTheme="minorHAnsi" w:cs="Arial"/>
                <w:b/>
                <w:bCs/>
                <w:sz w:val="20"/>
                <w:szCs w:val="20"/>
                <w:lang w:val="en-US"/>
              </w:rPr>
              <w:t>Total Group</w:t>
            </w:r>
          </w:p>
        </w:tc>
        <w:tc>
          <w:tcPr>
            <w:tcW w:w="1157" w:type="dxa"/>
            <w:tcBorders>
              <w:top w:val="single" w:sz="4" w:space="0" w:color="auto"/>
              <w:left w:val="nil"/>
              <w:bottom w:val="single" w:sz="12" w:space="0" w:color="auto"/>
              <w:right w:val="nil"/>
            </w:tcBorders>
            <w:vAlign w:val="bottom"/>
          </w:tcPr>
          <w:p w14:paraId="6824AF72"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486.9</w:t>
            </w:r>
          </w:p>
        </w:tc>
        <w:tc>
          <w:tcPr>
            <w:tcW w:w="1311" w:type="dxa"/>
            <w:tcBorders>
              <w:top w:val="single" w:sz="4" w:space="0" w:color="auto"/>
              <w:left w:val="nil"/>
              <w:bottom w:val="single" w:sz="12" w:space="0" w:color="auto"/>
              <w:right w:val="nil"/>
            </w:tcBorders>
            <w:shd w:val="clear" w:color="auto" w:fill="auto"/>
            <w:vAlign w:val="bottom"/>
          </w:tcPr>
          <w:p w14:paraId="626BA8D7"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541.9</w:t>
            </w:r>
          </w:p>
        </w:tc>
        <w:tc>
          <w:tcPr>
            <w:tcW w:w="1134" w:type="dxa"/>
            <w:tcBorders>
              <w:top w:val="single" w:sz="4" w:space="0" w:color="auto"/>
              <w:left w:val="nil"/>
              <w:bottom w:val="single" w:sz="12" w:space="0" w:color="auto"/>
              <w:right w:val="nil"/>
            </w:tcBorders>
          </w:tcPr>
          <w:p w14:paraId="573926AE" w14:textId="77777777" w:rsidR="00A3021A" w:rsidRPr="00701439" w:rsidRDefault="00A3021A">
            <w:pPr>
              <w:jc w:val="right"/>
              <w:rPr>
                <w:rFonts w:asciiTheme="minorHAnsi" w:hAnsiTheme="minorHAnsi" w:cs="Arial"/>
                <w:sz w:val="20"/>
                <w:szCs w:val="20"/>
                <w:lang w:val="en-US"/>
              </w:rPr>
            </w:pPr>
            <w:r w:rsidRPr="00701439">
              <w:rPr>
                <w:rFonts w:asciiTheme="minorHAnsi" w:hAnsiTheme="minorHAnsi" w:cs="Arial"/>
                <w:sz w:val="20"/>
                <w:szCs w:val="20"/>
                <w:lang w:val="en-US"/>
              </w:rPr>
              <w:t>47.0</w:t>
            </w:r>
          </w:p>
        </w:tc>
        <w:tc>
          <w:tcPr>
            <w:tcW w:w="1134" w:type="dxa"/>
            <w:tcBorders>
              <w:top w:val="single" w:sz="4" w:space="0" w:color="auto"/>
              <w:left w:val="nil"/>
              <w:bottom w:val="single" w:sz="12" w:space="0" w:color="auto"/>
              <w:right w:val="nil"/>
            </w:tcBorders>
          </w:tcPr>
          <w:p w14:paraId="468DD49A" w14:textId="77777777" w:rsidR="00A3021A" w:rsidRPr="00701439" w:rsidRDefault="00A3021A">
            <w:pPr>
              <w:jc w:val="right"/>
              <w:rPr>
                <w:rFonts w:asciiTheme="minorHAnsi" w:hAnsiTheme="minorHAnsi" w:cs="Arial"/>
                <w:sz w:val="20"/>
                <w:szCs w:val="20"/>
                <w:lang w:val="en-US"/>
              </w:rPr>
            </w:pPr>
            <w:r w:rsidRPr="00701439">
              <w:rPr>
                <w:rFonts w:asciiTheme="minorHAnsi" w:hAnsiTheme="minorHAnsi" w:cs="Arial"/>
                <w:sz w:val="20"/>
                <w:szCs w:val="20"/>
                <w:lang w:val="en-US"/>
              </w:rPr>
              <w:t>60.3</w:t>
            </w:r>
          </w:p>
        </w:tc>
        <w:tc>
          <w:tcPr>
            <w:tcW w:w="1044" w:type="dxa"/>
            <w:tcBorders>
              <w:top w:val="single" w:sz="4" w:space="0" w:color="auto"/>
              <w:left w:val="nil"/>
              <w:bottom w:val="single" w:sz="12" w:space="0" w:color="auto"/>
              <w:right w:val="nil"/>
            </w:tcBorders>
            <w:vAlign w:val="bottom"/>
          </w:tcPr>
          <w:p w14:paraId="4A21E74B" w14:textId="77777777" w:rsidR="00A3021A" w:rsidRPr="00701439" w:rsidRDefault="00A3021A">
            <w:pPr>
              <w:jc w:val="right"/>
              <w:rPr>
                <w:rFonts w:asciiTheme="minorHAnsi" w:hAnsiTheme="minorHAnsi" w:cs="Arial"/>
                <w:sz w:val="20"/>
                <w:szCs w:val="20"/>
                <w:lang w:val="en-US"/>
              </w:rPr>
            </w:pPr>
            <w:r w:rsidRPr="00701439">
              <w:rPr>
                <w:rFonts w:asciiTheme="minorHAnsi" w:hAnsiTheme="minorHAnsi" w:cs="Arial"/>
                <w:sz w:val="20"/>
                <w:szCs w:val="20"/>
                <w:lang w:val="en-US"/>
              </w:rPr>
              <w:t>99.4</w:t>
            </w:r>
          </w:p>
        </w:tc>
        <w:tc>
          <w:tcPr>
            <w:tcW w:w="1168" w:type="dxa"/>
            <w:tcBorders>
              <w:top w:val="single" w:sz="4" w:space="0" w:color="auto"/>
              <w:left w:val="nil"/>
              <w:bottom w:val="single" w:sz="12" w:space="0" w:color="auto"/>
              <w:right w:val="nil"/>
            </w:tcBorders>
            <w:shd w:val="clear" w:color="auto" w:fill="auto"/>
            <w:vAlign w:val="bottom"/>
          </w:tcPr>
          <w:p w14:paraId="11B30FCD" w14:textId="77777777" w:rsidR="00A3021A" w:rsidRPr="00701439" w:rsidRDefault="00A3021A">
            <w:pPr>
              <w:jc w:val="right"/>
              <w:rPr>
                <w:rFonts w:asciiTheme="minorHAnsi" w:hAnsiTheme="minorHAnsi" w:cs="Arial"/>
                <w:sz w:val="20"/>
                <w:szCs w:val="20"/>
                <w:lang w:val="en-US"/>
              </w:rPr>
            </w:pPr>
            <w:r w:rsidRPr="00701439">
              <w:rPr>
                <w:rFonts w:asciiTheme="minorHAnsi" w:hAnsiTheme="minorHAnsi" w:cs="Arial"/>
                <w:sz w:val="20"/>
                <w:szCs w:val="20"/>
                <w:lang w:val="en-US"/>
              </w:rPr>
              <w:t>4.1</w:t>
            </w:r>
          </w:p>
        </w:tc>
      </w:tr>
    </w:tbl>
    <w:p w14:paraId="34AB2024" w14:textId="77777777" w:rsidR="00A3021A" w:rsidRPr="00701439" w:rsidRDefault="00A3021A" w:rsidP="00A3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sz w:val="20"/>
          <w:szCs w:val="20"/>
        </w:rPr>
      </w:pPr>
    </w:p>
    <w:p w14:paraId="23FCCB23" w14:textId="77777777" w:rsidR="00A3021A" w:rsidRPr="00701439" w:rsidRDefault="00A3021A" w:rsidP="00A3021A">
      <w:pPr>
        <w:autoSpaceDE w:val="0"/>
        <w:autoSpaceDN w:val="0"/>
        <w:adjustRightInd w:val="0"/>
        <w:jc w:val="both"/>
        <w:rPr>
          <w:rFonts w:ascii="Calibri" w:hAnsi="Calibri" w:cs="Poppins-Light"/>
          <w:sz w:val="20"/>
          <w:szCs w:val="20"/>
        </w:rPr>
      </w:pPr>
      <w:r w:rsidRPr="00701439">
        <w:rPr>
          <w:rFonts w:ascii="Calibri" w:hAnsi="Calibri" w:cs="Poppins-Light"/>
          <w:sz w:val="20"/>
          <w:szCs w:val="20"/>
        </w:rPr>
        <w:t>Acquisition intangibles represent the fair value of the broker relationships of £75.0m which arose on the acquisition of Moneybarn in August 2014. The amortisation charge in 2022 amounted to £7.5m (2021: £7.5m).</w:t>
      </w:r>
    </w:p>
    <w:p w14:paraId="3409D130" w14:textId="77777777" w:rsidR="00A3021A" w:rsidRPr="00701439" w:rsidRDefault="00A3021A" w:rsidP="00A3021A">
      <w:pPr>
        <w:jc w:val="both"/>
        <w:rPr>
          <w:rFonts w:ascii="Calibri" w:hAnsi="Calibri" w:cs="Poppins-Light"/>
          <w:sz w:val="20"/>
          <w:szCs w:val="20"/>
        </w:rPr>
      </w:pPr>
    </w:p>
    <w:p w14:paraId="77AADF3F" w14:textId="77777777" w:rsidR="00A3021A" w:rsidRPr="00701439" w:rsidRDefault="00A3021A" w:rsidP="00A3021A">
      <w:pPr>
        <w:jc w:val="both"/>
        <w:rPr>
          <w:rFonts w:ascii="Calibri" w:hAnsi="Calibri" w:cs="Poppins-Light"/>
          <w:sz w:val="20"/>
          <w:szCs w:val="20"/>
        </w:rPr>
      </w:pPr>
      <w:r w:rsidRPr="00701439">
        <w:rPr>
          <w:rFonts w:ascii="Calibri" w:hAnsi="Calibri" w:cs="Poppins-Light"/>
          <w:sz w:val="20"/>
          <w:szCs w:val="20"/>
        </w:rPr>
        <w:t>Revenue between business segments in not material.</w:t>
      </w:r>
    </w:p>
    <w:p w14:paraId="714378A8" w14:textId="77777777" w:rsidR="00A3021A" w:rsidRPr="00701439" w:rsidRDefault="00A3021A" w:rsidP="00A3021A">
      <w:pPr>
        <w:rPr>
          <w:rFonts w:asciiTheme="minorHAnsi" w:hAnsiTheme="minorHAnsi" w:cs="Arial"/>
          <w:b/>
          <w:sz w:val="20"/>
          <w:szCs w:val="20"/>
        </w:rPr>
      </w:pPr>
    </w:p>
    <w:p w14:paraId="4478C023" w14:textId="77777777" w:rsidR="00A3021A" w:rsidRPr="00701439" w:rsidRDefault="00A3021A" w:rsidP="00A3021A">
      <w:pPr>
        <w:jc w:val="both"/>
        <w:rPr>
          <w:rFonts w:ascii="Calibri" w:hAnsi="Calibri" w:cs="Arial"/>
          <w:sz w:val="20"/>
          <w:szCs w:val="20"/>
        </w:rPr>
      </w:pPr>
      <w:r w:rsidRPr="00701439">
        <w:rPr>
          <w:rFonts w:ascii="Calibri" w:hAnsi="Calibri" w:cs="Poppins-Light"/>
          <w:sz w:val="20"/>
          <w:szCs w:val="20"/>
        </w:rPr>
        <w:t>Exceptional items for continuing operations represent a net exceptional charge of £9.0m in 2022 (2021: £18.1m) and comprise:</w:t>
      </w:r>
    </w:p>
    <w:tbl>
      <w:tblPr>
        <w:tblW w:w="9720" w:type="dxa"/>
        <w:tblInd w:w="108" w:type="dxa"/>
        <w:tblLayout w:type="fixed"/>
        <w:tblLook w:val="0000" w:firstRow="0" w:lastRow="0" w:firstColumn="0" w:lastColumn="0" w:noHBand="0" w:noVBand="0"/>
      </w:tblPr>
      <w:tblGrid>
        <w:gridCol w:w="7405"/>
        <w:gridCol w:w="1157"/>
        <w:gridCol w:w="1158"/>
      </w:tblGrid>
      <w:tr w:rsidR="00A3021A" w:rsidRPr="00701439" w14:paraId="445B93CB" w14:textId="77777777">
        <w:tc>
          <w:tcPr>
            <w:tcW w:w="7405" w:type="dxa"/>
            <w:tcBorders>
              <w:top w:val="nil"/>
              <w:left w:val="nil"/>
              <w:bottom w:val="nil"/>
              <w:right w:val="nil"/>
            </w:tcBorders>
            <w:vAlign w:val="bottom"/>
          </w:tcPr>
          <w:p w14:paraId="676FE956" w14:textId="77777777" w:rsidR="00A3021A" w:rsidRPr="00701439" w:rsidRDefault="00A3021A">
            <w:pPr>
              <w:rPr>
                <w:rFonts w:asciiTheme="minorHAnsi" w:hAnsiTheme="minorHAnsi" w:cs="Arial"/>
                <w:sz w:val="20"/>
                <w:szCs w:val="20"/>
              </w:rPr>
            </w:pPr>
          </w:p>
        </w:tc>
        <w:tc>
          <w:tcPr>
            <w:tcW w:w="1157" w:type="dxa"/>
            <w:tcBorders>
              <w:top w:val="nil"/>
              <w:left w:val="nil"/>
              <w:bottom w:val="nil"/>
              <w:right w:val="nil"/>
            </w:tcBorders>
            <w:vAlign w:val="bottom"/>
          </w:tcPr>
          <w:p w14:paraId="4B57744A"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2022 </w:t>
            </w:r>
          </w:p>
        </w:tc>
        <w:tc>
          <w:tcPr>
            <w:tcW w:w="1158" w:type="dxa"/>
            <w:tcBorders>
              <w:top w:val="nil"/>
              <w:left w:val="nil"/>
              <w:bottom w:val="nil"/>
              <w:right w:val="nil"/>
            </w:tcBorders>
            <w:vAlign w:val="bottom"/>
          </w:tcPr>
          <w:p w14:paraId="751511DF"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2021 </w:t>
            </w:r>
          </w:p>
        </w:tc>
      </w:tr>
      <w:tr w:rsidR="00A3021A" w:rsidRPr="00701439" w14:paraId="0CA811D5" w14:textId="77777777">
        <w:tc>
          <w:tcPr>
            <w:tcW w:w="7405" w:type="dxa"/>
            <w:tcBorders>
              <w:top w:val="nil"/>
              <w:left w:val="nil"/>
              <w:bottom w:val="nil"/>
              <w:right w:val="nil"/>
            </w:tcBorders>
            <w:vAlign w:val="bottom"/>
          </w:tcPr>
          <w:p w14:paraId="0841AF49" w14:textId="77777777" w:rsidR="00A3021A" w:rsidRPr="00701439" w:rsidRDefault="00A3021A">
            <w:pPr>
              <w:rPr>
                <w:rFonts w:asciiTheme="minorHAnsi" w:hAnsiTheme="minorHAnsi" w:cs="Arial"/>
                <w:sz w:val="20"/>
                <w:szCs w:val="20"/>
              </w:rPr>
            </w:pPr>
          </w:p>
        </w:tc>
        <w:tc>
          <w:tcPr>
            <w:tcW w:w="1157" w:type="dxa"/>
            <w:tcBorders>
              <w:top w:val="nil"/>
              <w:left w:val="nil"/>
              <w:bottom w:val="single" w:sz="4" w:space="0" w:color="auto"/>
              <w:right w:val="nil"/>
            </w:tcBorders>
            <w:vAlign w:val="bottom"/>
          </w:tcPr>
          <w:p w14:paraId="5AEE4382"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£m </w:t>
            </w:r>
          </w:p>
        </w:tc>
        <w:tc>
          <w:tcPr>
            <w:tcW w:w="1158" w:type="dxa"/>
            <w:tcBorders>
              <w:top w:val="nil"/>
              <w:left w:val="nil"/>
              <w:bottom w:val="single" w:sz="4" w:space="0" w:color="auto"/>
              <w:right w:val="nil"/>
            </w:tcBorders>
            <w:vAlign w:val="bottom"/>
          </w:tcPr>
          <w:p w14:paraId="01A0B0B7"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£m </w:t>
            </w:r>
          </w:p>
        </w:tc>
      </w:tr>
      <w:tr w:rsidR="00A3021A" w:rsidRPr="00701439" w14:paraId="4A026F32" w14:textId="77777777">
        <w:tc>
          <w:tcPr>
            <w:tcW w:w="7405" w:type="dxa"/>
            <w:tcBorders>
              <w:top w:val="nil"/>
              <w:left w:val="nil"/>
              <w:bottom w:val="nil"/>
              <w:right w:val="nil"/>
            </w:tcBorders>
            <w:vAlign w:val="bottom"/>
          </w:tcPr>
          <w:p w14:paraId="26C0D872" w14:textId="77777777" w:rsidR="00A3021A" w:rsidRPr="00701439" w:rsidRDefault="00A3021A">
            <w:pPr>
              <w:rPr>
                <w:rFonts w:asciiTheme="minorHAnsi" w:hAnsiTheme="minorHAnsi" w:cs="Arial"/>
                <w:sz w:val="20"/>
                <w:szCs w:val="20"/>
              </w:rPr>
            </w:pPr>
            <w:r w:rsidRPr="00701439">
              <w:rPr>
                <w:rFonts w:asciiTheme="minorHAnsi" w:hAnsiTheme="minorHAnsi" w:cs="Poppins-Light"/>
                <w:sz w:val="20"/>
                <w:szCs w:val="20"/>
              </w:rPr>
              <w:t>Corporate costs including CCD closure</w:t>
            </w:r>
          </w:p>
        </w:tc>
        <w:tc>
          <w:tcPr>
            <w:tcW w:w="1157" w:type="dxa"/>
            <w:tcBorders>
              <w:top w:val="single" w:sz="4" w:space="0" w:color="auto"/>
              <w:left w:val="nil"/>
              <w:right w:val="nil"/>
            </w:tcBorders>
            <w:vAlign w:val="bottom"/>
          </w:tcPr>
          <w:p w14:paraId="4F3C5801"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(3.8)</w:t>
            </w:r>
          </w:p>
        </w:tc>
        <w:tc>
          <w:tcPr>
            <w:tcW w:w="1158" w:type="dxa"/>
            <w:tcBorders>
              <w:top w:val="single" w:sz="4" w:space="0" w:color="auto"/>
              <w:left w:val="nil"/>
              <w:right w:val="nil"/>
            </w:tcBorders>
            <w:vAlign w:val="bottom"/>
          </w:tcPr>
          <w:p w14:paraId="5909049A"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(10.5)</w:t>
            </w:r>
          </w:p>
        </w:tc>
      </w:tr>
      <w:tr w:rsidR="00A3021A" w:rsidRPr="00701439" w14:paraId="19B499D9" w14:textId="77777777">
        <w:tc>
          <w:tcPr>
            <w:tcW w:w="7405" w:type="dxa"/>
            <w:tcBorders>
              <w:top w:val="nil"/>
              <w:left w:val="nil"/>
              <w:bottom w:val="nil"/>
              <w:right w:val="nil"/>
            </w:tcBorders>
            <w:vAlign w:val="bottom"/>
          </w:tcPr>
          <w:p w14:paraId="5A70B68A" w14:textId="5954A75D" w:rsidR="00A3021A" w:rsidRPr="00701439" w:rsidRDefault="00A3021A">
            <w:pPr>
              <w:rPr>
                <w:rFonts w:asciiTheme="minorHAnsi" w:hAnsiTheme="minorHAnsi" w:cs="Poppins-Light"/>
                <w:sz w:val="20"/>
                <w:szCs w:val="20"/>
              </w:rPr>
            </w:pPr>
            <w:r w:rsidRPr="00701439">
              <w:rPr>
                <w:rFonts w:asciiTheme="minorHAnsi" w:hAnsiTheme="minorHAnsi" w:cs="Poppins-Light"/>
                <w:sz w:val="20"/>
                <w:szCs w:val="20"/>
              </w:rPr>
              <w:t>CCD Scheme of Arrangement costs (note 12)</w:t>
            </w:r>
          </w:p>
        </w:tc>
        <w:tc>
          <w:tcPr>
            <w:tcW w:w="1157" w:type="dxa"/>
            <w:tcBorders>
              <w:left w:val="nil"/>
              <w:right w:val="nil"/>
            </w:tcBorders>
            <w:vAlign w:val="bottom"/>
          </w:tcPr>
          <w:p w14:paraId="3117C31F"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(3.7)</w:t>
            </w:r>
          </w:p>
        </w:tc>
        <w:tc>
          <w:tcPr>
            <w:tcW w:w="1158" w:type="dxa"/>
            <w:tcBorders>
              <w:left w:val="nil"/>
              <w:right w:val="nil"/>
            </w:tcBorders>
            <w:vAlign w:val="bottom"/>
          </w:tcPr>
          <w:p w14:paraId="77A540D1"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(5.0)</w:t>
            </w:r>
          </w:p>
        </w:tc>
      </w:tr>
      <w:tr w:rsidR="00A3021A" w:rsidRPr="00701439" w14:paraId="617A2A0D" w14:textId="77777777">
        <w:tc>
          <w:tcPr>
            <w:tcW w:w="7405" w:type="dxa"/>
            <w:tcBorders>
              <w:top w:val="nil"/>
              <w:left w:val="nil"/>
              <w:bottom w:val="nil"/>
              <w:right w:val="nil"/>
            </w:tcBorders>
            <w:vAlign w:val="bottom"/>
          </w:tcPr>
          <w:p w14:paraId="407EE07D" w14:textId="77777777" w:rsidR="00A3021A" w:rsidRPr="00701439" w:rsidRDefault="00A3021A">
            <w:pPr>
              <w:rPr>
                <w:rFonts w:asciiTheme="minorHAnsi" w:hAnsiTheme="minorHAnsi" w:cs="Poppins-Light"/>
                <w:sz w:val="20"/>
                <w:szCs w:val="20"/>
              </w:rPr>
            </w:pPr>
            <w:r w:rsidRPr="00701439">
              <w:rPr>
                <w:rFonts w:asciiTheme="minorHAnsi" w:hAnsiTheme="minorHAnsi" w:cs="Poppins-Light"/>
                <w:sz w:val="20"/>
                <w:szCs w:val="20"/>
              </w:rPr>
              <w:t>Redundancy costs</w:t>
            </w:r>
          </w:p>
        </w:tc>
        <w:tc>
          <w:tcPr>
            <w:tcW w:w="1157" w:type="dxa"/>
            <w:tcBorders>
              <w:left w:val="nil"/>
              <w:right w:val="nil"/>
            </w:tcBorders>
            <w:vAlign w:val="bottom"/>
          </w:tcPr>
          <w:p w14:paraId="5E770043"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(1.5)</w:t>
            </w:r>
          </w:p>
        </w:tc>
        <w:tc>
          <w:tcPr>
            <w:tcW w:w="1158" w:type="dxa"/>
            <w:tcBorders>
              <w:left w:val="nil"/>
              <w:right w:val="nil"/>
            </w:tcBorders>
            <w:vAlign w:val="bottom"/>
          </w:tcPr>
          <w:p w14:paraId="1651F6EA"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(1.0)</w:t>
            </w:r>
          </w:p>
        </w:tc>
      </w:tr>
      <w:tr w:rsidR="00A3021A" w:rsidRPr="00701439" w14:paraId="23DF5234" w14:textId="77777777">
        <w:tc>
          <w:tcPr>
            <w:tcW w:w="7405" w:type="dxa"/>
            <w:tcBorders>
              <w:top w:val="nil"/>
              <w:left w:val="nil"/>
              <w:bottom w:val="nil"/>
              <w:right w:val="nil"/>
            </w:tcBorders>
            <w:vAlign w:val="bottom"/>
          </w:tcPr>
          <w:p w14:paraId="26AC13A9" w14:textId="77777777" w:rsidR="00A3021A" w:rsidRPr="00701439" w:rsidRDefault="00A3021A">
            <w:pPr>
              <w:rPr>
                <w:rFonts w:asciiTheme="minorHAnsi" w:hAnsiTheme="minorHAnsi" w:cs="Poppins-Light"/>
                <w:sz w:val="20"/>
                <w:szCs w:val="20"/>
              </w:rPr>
            </w:pPr>
            <w:r w:rsidRPr="00701439">
              <w:rPr>
                <w:rFonts w:asciiTheme="minorHAnsi" w:hAnsiTheme="minorHAnsi" w:cs="Poppins-Light"/>
                <w:sz w:val="20"/>
                <w:szCs w:val="20"/>
              </w:rPr>
              <w:t>Costs in respect of the redemption of bonds</w:t>
            </w:r>
          </w:p>
        </w:tc>
        <w:tc>
          <w:tcPr>
            <w:tcW w:w="1157" w:type="dxa"/>
            <w:tcBorders>
              <w:left w:val="nil"/>
              <w:right w:val="nil"/>
            </w:tcBorders>
            <w:vAlign w:val="bottom"/>
          </w:tcPr>
          <w:p w14:paraId="327AF331"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c>
          <w:tcPr>
            <w:tcW w:w="1158" w:type="dxa"/>
            <w:tcBorders>
              <w:left w:val="nil"/>
              <w:right w:val="nil"/>
            </w:tcBorders>
            <w:vAlign w:val="bottom"/>
          </w:tcPr>
          <w:p w14:paraId="31D06C81"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(3.9)</w:t>
            </w:r>
          </w:p>
        </w:tc>
      </w:tr>
      <w:tr w:rsidR="00A3021A" w:rsidRPr="00701439" w14:paraId="66B5BDFD" w14:textId="77777777">
        <w:tc>
          <w:tcPr>
            <w:tcW w:w="7405" w:type="dxa"/>
            <w:tcBorders>
              <w:top w:val="nil"/>
              <w:left w:val="nil"/>
              <w:bottom w:val="nil"/>
              <w:right w:val="nil"/>
            </w:tcBorders>
            <w:vAlign w:val="bottom"/>
          </w:tcPr>
          <w:p w14:paraId="4961575A" w14:textId="77777777" w:rsidR="00A3021A" w:rsidRPr="00701439" w:rsidRDefault="00A3021A">
            <w:pPr>
              <w:rPr>
                <w:rFonts w:asciiTheme="minorHAnsi" w:hAnsiTheme="minorHAnsi" w:cs="Arial"/>
                <w:sz w:val="20"/>
                <w:szCs w:val="20"/>
              </w:rPr>
            </w:pPr>
            <w:r w:rsidRPr="00701439">
              <w:rPr>
                <w:rFonts w:asciiTheme="minorHAnsi" w:hAnsiTheme="minorHAnsi" w:cs="Poppins-Light"/>
                <w:sz w:val="20"/>
                <w:szCs w:val="20"/>
              </w:rPr>
              <w:t>Pension credit (note 11)</w:t>
            </w:r>
          </w:p>
        </w:tc>
        <w:tc>
          <w:tcPr>
            <w:tcW w:w="1157" w:type="dxa"/>
            <w:tcBorders>
              <w:top w:val="nil"/>
              <w:left w:val="nil"/>
              <w:right w:val="nil"/>
            </w:tcBorders>
            <w:vAlign w:val="bottom"/>
          </w:tcPr>
          <w:p w14:paraId="3660F5F5" w14:textId="77777777" w:rsidR="00A3021A" w:rsidRPr="00701439" w:rsidRDefault="00A3021A">
            <w:pPr>
              <w:jc w:val="right"/>
              <w:rPr>
                <w:rFonts w:ascii="Calibri" w:hAnsi="Calibri" w:cs="Arial"/>
                <w:sz w:val="20"/>
                <w:szCs w:val="20"/>
              </w:rPr>
            </w:pPr>
            <w:r w:rsidRPr="00701439">
              <w:rPr>
                <w:rFonts w:ascii="Calibri" w:hAnsi="Calibri" w:cs="Arial"/>
                <w:sz w:val="20"/>
                <w:szCs w:val="20"/>
              </w:rPr>
              <w:t>-</w:t>
            </w:r>
          </w:p>
        </w:tc>
        <w:tc>
          <w:tcPr>
            <w:tcW w:w="1158" w:type="dxa"/>
            <w:tcBorders>
              <w:top w:val="nil"/>
              <w:left w:val="nil"/>
              <w:right w:val="nil"/>
            </w:tcBorders>
            <w:vAlign w:val="bottom"/>
          </w:tcPr>
          <w:p w14:paraId="40C87ED0" w14:textId="77777777" w:rsidR="00A3021A" w:rsidRPr="00701439" w:rsidRDefault="00A3021A">
            <w:pPr>
              <w:jc w:val="right"/>
              <w:rPr>
                <w:rFonts w:ascii="Calibri" w:hAnsi="Calibri" w:cs="Arial"/>
                <w:sz w:val="20"/>
                <w:szCs w:val="20"/>
              </w:rPr>
            </w:pPr>
            <w:r w:rsidRPr="00701439">
              <w:rPr>
                <w:rFonts w:ascii="Calibri" w:hAnsi="Calibri" w:cs="Arial"/>
                <w:sz w:val="20"/>
                <w:szCs w:val="20"/>
              </w:rPr>
              <w:t>2.3</w:t>
            </w:r>
          </w:p>
        </w:tc>
      </w:tr>
      <w:tr w:rsidR="00A3021A" w:rsidRPr="00701439" w14:paraId="457F37BD" w14:textId="77777777">
        <w:tc>
          <w:tcPr>
            <w:tcW w:w="7405" w:type="dxa"/>
            <w:tcBorders>
              <w:top w:val="nil"/>
              <w:left w:val="nil"/>
              <w:bottom w:val="nil"/>
              <w:right w:val="nil"/>
            </w:tcBorders>
            <w:vAlign w:val="bottom"/>
          </w:tcPr>
          <w:p w14:paraId="6546773D" w14:textId="77777777" w:rsidR="00A3021A" w:rsidRPr="00701439" w:rsidRDefault="00A3021A">
            <w:pPr>
              <w:rPr>
                <w:rFonts w:asciiTheme="minorHAnsi" w:hAnsiTheme="minorHAnsi" w:cs="Arial"/>
                <w:b/>
                <w:sz w:val="20"/>
                <w:szCs w:val="20"/>
              </w:rPr>
            </w:pPr>
            <w:r w:rsidRPr="00701439">
              <w:rPr>
                <w:rFonts w:asciiTheme="minorHAnsi" w:hAnsiTheme="minorHAnsi" w:cs="Arial"/>
                <w:b/>
                <w:sz w:val="20"/>
                <w:szCs w:val="20"/>
              </w:rPr>
              <w:t>Total exceptional items</w:t>
            </w:r>
          </w:p>
        </w:tc>
        <w:tc>
          <w:tcPr>
            <w:tcW w:w="1157" w:type="dxa"/>
            <w:tcBorders>
              <w:top w:val="single" w:sz="4" w:space="0" w:color="auto"/>
              <w:left w:val="nil"/>
              <w:bottom w:val="single" w:sz="12" w:space="0" w:color="auto"/>
              <w:right w:val="nil"/>
            </w:tcBorders>
            <w:vAlign w:val="bottom"/>
          </w:tcPr>
          <w:p w14:paraId="5B594151"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(9.0)</w:t>
            </w:r>
          </w:p>
        </w:tc>
        <w:tc>
          <w:tcPr>
            <w:tcW w:w="1158" w:type="dxa"/>
            <w:tcBorders>
              <w:top w:val="single" w:sz="4" w:space="0" w:color="auto"/>
              <w:left w:val="nil"/>
              <w:bottom w:val="single" w:sz="12" w:space="0" w:color="auto"/>
              <w:right w:val="nil"/>
            </w:tcBorders>
            <w:vAlign w:val="bottom"/>
          </w:tcPr>
          <w:p w14:paraId="0A2B9852"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(18.1)</w:t>
            </w:r>
          </w:p>
        </w:tc>
      </w:tr>
    </w:tbl>
    <w:p w14:paraId="3C8A1F1C" w14:textId="77777777" w:rsidR="00A3021A" w:rsidRPr="00701439" w:rsidRDefault="00A3021A" w:rsidP="00A3021A">
      <w:pPr>
        <w:rPr>
          <w:rFonts w:asciiTheme="minorHAnsi" w:hAnsiTheme="minorHAnsi" w:cs="Arial"/>
          <w:b/>
          <w:sz w:val="20"/>
          <w:szCs w:val="20"/>
        </w:rPr>
      </w:pPr>
    </w:p>
    <w:tbl>
      <w:tblPr>
        <w:tblW w:w="9923" w:type="dxa"/>
        <w:tblLook w:val="0000" w:firstRow="0" w:lastRow="0" w:firstColumn="0" w:lastColumn="0" w:noHBand="0" w:noVBand="0"/>
      </w:tblPr>
      <w:tblGrid>
        <w:gridCol w:w="4703"/>
        <w:gridCol w:w="1260"/>
        <w:gridCol w:w="1431"/>
        <w:gridCol w:w="1269"/>
        <w:gridCol w:w="1260"/>
      </w:tblGrid>
      <w:tr w:rsidR="00A3021A" w:rsidRPr="00701439" w14:paraId="01D4D29A" w14:textId="77777777">
        <w:tc>
          <w:tcPr>
            <w:tcW w:w="4703" w:type="dxa"/>
          </w:tcPr>
          <w:p w14:paraId="19D839A9" w14:textId="77777777" w:rsidR="00A3021A" w:rsidRPr="00701439" w:rsidRDefault="00A3021A">
            <w:pPr>
              <w:rPr>
                <w:rFonts w:asciiTheme="minorHAnsi" w:hAnsiTheme="minorHAnsi" w:cs="Arial"/>
                <w:sz w:val="20"/>
                <w:szCs w:val="20"/>
              </w:rPr>
            </w:pPr>
          </w:p>
        </w:tc>
        <w:tc>
          <w:tcPr>
            <w:tcW w:w="2691" w:type="dxa"/>
            <w:gridSpan w:val="2"/>
          </w:tcPr>
          <w:p w14:paraId="1728BC9F" w14:textId="77777777" w:rsidR="00A3021A" w:rsidRPr="00701439" w:rsidRDefault="00A3021A">
            <w:pPr>
              <w:jc w:val="center"/>
              <w:rPr>
                <w:rFonts w:asciiTheme="minorHAnsi" w:hAnsiTheme="minorHAnsi" w:cs="Arial"/>
                <w:sz w:val="20"/>
                <w:szCs w:val="20"/>
              </w:rPr>
            </w:pPr>
            <w:r w:rsidRPr="00701439">
              <w:rPr>
                <w:rFonts w:asciiTheme="minorHAnsi" w:hAnsiTheme="minorHAnsi" w:cs="Arial"/>
                <w:sz w:val="20"/>
                <w:szCs w:val="20"/>
              </w:rPr>
              <w:t xml:space="preserve">        </w:t>
            </w:r>
          </w:p>
          <w:p w14:paraId="10D8EA65" w14:textId="77777777" w:rsidR="00A3021A" w:rsidRPr="00701439" w:rsidRDefault="00A3021A">
            <w:pPr>
              <w:jc w:val="center"/>
              <w:rPr>
                <w:rFonts w:asciiTheme="minorHAnsi" w:hAnsiTheme="minorHAnsi" w:cs="Arial"/>
                <w:sz w:val="20"/>
                <w:szCs w:val="20"/>
              </w:rPr>
            </w:pPr>
            <w:r w:rsidRPr="00701439">
              <w:rPr>
                <w:rFonts w:asciiTheme="minorHAnsi" w:hAnsiTheme="minorHAnsi" w:cs="Arial"/>
                <w:sz w:val="20"/>
                <w:szCs w:val="20"/>
              </w:rPr>
              <w:t xml:space="preserve">              Segment assets</w:t>
            </w:r>
          </w:p>
        </w:tc>
        <w:tc>
          <w:tcPr>
            <w:tcW w:w="2529" w:type="dxa"/>
            <w:gridSpan w:val="2"/>
          </w:tcPr>
          <w:p w14:paraId="6CA4D4DE" w14:textId="77777777" w:rsidR="00A3021A" w:rsidRPr="00701439" w:rsidRDefault="00A3021A">
            <w:pPr>
              <w:jc w:val="center"/>
              <w:rPr>
                <w:rFonts w:asciiTheme="minorHAnsi" w:hAnsiTheme="minorHAnsi" w:cs="Arial"/>
                <w:sz w:val="20"/>
                <w:szCs w:val="20"/>
              </w:rPr>
            </w:pPr>
            <w:r w:rsidRPr="00701439">
              <w:rPr>
                <w:rFonts w:asciiTheme="minorHAnsi" w:hAnsiTheme="minorHAnsi" w:cs="Arial"/>
                <w:sz w:val="20"/>
                <w:szCs w:val="20"/>
              </w:rPr>
              <w:t xml:space="preserve">            Segment net </w:t>
            </w:r>
          </w:p>
          <w:p w14:paraId="0A8740FD" w14:textId="77777777" w:rsidR="00A3021A" w:rsidRPr="00701439" w:rsidRDefault="00A3021A">
            <w:pPr>
              <w:jc w:val="center"/>
              <w:rPr>
                <w:rFonts w:asciiTheme="minorHAnsi" w:hAnsiTheme="minorHAnsi" w:cs="Arial"/>
                <w:sz w:val="20"/>
                <w:szCs w:val="20"/>
              </w:rPr>
            </w:pPr>
            <w:r w:rsidRPr="00701439">
              <w:rPr>
                <w:rFonts w:asciiTheme="minorHAnsi" w:hAnsiTheme="minorHAnsi" w:cs="Arial"/>
                <w:sz w:val="20"/>
                <w:szCs w:val="20"/>
              </w:rPr>
              <w:t xml:space="preserve">             assets/(liabilities)</w:t>
            </w:r>
          </w:p>
        </w:tc>
      </w:tr>
      <w:tr w:rsidR="00A3021A" w:rsidRPr="00701439" w14:paraId="707EDB01" w14:textId="77777777">
        <w:tc>
          <w:tcPr>
            <w:tcW w:w="4703" w:type="dxa"/>
          </w:tcPr>
          <w:p w14:paraId="5CA00342" w14:textId="77777777" w:rsidR="00A3021A" w:rsidRPr="00701439" w:rsidRDefault="00A3021A">
            <w:pPr>
              <w:rPr>
                <w:rFonts w:asciiTheme="minorHAnsi" w:hAnsiTheme="minorHAnsi" w:cs="Arial"/>
                <w:sz w:val="20"/>
                <w:szCs w:val="20"/>
              </w:rPr>
            </w:pPr>
          </w:p>
        </w:tc>
        <w:tc>
          <w:tcPr>
            <w:tcW w:w="1260" w:type="dxa"/>
          </w:tcPr>
          <w:p w14:paraId="01A9E65B"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2022 </w:t>
            </w:r>
          </w:p>
        </w:tc>
        <w:tc>
          <w:tcPr>
            <w:tcW w:w="1431" w:type="dxa"/>
          </w:tcPr>
          <w:p w14:paraId="6DF6E056"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2021</w:t>
            </w:r>
          </w:p>
        </w:tc>
        <w:tc>
          <w:tcPr>
            <w:tcW w:w="1269" w:type="dxa"/>
          </w:tcPr>
          <w:p w14:paraId="330934B0"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2022</w:t>
            </w:r>
          </w:p>
        </w:tc>
        <w:tc>
          <w:tcPr>
            <w:tcW w:w="1260" w:type="dxa"/>
          </w:tcPr>
          <w:p w14:paraId="0337031B"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2021</w:t>
            </w:r>
          </w:p>
        </w:tc>
      </w:tr>
      <w:tr w:rsidR="00A3021A" w:rsidRPr="00701439" w14:paraId="733EB541" w14:textId="77777777">
        <w:tc>
          <w:tcPr>
            <w:tcW w:w="4703" w:type="dxa"/>
          </w:tcPr>
          <w:p w14:paraId="4DA4980C" w14:textId="77777777" w:rsidR="00A3021A" w:rsidRPr="00701439" w:rsidRDefault="00A3021A">
            <w:pPr>
              <w:rPr>
                <w:rFonts w:asciiTheme="minorHAnsi" w:hAnsiTheme="minorHAnsi" w:cs="Arial"/>
                <w:sz w:val="20"/>
                <w:szCs w:val="20"/>
              </w:rPr>
            </w:pPr>
          </w:p>
        </w:tc>
        <w:tc>
          <w:tcPr>
            <w:tcW w:w="1260" w:type="dxa"/>
            <w:tcBorders>
              <w:bottom w:val="single" w:sz="4" w:space="0" w:color="auto"/>
            </w:tcBorders>
          </w:tcPr>
          <w:p w14:paraId="3E69D74E"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£m </w:t>
            </w:r>
          </w:p>
        </w:tc>
        <w:tc>
          <w:tcPr>
            <w:tcW w:w="1431" w:type="dxa"/>
            <w:tcBorders>
              <w:bottom w:val="single" w:sz="4" w:space="0" w:color="auto"/>
            </w:tcBorders>
          </w:tcPr>
          <w:p w14:paraId="7D75A818"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£m </w:t>
            </w:r>
          </w:p>
        </w:tc>
        <w:tc>
          <w:tcPr>
            <w:tcW w:w="1269" w:type="dxa"/>
            <w:tcBorders>
              <w:top w:val="nil"/>
              <w:left w:val="nil"/>
              <w:bottom w:val="single" w:sz="4" w:space="0" w:color="auto"/>
              <w:right w:val="nil"/>
            </w:tcBorders>
          </w:tcPr>
          <w:p w14:paraId="25BE9BFA"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£m </w:t>
            </w:r>
          </w:p>
        </w:tc>
        <w:tc>
          <w:tcPr>
            <w:tcW w:w="1260" w:type="dxa"/>
            <w:tcBorders>
              <w:top w:val="nil"/>
              <w:left w:val="nil"/>
              <w:bottom w:val="single" w:sz="4" w:space="0" w:color="auto"/>
              <w:right w:val="nil"/>
            </w:tcBorders>
          </w:tcPr>
          <w:p w14:paraId="1C729805"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£m </w:t>
            </w:r>
          </w:p>
        </w:tc>
      </w:tr>
      <w:tr w:rsidR="00A3021A" w:rsidRPr="00701439" w14:paraId="12813E5B" w14:textId="77777777">
        <w:tc>
          <w:tcPr>
            <w:tcW w:w="4703" w:type="dxa"/>
          </w:tcPr>
          <w:p w14:paraId="47BC7CB8" w14:textId="77777777" w:rsidR="00A3021A" w:rsidRPr="00701439" w:rsidRDefault="00A3021A">
            <w:pPr>
              <w:rPr>
                <w:rFonts w:asciiTheme="minorHAnsi" w:hAnsiTheme="minorHAnsi" w:cs="Arial"/>
                <w:b/>
                <w:sz w:val="20"/>
                <w:szCs w:val="20"/>
              </w:rPr>
            </w:pPr>
          </w:p>
        </w:tc>
        <w:tc>
          <w:tcPr>
            <w:tcW w:w="1260" w:type="dxa"/>
            <w:tcBorders>
              <w:top w:val="single" w:sz="4" w:space="0" w:color="auto"/>
            </w:tcBorders>
          </w:tcPr>
          <w:p w14:paraId="25096D4C" w14:textId="77777777" w:rsidR="00A3021A" w:rsidRPr="00701439" w:rsidRDefault="00A3021A">
            <w:pPr>
              <w:jc w:val="right"/>
              <w:rPr>
                <w:rFonts w:asciiTheme="minorHAnsi" w:hAnsiTheme="minorHAnsi" w:cs="Arial"/>
                <w:sz w:val="20"/>
                <w:szCs w:val="20"/>
              </w:rPr>
            </w:pPr>
          </w:p>
        </w:tc>
        <w:tc>
          <w:tcPr>
            <w:tcW w:w="1431" w:type="dxa"/>
            <w:tcBorders>
              <w:top w:val="single" w:sz="4" w:space="0" w:color="auto"/>
            </w:tcBorders>
          </w:tcPr>
          <w:p w14:paraId="75B2B6E7" w14:textId="77777777" w:rsidR="00A3021A" w:rsidRPr="00701439" w:rsidRDefault="00A3021A">
            <w:pPr>
              <w:jc w:val="right"/>
              <w:rPr>
                <w:rFonts w:asciiTheme="minorHAnsi" w:hAnsiTheme="minorHAnsi" w:cs="Arial"/>
                <w:sz w:val="20"/>
                <w:szCs w:val="20"/>
              </w:rPr>
            </w:pPr>
          </w:p>
        </w:tc>
        <w:tc>
          <w:tcPr>
            <w:tcW w:w="1269" w:type="dxa"/>
            <w:vAlign w:val="bottom"/>
          </w:tcPr>
          <w:p w14:paraId="641FA1E5" w14:textId="77777777" w:rsidR="00A3021A" w:rsidRPr="00701439" w:rsidRDefault="00A3021A">
            <w:pPr>
              <w:jc w:val="right"/>
              <w:rPr>
                <w:rFonts w:asciiTheme="minorHAnsi" w:hAnsiTheme="minorHAnsi" w:cs="Arial"/>
                <w:sz w:val="20"/>
                <w:szCs w:val="20"/>
              </w:rPr>
            </w:pPr>
          </w:p>
        </w:tc>
        <w:tc>
          <w:tcPr>
            <w:tcW w:w="1260" w:type="dxa"/>
            <w:vAlign w:val="bottom"/>
          </w:tcPr>
          <w:p w14:paraId="2C92B046" w14:textId="77777777" w:rsidR="00A3021A" w:rsidRPr="00701439" w:rsidRDefault="00A3021A">
            <w:pPr>
              <w:jc w:val="right"/>
              <w:rPr>
                <w:rFonts w:asciiTheme="minorHAnsi" w:hAnsiTheme="minorHAnsi" w:cs="Arial"/>
                <w:sz w:val="20"/>
                <w:szCs w:val="20"/>
              </w:rPr>
            </w:pPr>
          </w:p>
        </w:tc>
      </w:tr>
      <w:tr w:rsidR="00A3021A" w:rsidRPr="00701439" w14:paraId="0EFFB80A" w14:textId="77777777">
        <w:tc>
          <w:tcPr>
            <w:tcW w:w="4703" w:type="dxa"/>
            <w:vAlign w:val="bottom"/>
          </w:tcPr>
          <w:p w14:paraId="0341E322"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Credit cards and personal loans</w:t>
            </w:r>
          </w:p>
        </w:tc>
        <w:tc>
          <w:tcPr>
            <w:tcW w:w="1260" w:type="dxa"/>
            <w:vAlign w:val="bottom"/>
          </w:tcPr>
          <w:p w14:paraId="11B33A10"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1,795.6</w:t>
            </w:r>
          </w:p>
        </w:tc>
        <w:tc>
          <w:tcPr>
            <w:tcW w:w="1431" w:type="dxa"/>
            <w:vAlign w:val="bottom"/>
          </w:tcPr>
          <w:p w14:paraId="23C73FD3"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1,639.1</w:t>
            </w:r>
          </w:p>
        </w:tc>
        <w:tc>
          <w:tcPr>
            <w:tcW w:w="1269" w:type="dxa"/>
            <w:vAlign w:val="bottom"/>
          </w:tcPr>
          <w:p w14:paraId="2DE83B20"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384.9</w:t>
            </w:r>
          </w:p>
        </w:tc>
        <w:tc>
          <w:tcPr>
            <w:tcW w:w="1260" w:type="dxa"/>
            <w:vAlign w:val="bottom"/>
          </w:tcPr>
          <w:p w14:paraId="4130FA50"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374.5</w:t>
            </w:r>
          </w:p>
        </w:tc>
      </w:tr>
      <w:tr w:rsidR="00A3021A" w:rsidRPr="00701439" w14:paraId="0CD9E972" w14:textId="77777777">
        <w:tc>
          <w:tcPr>
            <w:tcW w:w="4703" w:type="dxa"/>
            <w:vAlign w:val="bottom"/>
          </w:tcPr>
          <w:p w14:paraId="03441D78"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Vehicle finance</w:t>
            </w:r>
          </w:p>
        </w:tc>
        <w:tc>
          <w:tcPr>
            <w:tcW w:w="1260" w:type="dxa"/>
            <w:vAlign w:val="bottom"/>
          </w:tcPr>
          <w:p w14:paraId="672B4328"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762.6</w:t>
            </w:r>
          </w:p>
        </w:tc>
        <w:tc>
          <w:tcPr>
            <w:tcW w:w="1431" w:type="dxa"/>
            <w:vAlign w:val="bottom"/>
          </w:tcPr>
          <w:p w14:paraId="01BC4914"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698.3</w:t>
            </w:r>
          </w:p>
        </w:tc>
        <w:tc>
          <w:tcPr>
            <w:tcW w:w="1269" w:type="dxa"/>
            <w:vAlign w:val="bottom"/>
          </w:tcPr>
          <w:p w14:paraId="2F4C2BD4"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172.9</w:t>
            </w:r>
          </w:p>
        </w:tc>
        <w:tc>
          <w:tcPr>
            <w:tcW w:w="1260" w:type="dxa"/>
            <w:vAlign w:val="bottom"/>
          </w:tcPr>
          <w:p w14:paraId="183A3A43"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105.8</w:t>
            </w:r>
          </w:p>
        </w:tc>
      </w:tr>
      <w:tr w:rsidR="00A3021A" w:rsidRPr="00701439" w14:paraId="573FD87B" w14:textId="77777777">
        <w:tc>
          <w:tcPr>
            <w:tcW w:w="4703" w:type="dxa"/>
            <w:vAlign w:val="bottom"/>
          </w:tcPr>
          <w:p w14:paraId="1EDD6A5F"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Central</w:t>
            </w:r>
          </w:p>
        </w:tc>
        <w:tc>
          <w:tcPr>
            <w:tcW w:w="1260" w:type="dxa"/>
            <w:vAlign w:val="bottom"/>
          </w:tcPr>
          <w:p w14:paraId="2F467B94"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504.8</w:t>
            </w:r>
          </w:p>
        </w:tc>
        <w:tc>
          <w:tcPr>
            <w:tcW w:w="1431" w:type="dxa"/>
            <w:vAlign w:val="bottom"/>
          </w:tcPr>
          <w:p w14:paraId="3DFFB807" w14:textId="77777777" w:rsidR="00A3021A" w:rsidRPr="00701439" w:rsidRDefault="00A3021A">
            <w:pPr>
              <w:jc w:val="right"/>
              <w:rPr>
                <w:rFonts w:asciiTheme="minorHAnsi" w:hAnsiTheme="minorHAnsi" w:cs="Arial"/>
                <w:sz w:val="20"/>
                <w:szCs w:val="20"/>
              </w:rPr>
            </w:pPr>
            <w:r w:rsidRPr="00701439">
              <w:rPr>
                <w:rFonts w:asciiTheme="minorHAnsi" w:hAnsiTheme="minorHAnsi" w:cstheme="minorHAnsi"/>
                <w:sz w:val="20"/>
                <w:szCs w:val="20"/>
              </w:rPr>
              <w:t>546.5</w:t>
            </w:r>
          </w:p>
        </w:tc>
        <w:tc>
          <w:tcPr>
            <w:tcW w:w="1269" w:type="dxa"/>
            <w:vAlign w:val="bottom"/>
          </w:tcPr>
          <w:p w14:paraId="1643C787"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432.1</w:t>
            </w:r>
          </w:p>
        </w:tc>
        <w:tc>
          <w:tcPr>
            <w:tcW w:w="1260" w:type="dxa"/>
            <w:vAlign w:val="bottom"/>
          </w:tcPr>
          <w:p w14:paraId="414A377F" w14:textId="77777777" w:rsidR="00A3021A" w:rsidRPr="00701439" w:rsidRDefault="00A3021A">
            <w:pPr>
              <w:jc w:val="right"/>
              <w:rPr>
                <w:rFonts w:asciiTheme="minorHAnsi" w:hAnsiTheme="minorHAnsi" w:cs="Arial"/>
                <w:sz w:val="20"/>
                <w:szCs w:val="20"/>
              </w:rPr>
            </w:pPr>
            <w:r w:rsidRPr="00701439">
              <w:rPr>
                <w:rFonts w:asciiTheme="minorHAnsi" w:hAnsiTheme="minorHAnsi" w:cstheme="minorHAnsi"/>
                <w:sz w:val="20"/>
                <w:szCs w:val="20"/>
              </w:rPr>
              <w:t>446.0</w:t>
            </w:r>
          </w:p>
        </w:tc>
      </w:tr>
      <w:tr w:rsidR="00A3021A" w:rsidRPr="00701439" w14:paraId="419FCA63" w14:textId="77777777">
        <w:tc>
          <w:tcPr>
            <w:tcW w:w="4703" w:type="dxa"/>
            <w:vAlign w:val="bottom"/>
          </w:tcPr>
          <w:p w14:paraId="4760BC40" w14:textId="77777777" w:rsidR="00A3021A" w:rsidRPr="00701439" w:rsidRDefault="00A3021A">
            <w:pPr>
              <w:rPr>
                <w:rFonts w:asciiTheme="minorHAnsi" w:hAnsiTheme="minorHAnsi" w:cs="Arial"/>
                <w:b/>
                <w:sz w:val="20"/>
                <w:szCs w:val="20"/>
              </w:rPr>
            </w:pPr>
            <w:r w:rsidRPr="00701439">
              <w:rPr>
                <w:rFonts w:asciiTheme="minorHAnsi" w:hAnsiTheme="minorHAnsi" w:cs="Arial"/>
                <w:b/>
                <w:sz w:val="20"/>
                <w:szCs w:val="20"/>
              </w:rPr>
              <w:t>Continuing operations before intra-group elimination</w:t>
            </w:r>
          </w:p>
        </w:tc>
        <w:tc>
          <w:tcPr>
            <w:tcW w:w="1260" w:type="dxa"/>
            <w:tcBorders>
              <w:top w:val="single" w:sz="4" w:space="0" w:color="auto"/>
            </w:tcBorders>
            <w:vAlign w:val="bottom"/>
          </w:tcPr>
          <w:p w14:paraId="6522CDB9"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3,063.0</w:t>
            </w:r>
          </w:p>
        </w:tc>
        <w:tc>
          <w:tcPr>
            <w:tcW w:w="1431" w:type="dxa"/>
            <w:tcBorders>
              <w:top w:val="single" w:sz="4" w:space="0" w:color="auto"/>
            </w:tcBorders>
            <w:vAlign w:val="bottom"/>
          </w:tcPr>
          <w:p w14:paraId="033B1052"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2,883.9</w:t>
            </w:r>
          </w:p>
        </w:tc>
        <w:tc>
          <w:tcPr>
            <w:tcW w:w="1269" w:type="dxa"/>
            <w:tcBorders>
              <w:top w:val="single" w:sz="4" w:space="0" w:color="auto"/>
              <w:left w:val="nil"/>
              <w:right w:val="nil"/>
            </w:tcBorders>
            <w:vAlign w:val="bottom"/>
          </w:tcPr>
          <w:p w14:paraId="0BEDD2AA"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989.9</w:t>
            </w:r>
          </w:p>
        </w:tc>
        <w:tc>
          <w:tcPr>
            <w:tcW w:w="1260" w:type="dxa"/>
            <w:tcBorders>
              <w:top w:val="single" w:sz="4" w:space="0" w:color="auto"/>
              <w:left w:val="nil"/>
              <w:right w:val="nil"/>
            </w:tcBorders>
            <w:vAlign w:val="bottom"/>
          </w:tcPr>
          <w:p w14:paraId="3DB77211"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926.3</w:t>
            </w:r>
          </w:p>
        </w:tc>
      </w:tr>
      <w:tr w:rsidR="00A3021A" w:rsidRPr="00701439" w14:paraId="55E85BF1" w14:textId="77777777">
        <w:trPr>
          <w:trHeight w:val="68"/>
        </w:trPr>
        <w:tc>
          <w:tcPr>
            <w:tcW w:w="4703" w:type="dxa"/>
            <w:vAlign w:val="bottom"/>
          </w:tcPr>
          <w:p w14:paraId="2A2408D0" w14:textId="77777777" w:rsidR="00A3021A" w:rsidRPr="00701439" w:rsidRDefault="00A3021A">
            <w:pPr>
              <w:rPr>
                <w:rFonts w:asciiTheme="minorHAnsi" w:hAnsiTheme="minorHAnsi" w:cs="Arial"/>
                <w:b/>
                <w:sz w:val="20"/>
                <w:szCs w:val="20"/>
              </w:rPr>
            </w:pPr>
            <w:r w:rsidRPr="00701439">
              <w:rPr>
                <w:rFonts w:asciiTheme="minorHAnsi" w:hAnsiTheme="minorHAnsi" w:cs="Arial"/>
                <w:b/>
                <w:sz w:val="20"/>
                <w:szCs w:val="20"/>
              </w:rPr>
              <w:t>Discontinued operations</w:t>
            </w:r>
          </w:p>
        </w:tc>
        <w:tc>
          <w:tcPr>
            <w:tcW w:w="1260" w:type="dxa"/>
            <w:vAlign w:val="bottom"/>
          </w:tcPr>
          <w:p w14:paraId="4372ED07"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w:t>
            </w:r>
          </w:p>
        </w:tc>
        <w:tc>
          <w:tcPr>
            <w:tcW w:w="1431" w:type="dxa"/>
            <w:vAlign w:val="bottom"/>
          </w:tcPr>
          <w:p w14:paraId="2AFBFABD"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0.3</w:t>
            </w:r>
          </w:p>
        </w:tc>
        <w:tc>
          <w:tcPr>
            <w:tcW w:w="1269" w:type="dxa"/>
            <w:tcBorders>
              <w:left w:val="nil"/>
              <w:right w:val="nil"/>
            </w:tcBorders>
            <w:vAlign w:val="bottom"/>
          </w:tcPr>
          <w:p w14:paraId="1FCEEC4B"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(382.7)</w:t>
            </w:r>
          </w:p>
        </w:tc>
        <w:tc>
          <w:tcPr>
            <w:tcW w:w="1260" w:type="dxa"/>
            <w:tcBorders>
              <w:left w:val="nil"/>
              <w:right w:val="nil"/>
            </w:tcBorders>
            <w:vAlign w:val="bottom"/>
          </w:tcPr>
          <w:p w14:paraId="604BC599"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(295.1)</w:t>
            </w:r>
          </w:p>
        </w:tc>
      </w:tr>
      <w:tr w:rsidR="00A3021A" w:rsidRPr="00701439" w14:paraId="7046B20D" w14:textId="77777777">
        <w:trPr>
          <w:trHeight w:val="68"/>
        </w:trPr>
        <w:tc>
          <w:tcPr>
            <w:tcW w:w="4703" w:type="dxa"/>
            <w:vAlign w:val="bottom"/>
          </w:tcPr>
          <w:p w14:paraId="4E1C12D4"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Intra-Group elimination</w:t>
            </w:r>
          </w:p>
        </w:tc>
        <w:tc>
          <w:tcPr>
            <w:tcW w:w="1260" w:type="dxa"/>
            <w:tcBorders>
              <w:bottom w:val="single" w:sz="4" w:space="0" w:color="auto"/>
            </w:tcBorders>
            <w:vAlign w:val="bottom"/>
          </w:tcPr>
          <w:p w14:paraId="260B2689"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(407.2)</w:t>
            </w:r>
          </w:p>
        </w:tc>
        <w:tc>
          <w:tcPr>
            <w:tcW w:w="1431" w:type="dxa"/>
            <w:tcBorders>
              <w:bottom w:val="single" w:sz="4" w:space="0" w:color="auto"/>
            </w:tcBorders>
            <w:vAlign w:val="bottom"/>
          </w:tcPr>
          <w:p w14:paraId="14D20F3E"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(158.9)</w:t>
            </w:r>
          </w:p>
        </w:tc>
        <w:tc>
          <w:tcPr>
            <w:tcW w:w="1269" w:type="dxa"/>
            <w:tcBorders>
              <w:left w:val="nil"/>
              <w:bottom w:val="single" w:sz="4" w:space="0" w:color="auto"/>
              <w:right w:val="nil"/>
            </w:tcBorders>
            <w:vAlign w:val="bottom"/>
          </w:tcPr>
          <w:p w14:paraId="599F7D36"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w:t>
            </w:r>
          </w:p>
        </w:tc>
        <w:tc>
          <w:tcPr>
            <w:tcW w:w="1260" w:type="dxa"/>
            <w:tcBorders>
              <w:left w:val="nil"/>
              <w:bottom w:val="single" w:sz="4" w:space="0" w:color="auto"/>
              <w:right w:val="nil"/>
            </w:tcBorders>
            <w:vAlign w:val="bottom"/>
          </w:tcPr>
          <w:p w14:paraId="56936997"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w:t>
            </w:r>
          </w:p>
        </w:tc>
      </w:tr>
      <w:tr w:rsidR="00A3021A" w:rsidRPr="00701439" w14:paraId="256FFDD7" w14:textId="77777777">
        <w:tc>
          <w:tcPr>
            <w:tcW w:w="4703" w:type="dxa"/>
            <w:vAlign w:val="bottom"/>
          </w:tcPr>
          <w:p w14:paraId="632981A6" w14:textId="77777777" w:rsidR="00A3021A" w:rsidRPr="00701439" w:rsidRDefault="00A3021A">
            <w:pPr>
              <w:rPr>
                <w:rFonts w:asciiTheme="minorHAnsi" w:hAnsiTheme="minorHAnsi" w:cs="Arial"/>
                <w:b/>
                <w:sz w:val="20"/>
                <w:szCs w:val="20"/>
              </w:rPr>
            </w:pPr>
            <w:r w:rsidRPr="00701439">
              <w:rPr>
                <w:rFonts w:asciiTheme="minorHAnsi" w:hAnsiTheme="minorHAnsi" w:cs="Arial"/>
                <w:b/>
                <w:sz w:val="20"/>
                <w:szCs w:val="20"/>
              </w:rPr>
              <w:t>Total Group</w:t>
            </w:r>
          </w:p>
        </w:tc>
        <w:tc>
          <w:tcPr>
            <w:tcW w:w="1260" w:type="dxa"/>
            <w:tcBorders>
              <w:top w:val="single" w:sz="4" w:space="0" w:color="auto"/>
              <w:bottom w:val="single" w:sz="12" w:space="0" w:color="auto"/>
            </w:tcBorders>
            <w:vAlign w:val="bottom"/>
          </w:tcPr>
          <w:p w14:paraId="4A5FB0EB"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2,655.8</w:t>
            </w:r>
          </w:p>
        </w:tc>
        <w:tc>
          <w:tcPr>
            <w:tcW w:w="1431" w:type="dxa"/>
            <w:tcBorders>
              <w:top w:val="single" w:sz="4" w:space="0" w:color="auto"/>
              <w:bottom w:val="single" w:sz="12" w:space="0" w:color="auto"/>
            </w:tcBorders>
            <w:vAlign w:val="bottom"/>
          </w:tcPr>
          <w:p w14:paraId="54130BA0"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2,725.3</w:t>
            </w:r>
          </w:p>
        </w:tc>
        <w:tc>
          <w:tcPr>
            <w:tcW w:w="1269" w:type="dxa"/>
            <w:tcBorders>
              <w:top w:val="single" w:sz="4" w:space="0" w:color="auto"/>
              <w:left w:val="nil"/>
              <w:bottom w:val="single" w:sz="12" w:space="0" w:color="auto"/>
              <w:right w:val="nil"/>
            </w:tcBorders>
            <w:vAlign w:val="bottom"/>
          </w:tcPr>
          <w:p w14:paraId="79B1D44F"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607.2</w:t>
            </w:r>
          </w:p>
        </w:tc>
        <w:tc>
          <w:tcPr>
            <w:tcW w:w="1260" w:type="dxa"/>
            <w:tcBorders>
              <w:top w:val="single" w:sz="4" w:space="0" w:color="auto"/>
              <w:left w:val="nil"/>
              <w:bottom w:val="single" w:sz="12" w:space="0" w:color="auto"/>
              <w:right w:val="nil"/>
            </w:tcBorders>
            <w:vAlign w:val="bottom"/>
          </w:tcPr>
          <w:p w14:paraId="362ADD13"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631.2</w:t>
            </w:r>
          </w:p>
        </w:tc>
      </w:tr>
    </w:tbl>
    <w:p w14:paraId="5469F613" w14:textId="77777777" w:rsidR="00A3021A" w:rsidRPr="00701439" w:rsidRDefault="00A3021A" w:rsidP="00A3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sz w:val="20"/>
          <w:szCs w:val="20"/>
        </w:rPr>
      </w:pPr>
    </w:p>
    <w:p w14:paraId="26D5CDDC" w14:textId="1842AD10" w:rsidR="00477AF6" w:rsidRPr="00701439" w:rsidRDefault="00A3021A" w:rsidP="00A3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sz w:val="20"/>
          <w:szCs w:val="20"/>
        </w:rPr>
      </w:pPr>
      <w:r w:rsidRPr="00701439">
        <w:rPr>
          <w:rFonts w:asciiTheme="minorHAnsi" w:hAnsiTheme="minorHAnsi" w:cs="Arial"/>
          <w:sz w:val="20"/>
          <w:szCs w:val="20"/>
        </w:rPr>
        <w:t xml:space="preserve">The presentation of segment net assets reflects the statutory assets, </w:t>
      </w:r>
      <w:proofErr w:type="gramStart"/>
      <w:r w:rsidRPr="00701439">
        <w:rPr>
          <w:rFonts w:asciiTheme="minorHAnsi" w:hAnsiTheme="minorHAnsi" w:cs="Arial"/>
          <w:sz w:val="20"/>
          <w:szCs w:val="20"/>
        </w:rPr>
        <w:t>liabilities</w:t>
      </w:r>
      <w:proofErr w:type="gramEnd"/>
      <w:r w:rsidRPr="00701439">
        <w:rPr>
          <w:rFonts w:asciiTheme="minorHAnsi" w:hAnsiTheme="minorHAnsi" w:cs="Arial"/>
          <w:sz w:val="20"/>
          <w:szCs w:val="20"/>
        </w:rPr>
        <w:t xml:space="preserve"> and net assets of each of the Group’s divisions. This results in an intra-group elimination reflecting the difference between the central intercompany funding provided to the divisions and the external funding raised centrally. Credit cards and personal loans are both recognised within Vanquis Bank Limited and are therefore combined for balance sheet reporting purposes.</w:t>
      </w:r>
    </w:p>
    <w:p w14:paraId="78603344" w14:textId="77777777" w:rsidR="00477AF6" w:rsidRPr="00701439" w:rsidRDefault="00477AF6" w:rsidP="00A3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sz w:val="20"/>
          <w:szCs w:val="20"/>
        </w:rPr>
      </w:pPr>
    </w:p>
    <w:p w14:paraId="4FFC5BFD" w14:textId="77777777" w:rsidR="00A3021A" w:rsidRPr="00701439" w:rsidRDefault="00A3021A" w:rsidP="00A3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Poppins-Light"/>
          <w:sz w:val="20"/>
          <w:szCs w:val="20"/>
        </w:rPr>
      </w:pPr>
      <w:r w:rsidRPr="00701439">
        <w:rPr>
          <w:rFonts w:asciiTheme="minorHAnsi" w:hAnsiTheme="minorHAnsi" w:cs="Arial"/>
          <w:b/>
          <w:color w:val="4747FF"/>
          <w:sz w:val="22"/>
          <w:szCs w:val="22"/>
        </w:rPr>
        <w:lastRenderedPageBreak/>
        <w:t>4.         Discontinued operations</w:t>
      </w:r>
    </w:p>
    <w:p w14:paraId="1F61D527" w14:textId="77777777" w:rsidR="00A3021A" w:rsidRPr="00701439" w:rsidRDefault="00A3021A" w:rsidP="00A3021A">
      <w:pPr>
        <w:jc w:val="both"/>
        <w:rPr>
          <w:rFonts w:asciiTheme="minorHAnsi" w:hAnsiTheme="minorHAnsi" w:cs="Arial"/>
          <w:b/>
          <w:sz w:val="20"/>
          <w:szCs w:val="20"/>
        </w:rPr>
      </w:pPr>
    </w:p>
    <w:p w14:paraId="073AEAED" w14:textId="77777777" w:rsidR="00A3021A" w:rsidRPr="00701439" w:rsidRDefault="00A3021A" w:rsidP="00A3021A">
      <w:pPr>
        <w:autoSpaceDE w:val="0"/>
        <w:autoSpaceDN w:val="0"/>
        <w:adjustRightInd w:val="0"/>
        <w:jc w:val="both"/>
        <w:rPr>
          <w:rFonts w:asciiTheme="minorHAnsi" w:hAnsiTheme="minorHAnsi" w:cs="Poppins-Light"/>
          <w:sz w:val="20"/>
          <w:szCs w:val="20"/>
        </w:rPr>
      </w:pPr>
      <w:r w:rsidRPr="00701439">
        <w:rPr>
          <w:rFonts w:asciiTheme="minorHAnsi" w:hAnsiTheme="minorHAnsi" w:cs="Poppins-Light"/>
          <w:sz w:val="20"/>
          <w:szCs w:val="20"/>
        </w:rPr>
        <w:t>The Group closed its CCD business comprising Home Credit and Satsuma loans during 2021 and in accordance with IFRS 5 ‘Non-current Assets Held for Sale and Discontinued Operations’ these businesses are presented as discontinued operations.</w:t>
      </w:r>
    </w:p>
    <w:p w14:paraId="7A532A96" w14:textId="77777777" w:rsidR="00A3021A" w:rsidRPr="00701439" w:rsidRDefault="00A3021A" w:rsidP="00A3021A">
      <w:pPr>
        <w:autoSpaceDE w:val="0"/>
        <w:autoSpaceDN w:val="0"/>
        <w:adjustRightInd w:val="0"/>
        <w:jc w:val="both"/>
        <w:rPr>
          <w:rFonts w:asciiTheme="minorHAnsi" w:hAnsiTheme="minorHAnsi" w:cs="Poppins-Light"/>
          <w:sz w:val="20"/>
          <w:szCs w:val="20"/>
        </w:rPr>
      </w:pPr>
    </w:p>
    <w:p w14:paraId="6395A7F0" w14:textId="77777777" w:rsidR="00A3021A" w:rsidRPr="00701439" w:rsidRDefault="00A3021A" w:rsidP="00A3021A">
      <w:pPr>
        <w:jc w:val="both"/>
        <w:rPr>
          <w:rFonts w:asciiTheme="minorHAnsi" w:hAnsiTheme="minorHAnsi" w:cs="Poppins-Light"/>
          <w:sz w:val="20"/>
          <w:szCs w:val="20"/>
        </w:rPr>
      </w:pPr>
      <w:r w:rsidRPr="00701439">
        <w:rPr>
          <w:rFonts w:asciiTheme="minorHAnsi" w:hAnsiTheme="minorHAnsi" w:cs="Poppins-Light"/>
          <w:sz w:val="20"/>
          <w:szCs w:val="20"/>
        </w:rPr>
        <w:t>The results from discontinued operations, which are included in the Group income statement, are set out below.</w:t>
      </w:r>
    </w:p>
    <w:p w14:paraId="7F588E4E" w14:textId="77777777" w:rsidR="00A3021A" w:rsidRPr="00701439" w:rsidRDefault="00A3021A" w:rsidP="00A3021A">
      <w:pPr>
        <w:rPr>
          <w:rFonts w:asciiTheme="minorHAnsi" w:hAnsiTheme="minorHAnsi" w:cs="Poppins-Light"/>
          <w:sz w:val="20"/>
          <w:szCs w:val="20"/>
        </w:rPr>
      </w:pPr>
    </w:p>
    <w:tbl>
      <w:tblPr>
        <w:tblW w:w="9923" w:type="dxa"/>
        <w:tblLayout w:type="fixed"/>
        <w:tblLook w:val="0000" w:firstRow="0" w:lastRow="0" w:firstColumn="0" w:lastColumn="0" w:noHBand="0" w:noVBand="0"/>
      </w:tblPr>
      <w:tblGrid>
        <w:gridCol w:w="6938"/>
        <w:gridCol w:w="631"/>
        <w:gridCol w:w="1177"/>
        <w:gridCol w:w="1177"/>
      </w:tblGrid>
      <w:tr w:rsidR="00974661" w:rsidRPr="00701439" w14:paraId="593410CD" w14:textId="77777777" w:rsidTr="0002541E">
        <w:tc>
          <w:tcPr>
            <w:tcW w:w="6938" w:type="dxa"/>
          </w:tcPr>
          <w:p w14:paraId="03584AAA" w14:textId="77777777" w:rsidR="00974661" w:rsidRPr="00701439" w:rsidRDefault="00974661" w:rsidP="00974661">
            <w:pPr>
              <w:rPr>
                <w:rFonts w:asciiTheme="minorHAnsi" w:hAnsiTheme="minorHAnsi" w:cs="Arial"/>
                <w:sz w:val="20"/>
                <w:szCs w:val="20"/>
              </w:rPr>
            </w:pPr>
          </w:p>
        </w:tc>
        <w:tc>
          <w:tcPr>
            <w:tcW w:w="631" w:type="dxa"/>
          </w:tcPr>
          <w:p w14:paraId="6D3506D7" w14:textId="77777777" w:rsidR="00974661" w:rsidRPr="00701439" w:rsidRDefault="00974661" w:rsidP="00974661">
            <w:pPr>
              <w:jc w:val="right"/>
              <w:rPr>
                <w:rFonts w:asciiTheme="minorHAnsi" w:hAnsiTheme="minorHAnsi" w:cs="Arial"/>
                <w:sz w:val="20"/>
                <w:szCs w:val="20"/>
              </w:rPr>
            </w:pPr>
          </w:p>
        </w:tc>
        <w:tc>
          <w:tcPr>
            <w:tcW w:w="1177" w:type="dxa"/>
            <w:vAlign w:val="bottom"/>
          </w:tcPr>
          <w:p w14:paraId="265450F5" w14:textId="401D96F0" w:rsidR="00974661" w:rsidRPr="00701439" w:rsidRDefault="00974661" w:rsidP="00974661">
            <w:pPr>
              <w:jc w:val="right"/>
              <w:rPr>
                <w:rFonts w:asciiTheme="minorHAnsi" w:hAnsiTheme="minorHAnsi" w:cs="Arial"/>
                <w:sz w:val="20"/>
                <w:szCs w:val="20"/>
              </w:rPr>
            </w:pPr>
            <w:r w:rsidRPr="00701439">
              <w:rPr>
                <w:rFonts w:asciiTheme="minorHAnsi" w:hAnsiTheme="minorHAnsi" w:cs="Arial"/>
                <w:sz w:val="20"/>
                <w:szCs w:val="20"/>
              </w:rPr>
              <w:t>2022 </w:t>
            </w:r>
          </w:p>
        </w:tc>
        <w:tc>
          <w:tcPr>
            <w:tcW w:w="1177" w:type="dxa"/>
            <w:vAlign w:val="bottom"/>
          </w:tcPr>
          <w:p w14:paraId="0BB27B62" w14:textId="51D187D9" w:rsidR="00974661" w:rsidRPr="00701439" w:rsidRDefault="00974661" w:rsidP="00974661">
            <w:pPr>
              <w:jc w:val="right"/>
              <w:rPr>
                <w:rFonts w:asciiTheme="minorHAnsi" w:hAnsiTheme="minorHAnsi" w:cs="Arial"/>
                <w:sz w:val="20"/>
                <w:szCs w:val="20"/>
              </w:rPr>
            </w:pPr>
            <w:r w:rsidRPr="00701439">
              <w:rPr>
                <w:rFonts w:asciiTheme="minorHAnsi" w:hAnsiTheme="minorHAnsi" w:cs="Arial"/>
                <w:sz w:val="20"/>
                <w:szCs w:val="20"/>
              </w:rPr>
              <w:t>2021 </w:t>
            </w:r>
          </w:p>
        </w:tc>
      </w:tr>
      <w:tr w:rsidR="00974661" w:rsidRPr="00701439" w14:paraId="3EA4F01C" w14:textId="77777777" w:rsidTr="0002541E">
        <w:tc>
          <w:tcPr>
            <w:tcW w:w="6938" w:type="dxa"/>
          </w:tcPr>
          <w:p w14:paraId="3D757D23" w14:textId="77777777" w:rsidR="00974661" w:rsidRPr="00701439" w:rsidRDefault="00974661" w:rsidP="00974661">
            <w:pPr>
              <w:rPr>
                <w:rFonts w:asciiTheme="minorHAnsi" w:hAnsiTheme="minorHAnsi" w:cs="Arial"/>
                <w:b/>
                <w:sz w:val="20"/>
                <w:szCs w:val="20"/>
              </w:rPr>
            </w:pPr>
          </w:p>
        </w:tc>
        <w:tc>
          <w:tcPr>
            <w:tcW w:w="631" w:type="dxa"/>
          </w:tcPr>
          <w:p w14:paraId="5F4E7A6F" w14:textId="77777777" w:rsidR="00974661" w:rsidRPr="00701439" w:rsidRDefault="00974661" w:rsidP="00974661">
            <w:pPr>
              <w:jc w:val="right"/>
              <w:rPr>
                <w:rFonts w:asciiTheme="minorHAnsi" w:hAnsiTheme="minorHAnsi" w:cs="Arial"/>
                <w:sz w:val="20"/>
                <w:szCs w:val="20"/>
              </w:rPr>
            </w:pPr>
          </w:p>
        </w:tc>
        <w:tc>
          <w:tcPr>
            <w:tcW w:w="1177" w:type="dxa"/>
            <w:tcBorders>
              <w:top w:val="nil"/>
              <w:left w:val="nil"/>
              <w:bottom w:val="single" w:sz="4" w:space="0" w:color="auto"/>
              <w:right w:val="nil"/>
            </w:tcBorders>
            <w:vAlign w:val="bottom"/>
          </w:tcPr>
          <w:p w14:paraId="60BBE28B" w14:textId="6E556180" w:rsidR="00974661" w:rsidRPr="00701439" w:rsidRDefault="00974661" w:rsidP="00974661">
            <w:pPr>
              <w:jc w:val="right"/>
              <w:rPr>
                <w:rFonts w:asciiTheme="minorHAnsi" w:hAnsiTheme="minorHAnsi" w:cs="Arial"/>
                <w:sz w:val="20"/>
                <w:szCs w:val="20"/>
              </w:rPr>
            </w:pPr>
            <w:r w:rsidRPr="00701439">
              <w:rPr>
                <w:rFonts w:asciiTheme="minorHAnsi" w:hAnsiTheme="minorHAnsi" w:cs="Arial"/>
                <w:sz w:val="20"/>
                <w:szCs w:val="20"/>
              </w:rPr>
              <w:t>£m </w:t>
            </w:r>
          </w:p>
        </w:tc>
        <w:tc>
          <w:tcPr>
            <w:tcW w:w="1177" w:type="dxa"/>
            <w:tcBorders>
              <w:top w:val="nil"/>
              <w:left w:val="nil"/>
              <w:bottom w:val="single" w:sz="4" w:space="0" w:color="auto"/>
              <w:right w:val="nil"/>
            </w:tcBorders>
            <w:vAlign w:val="bottom"/>
          </w:tcPr>
          <w:p w14:paraId="22EECFC1" w14:textId="5C8A6B40" w:rsidR="00974661" w:rsidRPr="00701439" w:rsidRDefault="00974661" w:rsidP="00974661">
            <w:pPr>
              <w:jc w:val="right"/>
              <w:rPr>
                <w:rFonts w:asciiTheme="minorHAnsi" w:hAnsiTheme="minorHAnsi" w:cs="Arial"/>
                <w:sz w:val="20"/>
                <w:szCs w:val="20"/>
              </w:rPr>
            </w:pPr>
            <w:r w:rsidRPr="00701439">
              <w:rPr>
                <w:rFonts w:asciiTheme="minorHAnsi" w:hAnsiTheme="minorHAnsi" w:cs="Arial"/>
                <w:sz w:val="20"/>
                <w:szCs w:val="20"/>
              </w:rPr>
              <w:t>£m </w:t>
            </w:r>
          </w:p>
        </w:tc>
      </w:tr>
      <w:tr w:rsidR="00A3021A" w:rsidRPr="00701439" w14:paraId="4DA487AD" w14:textId="77777777" w:rsidTr="0002541E">
        <w:tc>
          <w:tcPr>
            <w:tcW w:w="6938" w:type="dxa"/>
            <w:vAlign w:val="bottom"/>
          </w:tcPr>
          <w:p w14:paraId="589C4992"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Interest income</w:t>
            </w:r>
          </w:p>
        </w:tc>
        <w:tc>
          <w:tcPr>
            <w:tcW w:w="631" w:type="dxa"/>
            <w:vAlign w:val="bottom"/>
          </w:tcPr>
          <w:p w14:paraId="7EBF595A" w14:textId="77777777" w:rsidR="00A3021A" w:rsidRPr="00701439" w:rsidRDefault="00A3021A">
            <w:pPr>
              <w:jc w:val="right"/>
              <w:rPr>
                <w:rFonts w:asciiTheme="minorHAnsi" w:hAnsiTheme="minorHAnsi" w:cs="Arial"/>
                <w:sz w:val="20"/>
                <w:szCs w:val="20"/>
              </w:rPr>
            </w:pPr>
          </w:p>
        </w:tc>
        <w:tc>
          <w:tcPr>
            <w:tcW w:w="1177" w:type="dxa"/>
            <w:tcBorders>
              <w:top w:val="single" w:sz="4" w:space="0" w:color="auto"/>
              <w:left w:val="nil"/>
              <w:right w:val="nil"/>
            </w:tcBorders>
            <w:vAlign w:val="bottom"/>
          </w:tcPr>
          <w:p w14:paraId="0DD3C071"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c>
          <w:tcPr>
            <w:tcW w:w="1177" w:type="dxa"/>
            <w:tcBorders>
              <w:top w:val="single" w:sz="4" w:space="0" w:color="auto"/>
              <w:left w:val="nil"/>
              <w:right w:val="nil"/>
            </w:tcBorders>
            <w:shd w:val="clear" w:color="auto" w:fill="auto"/>
            <w:vAlign w:val="bottom"/>
          </w:tcPr>
          <w:p w14:paraId="0F8A7483"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68.0</w:t>
            </w:r>
          </w:p>
        </w:tc>
      </w:tr>
      <w:tr w:rsidR="00A3021A" w:rsidRPr="00701439" w14:paraId="47FB7CA6" w14:textId="77777777">
        <w:tc>
          <w:tcPr>
            <w:tcW w:w="6938" w:type="dxa"/>
            <w:vAlign w:val="bottom"/>
          </w:tcPr>
          <w:p w14:paraId="3BF5D9A1"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Interest expense</w:t>
            </w:r>
          </w:p>
        </w:tc>
        <w:tc>
          <w:tcPr>
            <w:tcW w:w="631" w:type="dxa"/>
            <w:vAlign w:val="bottom"/>
          </w:tcPr>
          <w:p w14:paraId="61AAD0E6" w14:textId="77777777" w:rsidR="00A3021A" w:rsidRPr="00701439" w:rsidRDefault="00A3021A">
            <w:pPr>
              <w:jc w:val="right"/>
              <w:rPr>
                <w:rFonts w:asciiTheme="minorHAnsi" w:hAnsiTheme="minorHAnsi" w:cs="Arial"/>
                <w:sz w:val="20"/>
                <w:szCs w:val="20"/>
              </w:rPr>
            </w:pPr>
          </w:p>
        </w:tc>
        <w:tc>
          <w:tcPr>
            <w:tcW w:w="1177" w:type="dxa"/>
            <w:tcBorders>
              <w:top w:val="nil"/>
              <w:left w:val="nil"/>
              <w:bottom w:val="single" w:sz="4" w:space="0" w:color="auto"/>
              <w:right w:val="nil"/>
            </w:tcBorders>
            <w:vAlign w:val="bottom"/>
          </w:tcPr>
          <w:p w14:paraId="711CF878"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(6.2)</w:t>
            </w:r>
          </w:p>
        </w:tc>
        <w:tc>
          <w:tcPr>
            <w:tcW w:w="1177" w:type="dxa"/>
            <w:tcBorders>
              <w:top w:val="nil"/>
              <w:left w:val="nil"/>
              <w:bottom w:val="single" w:sz="4" w:space="0" w:color="auto"/>
              <w:right w:val="nil"/>
            </w:tcBorders>
            <w:shd w:val="clear" w:color="auto" w:fill="auto"/>
            <w:vAlign w:val="bottom"/>
          </w:tcPr>
          <w:p w14:paraId="7F750987"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(12.1)</w:t>
            </w:r>
          </w:p>
        </w:tc>
      </w:tr>
      <w:tr w:rsidR="00A3021A" w:rsidRPr="00701439" w14:paraId="50A63F30" w14:textId="77777777">
        <w:tc>
          <w:tcPr>
            <w:tcW w:w="6938" w:type="dxa"/>
            <w:vAlign w:val="bottom"/>
          </w:tcPr>
          <w:p w14:paraId="15E9C8D8" w14:textId="77777777" w:rsidR="00A3021A" w:rsidRPr="00701439" w:rsidRDefault="00A3021A">
            <w:pPr>
              <w:rPr>
                <w:rFonts w:asciiTheme="minorHAnsi" w:hAnsiTheme="minorHAnsi" w:cs="Arial"/>
                <w:b/>
                <w:bCs/>
                <w:sz w:val="20"/>
                <w:szCs w:val="20"/>
              </w:rPr>
            </w:pPr>
            <w:r w:rsidRPr="00701439">
              <w:rPr>
                <w:rFonts w:asciiTheme="minorHAnsi" w:hAnsiTheme="minorHAnsi" w:cs="Arial"/>
                <w:b/>
                <w:bCs/>
                <w:sz w:val="20"/>
                <w:szCs w:val="20"/>
              </w:rPr>
              <w:t>Net interest income</w:t>
            </w:r>
          </w:p>
        </w:tc>
        <w:tc>
          <w:tcPr>
            <w:tcW w:w="631" w:type="dxa"/>
            <w:vAlign w:val="bottom"/>
          </w:tcPr>
          <w:p w14:paraId="44CAC675" w14:textId="77777777" w:rsidR="00A3021A" w:rsidRPr="00701439" w:rsidRDefault="00A3021A">
            <w:pPr>
              <w:jc w:val="right"/>
              <w:rPr>
                <w:rFonts w:asciiTheme="minorHAnsi" w:hAnsiTheme="minorHAnsi" w:cs="Arial"/>
                <w:sz w:val="20"/>
                <w:szCs w:val="20"/>
              </w:rPr>
            </w:pPr>
          </w:p>
        </w:tc>
        <w:tc>
          <w:tcPr>
            <w:tcW w:w="1177" w:type="dxa"/>
            <w:tcBorders>
              <w:top w:val="single" w:sz="4" w:space="0" w:color="auto"/>
              <w:left w:val="nil"/>
              <w:right w:val="nil"/>
            </w:tcBorders>
            <w:vAlign w:val="bottom"/>
          </w:tcPr>
          <w:p w14:paraId="322C54FD"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(6.2)</w:t>
            </w:r>
          </w:p>
        </w:tc>
        <w:tc>
          <w:tcPr>
            <w:tcW w:w="1177" w:type="dxa"/>
            <w:tcBorders>
              <w:top w:val="single" w:sz="4" w:space="0" w:color="auto"/>
              <w:left w:val="nil"/>
              <w:right w:val="nil"/>
            </w:tcBorders>
            <w:shd w:val="clear" w:color="auto" w:fill="auto"/>
            <w:vAlign w:val="bottom"/>
          </w:tcPr>
          <w:p w14:paraId="69C5499F"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55.9</w:t>
            </w:r>
          </w:p>
        </w:tc>
      </w:tr>
      <w:tr w:rsidR="00A3021A" w:rsidRPr="00701439" w14:paraId="1629CDDC" w14:textId="77777777">
        <w:tc>
          <w:tcPr>
            <w:tcW w:w="6938" w:type="dxa"/>
            <w:vAlign w:val="bottom"/>
          </w:tcPr>
          <w:p w14:paraId="14D2F9E5" w14:textId="77777777" w:rsidR="00A3021A" w:rsidRPr="00701439" w:rsidRDefault="00A3021A">
            <w:pPr>
              <w:rPr>
                <w:rFonts w:asciiTheme="minorHAnsi" w:hAnsiTheme="minorHAnsi" w:cs="Arial"/>
                <w:b/>
                <w:bCs/>
                <w:sz w:val="20"/>
                <w:szCs w:val="20"/>
              </w:rPr>
            </w:pPr>
            <w:r w:rsidRPr="00701439">
              <w:rPr>
                <w:rFonts w:asciiTheme="minorHAnsi" w:hAnsiTheme="minorHAnsi" w:cs="Arial"/>
                <w:b/>
                <w:bCs/>
                <w:sz w:val="20"/>
                <w:szCs w:val="20"/>
              </w:rPr>
              <w:t>Total income</w:t>
            </w:r>
          </w:p>
        </w:tc>
        <w:tc>
          <w:tcPr>
            <w:tcW w:w="631" w:type="dxa"/>
            <w:vAlign w:val="bottom"/>
          </w:tcPr>
          <w:p w14:paraId="7CC9776A" w14:textId="77777777" w:rsidR="00A3021A" w:rsidRPr="00701439" w:rsidRDefault="00A3021A">
            <w:pPr>
              <w:jc w:val="right"/>
              <w:rPr>
                <w:rFonts w:asciiTheme="minorHAnsi" w:hAnsiTheme="minorHAnsi" w:cs="Arial"/>
                <w:sz w:val="20"/>
                <w:szCs w:val="20"/>
              </w:rPr>
            </w:pPr>
          </w:p>
        </w:tc>
        <w:tc>
          <w:tcPr>
            <w:tcW w:w="1177" w:type="dxa"/>
            <w:tcBorders>
              <w:top w:val="single" w:sz="4" w:space="0" w:color="auto"/>
              <w:left w:val="nil"/>
              <w:right w:val="nil"/>
            </w:tcBorders>
            <w:vAlign w:val="bottom"/>
          </w:tcPr>
          <w:p w14:paraId="57F72AAC"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(6.2)</w:t>
            </w:r>
          </w:p>
        </w:tc>
        <w:tc>
          <w:tcPr>
            <w:tcW w:w="1177" w:type="dxa"/>
            <w:tcBorders>
              <w:top w:val="single" w:sz="4" w:space="0" w:color="auto"/>
              <w:left w:val="nil"/>
              <w:right w:val="nil"/>
            </w:tcBorders>
            <w:shd w:val="clear" w:color="auto" w:fill="auto"/>
            <w:vAlign w:val="bottom"/>
          </w:tcPr>
          <w:p w14:paraId="402CEA6A"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55.9</w:t>
            </w:r>
          </w:p>
        </w:tc>
      </w:tr>
      <w:tr w:rsidR="00A3021A" w:rsidRPr="00701439" w14:paraId="0DFB82E8" w14:textId="77777777">
        <w:trPr>
          <w:trHeight w:val="195"/>
        </w:trPr>
        <w:tc>
          <w:tcPr>
            <w:tcW w:w="6938" w:type="dxa"/>
            <w:vAlign w:val="bottom"/>
          </w:tcPr>
          <w:p w14:paraId="5CCB333B"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Impairment charges</w:t>
            </w:r>
          </w:p>
        </w:tc>
        <w:tc>
          <w:tcPr>
            <w:tcW w:w="631" w:type="dxa"/>
            <w:vAlign w:val="bottom"/>
          </w:tcPr>
          <w:p w14:paraId="7A79551E" w14:textId="77777777" w:rsidR="00A3021A" w:rsidRPr="00701439" w:rsidRDefault="00A3021A">
            <w:pPr>
              <w:jc w:val="right"/>
              <w:rPr>
                <w:rFonts w:asciiTheme="minorHAnsi" w:hAnsiTheme="minorHAnsi" w:cs="Arial"/>
                <w:sz w:val="20"/>
                <w:szCs w:val="20"/>
              </w:rPr>
            </w:pPr>
          </w:p>
        </w:tc>
        <w:tc>
          <w:tcPr>
            <w:tcW w:w="1177" w:type="dxa"/>
            <w:tcBorders>
              <w:left w:val="nil"/>
              <w:bottom w:val="nil"/>
              <w:right w:val="nil"/>
            </w:tcBorders>
            <w:vAlign w:val="bottom"/>
          </w:tcPr>
          <w:p w14:paraId="1BC35550"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c>
          <w:tcPr>
            <w:tcW w:w="1177" w:type="dxa"/>
            <w:tcBorders>
              <w:left w:val="nil"/>
              <w:bottom w:val="nil"/>
              <w:right w:val="nil"/>
            </w:tcBorders>
            <w:shd w:val="clear" w:color="auto" w:fill="auto"/>
            <w:vAlign w:val="bottom"/>
          </w:tcPr>
          <w:p w14:paraId="2FACA9D1"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(59.6)</w:t>
            </w:r>
          </w:p>
        </w:tc>
      </w:tr>
      <w:tr w:rsidR="00A3021A" w:rsidRPr="00701439" w14:paraId="64E290C4" w14:textId="77777777">
        <w:tc>
          <w:tcPr>
            <w:tcW w:w="6938" w:type="dxa"/>
            <w:vAlign w:val="bottom"/>
          </w:tcPr>
          <w:p w14:paraId="04D9B8CE" w14:textId="77777777" w:rsidR="00A3021A" w:rsidRPr="00701439" w:rsidRDefault="00A3021A">
            <w:pPr>
              <w:rPr>
                <w:rFonts w:asciiTheme="minorHAnsi" w:hAnsiTheme="minorHAnsi" w:cs="Arial"/>
                <w:b/>
                <w:bCs/>
                <w:sz w:val="20"/>
                <w:szCs w:val="20"/>
              </w:rPr>
            </w:pPr>
            <w:r w:rsidRPr="00701439">
              <w:rPr>
                <w:rFonts w:asciiTheme="minorHAnsi" w:hAnsiTheme="minorHAnsi" w:cs="Arial"/>
                <w:b/>
                <w:bCs/>
                <w:sz w:val="20"/>
                <w:szCs w:val="20"/>
              </w:rPr>
              <w:t>Risk-adjusted income</w:t>
            </w:r>
          </w:p>
        </w:tc>
        <w:tc>
          <w:tcPr>
            <w:tcW w:w="631" w:type="dxa"/>
            <w:vAlign w:val="bottom"/>
          </w:tcPr>
          <w:p w14:paraId="2F9364FE" w14:textId="77777777" w:rsidR="00A3021A" w:rsidRPr="00701439" w:rsidRDefault="00A3021A">
            <w:pPr>
              <w:jc w:val="right"/>
              <w:rPr>
                <w:rFonts w:asciiTheme="minorHAnsi" w:hAnsiTheme="minorHAnsi" w:cs="Arial"/>
                <w:sz w:val="20"/>
                <w:szCs w:val="20"/>
              </w:rPr>
            </w:pPr>
          </w:p>
        </w:tc>
        <w:tc>
          <w:tcPr>
            <w:tcW w:w="1177" w:type="dxa"/>
            <w:tcBorders>
              <w:top w:val="single" w:sz="4" w:space="0" w:color="auto"/>
            </w:tcBorders>
            <w:vAlign w:val="bottom"/>
          </w:tcPr>
          <w:p w14:paraId="449639EB"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(6.2)</w:t>
            </w:r>
          </w:p>
        </w:tc>
        <w:tc>
          <w:tcPr>
            <w:tcW w:w="1177" w:type="dxa"/>
            <w:tcBorders>
              <w:top w:val="single" w:sz="4" w:space="0" w:color="auto"/>
            </w:tcBorders>
            <w:shd w:val="clear" w:color="auto" w:fill="auto"/>
            <w:vAlign w:val="bottom"/>
          </w:tcPr>
          <w:p w14:paraId="5238B773"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(3.7)</w:t>
            </w:r>
          </w:p>
        </w:tc>
      </w:tr>
      <w:tr w:rsidR="00A3021A" w:rsidRPr="00701439" w14:paraId="1F80652B" w14:textId="77777777">
        <w:tc>
          <w:tcPr>
            <w:tcW w:w="6938" w:type="dxa"/>
            <w:vAlign w:val="bottom"/>
          </w:tcPr>
          <w:p w14:paraId="62D88ECF"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Operating costs:</w:t>
            </w:r>
          </w:p>
        </w:tc>
        <w:tc>
          <w:tcPr>
            <w:tcW w:w="631" w:type="dxa"/>
            <w:vAlign w:val="bottom"/>
          </w:tcPr>
          <w:p w14:paraId="28EB92B6" w14:textId="77777777" w:rsidR="00A3021A" w:rsidRPr="00701439" w:rsidRDefault="00A3021A">
            <w:pPr>
              <w:jc w:val="right"/>
              <w:rPr>
                <w:rFonts w:asciiTheme="minorHAnsi" w:hAnsiTheme="minorHAnsi" w:cs="Arial"/>
                <w:sz w:val="20"/>
                <w:szCs w:val="20"/>
              </w:rPr>
            </w:pPr>
          </w:p>
        </w:tc>
        <w:tc>
          <w:tcPr>
            <w:tcW w:w="1177" w:type="dxa"/>
            <w:tcBorders>
              <w:top w:val="nil"/>
              <w:left w:val="nil"/>
              <w:right w:val="nil"/>
            </w:tcBorders>
            <w:vAlign w:val="bottom"/>
          </w:tcPr>
          <w:p w14:paraId="70681F17" w14:textId="77777777" w:rsidR="00A3021A" w:rsidRPr="00701439" w:rsidRDefault="00A3021A">
            <w:pPr>
              <w:jc w:val="right"/>
              <w:rPr>
                <w:rFonts w:asciiTheme="minorHAnsi" w:hAnsiTheme="minorHAnsi" w:cs="Arial"/>
                <w:sz w:val="20"/>
                <w:szCs w:val="20"/>
              </w:rPr>
            </w:pPr>
          </w:p>
        </w:tc>
        <w:tc>
          <w:tcPr>
            <w:tcW w:w="1177" w:type="dxa"/>
            <w:tcBorders>
              <w:top w:val="nil"/>
              <w:left w:val="nil"/>
              <w:right w:val="nil"/>
            </w:tcBorders>
            <w:shd w:val="clear" w:color="auto" w:fill="auto"/>
            <w:vAlign w:val="bottom"/>
          </w:tcPr>
          <w:p w14:paraId="657DA06D" w14:textId="77777777" w:rsidR="00A3021A" w:rsidRPr="00701439" w:rsidRDefault="00A3021A">
            <w:pPr>
              <w:jc w:val="right"/>
              <w:rPr>
                <w:rFonts w:asciiTheme="minorHAnsi" w:hAnsiTheme="minorHAnsi" w:cs="Arial"/>
                <w:sz w:val="20"/>
                <w:szCs w:val="20"/>
              </w:rPr>
            </w:pPr>
          </w:p>
        </w:tc>
      </w:tr>
      <w:tr w:rsidR="00A3021A" w:rsidRPr="00701439" w14:paraId="33738A90" w14:textId="77777777">
        <w:tc>
          <w:tcPr>
            <w:tcW w:w="6938" w:type="dxa"/>
            <w:vAlign w:val="bottom"/>
          </w:tcPr>
          <w:p w14:paraId="1BB5E7DB"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 other</w:t>
            </w:r>
          </w:p>
        </w:tc>
        <w:tc>
          <w:tcPr>
            <w:tcW w:w="631" w:type="dxa"/>
            <w:vAlign w:val="bottom"/>
          </w:tcPr>
          <w:p w14:paraId="2C8C901B" w14:textId="77777777" w:rsidR="00A3021A" w:rsidRPr="00701439" w:rsidRDefault="00A3021A">
            <w:pPr>
              <w:jc w:val="right"/>
              <w:rPr>
                <w:rFonts w:asciiTheme="minorHAnsi" w:hAnsiTheme="minorHAnsi" w:cs="Arial"/>
                <w:sz w:val="20"/>
                <w:szCs w:val="20"/>
              </w:rPr>
            </w:pPr>
          </w:p>
        </w:tc>
        <w:tc>
          <w:tcPr>
            <w:tcW w:w="1177" w:type="dxa"/>
            <w:tcBorders>
              <w:top w:val="nil"/>
              <w:left w:val="nil"/>
              <w:right w:val="nil"/>
            </w:tcBorders>
            <w:vAlign w:val="bottom"/>
          </w:tcPr>
          <w:p w14:paraId="27812397"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(9.1)</w:t>
            </w:r>
          </w:p>
        </w:tc>
        <w:tc>
          <w:tcPr>
            <w:tcW w:w="1177" w:type="dxa"/>
            <w:tcBorders>
              <w:top w:val="nil"/>
              <w:left w:val="nil"/>
              <w:right w:val="nil"/>
            </w:tcBorders>
            <w:shd w:val="clear" w:color="auto" w:fill="auto"/>
            <w:vAlign w:val="bottom"/>
          </w:tcPr>
          <w:p w14:paraId="203F3225"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(91.8)</w:t>
            </w:r>
          </w:p>
        </w:tc>
      </w:tr>
      <w:tr w:rsidR="00A3021A" w:rsidRPr="00701439" w14:paraId="12E2D757" w14:textId="77777777">
        <w:tc>
          <w:tcPr>
            <w:tcW w:w="6938" w:type="dxa"/>
            <w:vAlign w:val="bottom"/>
          </w:tcPr>
          <w:p w14:paraId="729776F9"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 exceptional items</w:t>
            </w:r>
          </w:p>
        </w:tc>
        <w:tc>
          <w:tcPr>
            <w:tcW w:w="631" w:type="dxa"/>
            <w:vAlign w:val="bottom"/>
          </w:tcPr>
          <w:p w14:paraId="37BC254B" w14:textId="77777777" w:rsidR="00A3021A" w:rsidRPr="00701439" w:rsidRDefault="00A3021A">
            <w:pPr>
              <w:jc w:val="right"/>
              <w:rPr>
                <w:rFonts w:asciiTheme="minorHAnsi" w:hAnsiTheme="minorHAnsi" w:cs="Arial"/>
                <w:sz w:val="20"/>
                <w:szCs w:val="20"/>
              </w:rPr>
            </w:pPr>
          </w:p>
        </w:tc>
        <w:tc>
          <w:tcPr>
            <w:tcW w:w="1177" w:type="dxa"/>
            <w:tcBorders>
              <w:top w:val="nil"/>
              <w:left w:val="nil"/>
              <w:bottom w:val="single" w:sz="4" w:space="0" w:color="auto"/>
              <w:right w:val="nil"/>
            </w:tcBorders>
            <w:vAlign w:val="bottom"/>
          </w:tcPr>
          <w:p w14:paraId="47EF8B62"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4.6</w:t>
            </w:r>
          </w:p>
        </w:tc>
        <w:tc>
          <w:tcPr>
            <w:tcW w:w="1177" w:type="dxa"/>
            <w:tcBorders>
              <w:top w:val="nil"/>
              <w:left w:val="nil"/>
              <w:bottom w:val="single" w:sz="4" w:space="0" w:color="auto"/>
              <w:right w:val="nil"/>
            </w:tcBorders>
            <w:shd w:val="clear" w:color="auto" w:fill="auto"/>
            <w:vAlign w:val="bottom"/>
          </w:tcPr>
          <w:p w14:paraId="4BC2FFF9"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(42.6)</w:t>
            </w:r>
          </w:p>
        </w:tc>
      </w:tr>
      <w:tr w:rsidR="00A3021A" w:rsidRPr="00701439" w14:paraId="234C9992" w14:textId="77777777">
        <w:tc>
          <w:tcPr>
            <w:tcW w:w="6938" w:type="dxa"/>
            <w:vAlign w:val="bottom"/>
          </w:tcPr>
          <w:p w14:paraId="236BDCF4" w14:textId="77777777" w:rsidR="00A3021A" w:rsidRPr="00701439" w:rsidRDefault="00A3021A">
            <w:pPr>
              <w:rPr>
                <w:rFonts w:asciiTheme="minorHAnsi" w:hAnsiTheme="minorHAnsi" w:cs="Arial"/>
                <w:b/>
                <w:bCs/>
                <w:sz w:val="20"/>
                <w:szCs w:val="20"/>
              </w:rPr>
            </w:pPr>
            <w:r w:rsidRPr="00701439">
              <w:rPr>
                <w:rFonts w:asciiTheme="minorHAnsi" w:hAnsiTheme="minorHAnsi" w:cs="Arial"/>
                <w:b/>
                <w:bCs/>
                <w:sz w:val="20"/>
                <w:szCs w:val="20"/>
              </w:rPr>
              <w:t>Loss before taxation</w:t>
            </w:r>
          </w:p>
        </w:tc>
        <w:tc>
          <w:tcPr>
            <w:tcW w:w="631" w:type="dxa"/>
            <w:vAlign w:val="bottom"/>
          </w:tcPr>
          <w:p w14:paraId="7C0846E4" w14:textId="77777777" w:rsidR="00A3021A" w:rsidRPr="00701439" w:rsidRDefault="00A3021A">
            <w:pPr>
              <w:jc w:val="right"/>
              <w:rPr>
                <w:rFonts w:asciiTheme="minorHAnsi" w:hAnsiTheme="minorHAnsi" w:cs="Arial"/>
                <w:sz w:val="20"/>
                <w:szCs w:val="20"/>
              </w:rPr>
            </w:pPr>
          </w:p>
        </w:tc>
        <w:tc>
          <w:tcPr>
            <w:tcW w:w="1177" w:type="dxa"/>
            <w:tcBorders>
              <w:top w:val="single" w:sz="4" w:space="0" w:color="auto"/>
              <w:left w:val="nil"/>
              <w:right w:val="nil"/>
            </w:tcBorders>
            <w:vAlign w:val="bottom"/>
          </w:tcPr>
          <w:p w14:paraId="64949941"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(10.7)</w:t>
            </w:r>
          </w:p>
        </w:tc>
        <w:tc>
          <w:tcPr>
            <w:tcW w:w="1177" w:type="dxa"/>
            <w:tcBorders>
              <w:top w:val="single" w:sz="4" w:space="0" w:color="auto"/>
              <w:left w:val="nil"/>
              <w:right w:val="nil"/>
            </w:tcBorders>
            <w:shd w:val="clear" w:color="auto" w:fill="auto"/>
            <w:vAlign w:val="bottom"/>
          </w:tcPr>
          <w:p w14:paraId="33C83957"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(138.1)</w:t>
            </w:r>
          </w:p>
        </w:tc>
      </w:tr>
      <w:tr w:rsidR="00A3021A" w:rsidRPr="00701439" w14:paraId="18B2BA25" w14:textId="77777777">
        <w:tc>
          <w:tcPr>
            <w:tcW w:w="6938" w:type="dxa"/>
            <w:vAlign w:val="bottom"/>
          </w:tcPr>
          <w:p w14:paraId="4CAC3D25"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Tax credit/(charge)</w:t>
            </w:r>
          </w:p>
        </w:tc>
        <w:tc>
          <w:tcPr>
            <w:tcW w:w="631" w:type="dxa"/>
            <w:vAlign w:val="bottom"/>
          </w:tcPr>
          <w:p w14:paraId="06B29CBF" w14:textId="77777777" w:rsidR="00A3021A" w:rsidRPr="00701439" w:rsidRDefault="00A3021A">
            <w:pPr>
              <w:jc w:val="right"/>
              <w:rPr>
                <w:rFonts w:asciiTheme="minorHAnsi" w:hAnsiTheme="minorHAnsi" w:cs="Arial"/>
                <w:sz w:val="20"/>
                <w:szCs w:val="20"/>
              </w:rPr>
            </w:pPr>
          </w:p>
        </w:tc>
        <w:tc>
          <w:tcPr>
            <w:tcW w:w="1177" w:type="dxa"/>
            <w:tcBorders>
              <w:left w:val="nil"/>
              <w:bottom w:val="single" w:sz="4" w:space="0" w:color="auto"/>
              <w:right w:val="nil"/>
            </w:tcBorders>
            <w:vAlign w:val="bottom"/>
          </w:tcPr>
          <w:p w14:paraId="0D33F8DF"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5.8</w:t>
            </w:r>
          </w:p>
        </w:tc>
        <w:tc>
          <w:tcPr>
            <w:tcW w:w="1177" w:type="dxa"/>
            <w:tcBorders>
              <w:left w:val="nil"/>
              <w:bottom w:val="single" w:sz="4" w:space="0" w:color="auto"/>
              <w:right w:val="nil"/>
            </w:tcBorders>
            <w:vAlign w:val="bottom"/>
          </w:tcPr>
          <w:p w14:paraId="1DDF404E"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(28.6)</w:t>
            </w:r>
          </w:p>
        </w:tc>
      </w:tr>
      <w:tr w:rsidR="00A3021A" w:rsidRPr="00701439" w14:paraId="59743EC3" w14:textId="77777777">
        <w:tc>
          <w:tcPr>
            <w:tcW w:w="6938" w:type="dxa"/>
            <w:vAlign w:val="bottom"/>
          </w:tcPr>
          <w:p w14:paraId="1B9BCDB3" w14:textId="77777777" w:rsidR="00A3021A" w:rsidRPr="00701439" w:rsidRDefault="00A3021A">
            <w:pPr>
              <w:rPr>
                <w:rFonts w:asciiTheme="minorHAnsi" w:hAnsiTheme="minorHAnsi" w:cs="Arial"/>
                <w:b/>
                <w:bCs/>
                <w:sz w:val="20"/>
                <w:szCs w:val="20"/>
                <w:lang w:val="en-US"/>
              </w:rPr>
            </w:pPr>
            <w:r w:rsidRPr="00701439">
              <w:rPr>
                <w:rFonts w:asciiTheme="minorHAnsi" w:hAnsiTheme="minorHAnsi" w:cs="Arial"/>
                <w:b/>
                <w:bCs/>
                <w:sz w:val="20"/>
                <w:szCs w:val="20"/>
                <w:lang w:val="en-US"/>
              </w:rPr>
              <w:t>Loss from discontinued operations</w:t>
            </w:r>
          </w:p>
        </w:tc>
        <w:tc>
          <w:tcPr>
            <w:tcW w:w="631" w:type="dxa"/>
            <w:vAlign w:val="bottom"/>
          </w:tcPr>
          <w:p w14:paraId="432EFE9B" w14:textId="77777777" w:rsidR="00A3021A" w:rsidRPr="00701439" w:rsidRDefault="00A3021A">
            <w:pPr>
              <w:jc w:val="right"/>
              <w:rPr>
                <w:rFonts w:asciiTheme="minorHAnsi" w:hAnsiTheme="minorHAnsi" w:cs="Arial"/>
                <w:sz w:val="20"/>
                <w:szCs w:val="20"/>
                <w:lang w:val="en-US"/>
              </w:rPr>
            </w:pPr>
          </w:p>
        </w:tc>
        <w:tc>
          <w:tcPr>
            <w:tcW w:w="1177" w:type="dxa"/>
            <w:tcBorders>
              <w:top w:val="single" w:sz="4" w:space="0" w:color="auto"/>
              <w:left w:val="nil"/>
              <w:bottom w:val="single" w:sz="12" w:space="0" w:color="auto"/>
              <w:right w:val="nil"/>
            </w:tcBorders>
            <w:vAlign w:val="bottom"/>
          </w:tcPr>
          <w:p w14:paraId="7CEA4B15" w14:textId="77777777" w:rsidR="00A3021A" w:rsidRPr="00701439" w:rsidRDefault="00A3021A">
            <w:pPr>
              <w:jc w:val="right"/>
              <w:rPr>
                <w:rFonts w:asciiTheme="minorHAnsi" w:hAnsiTheme="minorHAnsi" w:cs="Arial"/>
                <w:sz w:val="20"/>
                <w:szCs w:val="20"/>
                <w:lang w:val="en-US"/>
              </w:rPr>
            </w:pPr>
            <w:r w:rsidRPr="00701439">
              <w:rPr>
                <w:rFonts w:asciiTheme="minorHAnsi" w:hAnsiTheme="minorHAnsi" w:cs="Arial"/>
                <w:sz w:val="20"/>
                <w:szCs w:val="20"/>
                <w:lang w:val="en-US"/>
              </w:rPr>
              <w:t>(4.9)</w:t>
            </w:r>
          </w:p>
        </w:tc>
        <w:tc>
          <w:tcPr>
            <w:tcW w:w="1177" w:type="dxa"/>
            <w:tcBorders>
              <w:top w:val="single" w:sz="4" w:space="0" w:color="auto"/>
              <w:left w:val="nil"/>
              <w:bottom w:val="single" w:sz="12" w:space="0" w:color="auto"/>
              <w:right w:val="nil"/>
            </w:tcBorders>
            <w:vAlign w:val="bottom"/>
          </w:tcPr>
          <w:p w14:paraId="434F6F79" w14:textId="77777777" w:rsidR="00A3021A" w:rsidRPr="00701439" w:rsidRDefault="00A3021A">
            <w:pPr>
              <w:jc w:val="right"/>
              <w:rPr>
                <w:rFonts w:asciiTheme="minorHAnsi" w:hAnsiTheme="minorHAnsi" w:cs="Arial"/>
                <w:sz w:val="20"/>
                <w:szCs w:val="20"/>
                <w:lang w:val="en-US"/>
              </w:rPr>
            </w:pPr>
            <w:r w:rsidRPr="00701439">
              <w:rPr>
                <w:rFonts w:asciiTheme="minorHAnsi" w:hAnsiTheme="minorHAnsi" w:cs="Arial"/>
                <w:sz w:val="20"/>
                <w:szCs w:val="20"/>
                <w:lang w:val="en-US"/>
              </w:rPr>
              <w:t>(166.7)</w:t>
            </w:r>
          </w:p>
        </w:tc>
      </w:tr>
      <w:tr w:rsidR="00A3021A" w:rsidRPr="00701439" w14:paraId="6D12C9E2" w14:textId="77777777">
        <w:tc>
          <w:tcPr>
            <w:tcW w:w="6938" w:type="dxa"/>
            <w:vAlign w:val="bottom"/>
          </w:tcPr>
          <w:p w14:paraId="5B989575" w14:textId="77777777" w:rsidR="00A3021A" w:rsidRPr="00701439" w:rsidRDefault="00A3021A">
            <w:pPr>
              <w:rPr>
                <w:rFonts w:asciiTheme="minorHAnsi" w:hAnsiTheme="minorHAnsi" w:cs="Arial"/>
                <w:b/>
                <w:bCs/>
                <w:sz w:val="20"/>
                <w:szCs w:val="20"/>
                <w:lang w:val="en-US"/>
              </w:rPr>
            </w:pPr>
            <w:r w:rsidRPr="00701439">
              <w:rPr>
                <w:rFonts w:asciiTheme="minorHAnsi" w:hAnsiTheme="minorHAnsi" w:cs="Arial"/>
                <w:b/>
                <w:bCs/>
                <w:sz w:val="20"/>
                <w:szCs w:val="20"/>
                <w:lang w:val="en-US"/>
              </w:rPr>
              <w:t>Basic loss per share (p)</w:t>
            </w:r>
          </w:p>
        </w:tc>
        <w:tc>
          <w:tcPr>
            <w:tcW w:w="631" w:type="dxa"/>
            <w:vAlign w:val="bottom"/>
          </w:tcPr>
          <w:p w14:paraId="07AA8273" w14:textId="77777777" w:rsidR="00A3021A" w:rsidRPr="00701439" w:rsidRDefault="00A3021A">
            <w:pPr>
              <w:jc w:val="right"/>
              <w:rPr>
                <w:rFonts w:asciiTheme="minorHAnsi" w:hAnsiTheme="minorHAnsi" w:cs="Arial"/>
                <w:sz w:val="20"/>
                <w:szCs w:val="20"/>
                <w:lang w:val="en-US"/>
              </w:rPr>
            </w:pPr>
          </w:p>
        </w:tc>
        <w:tc>
          <w:tcPr>
            <w:tcW w:w="1177" w:type="dxa"/>
            <w:tcBorders>
              <w:top w:val="single" w:sz="12" w:space="0" w:color="auto"/>
              <w:left w:val="nil"/>
              <w:bottom w:val="single" w:sz="12" w:space="0" w:color="auto"/>
              <w:right w:val="nil"/>
            </w:tcBorders>
            <w:vAlign w:val="bottom"/>
          </w:tcPr>
          <w:p w14:paraId="335B1A32" w14:textId="77777777" w:rsidR="00A3021A" w:rsidRPr="00701439" w:rsidRDefault="00A3021A">
            <w:pPr>
              <w:jc w:val="right"/>
              <w:rPr>
                <w:rFonts w:asciiTheme="minorHAnsi" w:hAnsiTheme="minorHAnsi" w:cs="Arial"/>
                <w:sz w:val="20"/>
                <w:szCs w:val="20"/>
                <w:lang w:val="en-US"/>
              </w:rPr>
            </w:pPr>
            <w:r w:rsidRPr="00701439">
              <w:rPr>
                <w:rFonts w:asciiTheme="minorHAnsi" w:hAnsiTheme="minorHAnsi" w:cs="Arial"/>
                <w:sz w:val="20"/>
                <w:szCs w:val="20"/>
                <w:lang w:val="en-US"/>
              </w:rPr>
              <w:t>(2.0)</w:t>
            </w:r>
          </w:p>
        </w:tc>
        <w:tc>
          <w:tcPr>
            <w:tcW w:w="1177" w:type="dxa"/>
            <w:tcBorders>
              <w:top w:val="single" w:sz="12" w:space="0" w:color="auto"/>
              <w:left w:val="nil"/>
              <w:bottom w:val="single" w:sz="12" w:space="0" w:color="auto"/>
              <w:right w:val="nil"/>
            </w:tcBorders>
            <w:vAlign w:val="bottom"/>
          </w:tcPr>
          <w:p w14:paraId="4908AE48" w14:textId="77777777" w:rsidR="00A3021A" w:rsidRPr="00701439" w:rsidRDefault="00A3021A">
            <w:pPr>
              <w:jc w:val="right"/>
              <w:rPr>
                <w:rFonts w:asciiTheme="minorHAnsi" w:hAnsiTheme="minorHAnsi" w:cs="Arial"/>
                <w:sz w:val="20"/>
                <w:szCs w:val="20"/>
                <w:lang w:val="en-US"/>
              </w:rPr>
            </w:pPr>
            <w:r w:rsidRPr="00701439">
              <w:rPr>
                <w:rFonts w:asciiTheme="minorHAnsi" w:hAnsiTheme="minorHAnsi" w:cs="Arial"/>
                <w:sz w:val="20"/>
                <w:szCs w:val="20"/>
                <w:lang w:val="en-US"/>
              </w:rPr>
              <w:t>(66.5)</w:t>
            </w:r>
          </w:p>
        </w:tc>
      </w:tr>
      <w:tr w:rsidR="00A3021A" w:rsidRPr="00701439" w14:paraId="4FA32965" w14:textId="77777777">
        <w:tc>
          <w:tcPr>
            <w:tcW w:w="6938" w:type="dxa"/>
            <w:vAlign w:val="bottom"/>
          </w:tcPr>
          <w:p w14:paraId="04D7D91E" w14:textId="77777777" w:rsidR="00A3021A" w:rsidRPr="00701439" w:rsidRDefault="00A3021A">
            <w:pPr>
              <w:rPr>
                <w:rFonts w:asciiTheme="minorHAnsi" w:hAnsiTheme="minorHAnsi" w:cs="Arial"/>
                <w:b/>
                <w:bCs/>
                <w:sz w:val="20"/>
                <w:szCs w:val="20"/>
                <w:lang w:val="en-US"/>
              </w:rPr>
            </w:pPr>
            <w:r w:rsidRPr="00701439">
              <w:rPr>
                <w:rFonts w:asciiTheme="minorHAnsi" w:hAnsiTheme="minorHAnsi" w:cs="Arial"/>
                <w:b/>
                <w:bCs/>
                <w:sz w:val="20"/>
                <w:szCs w:val="20"/>
                <w:lang w:val="en-US"/>
              </w:rPr>
              <w:t>Diluted loss per share (p)</w:t>
            </w:r>
          </w:p>
        </w:tc>
        <w:tc>
          <w:tcPr>
            <w:tcW w:w="631" w:type="dxa"/>
            <w:vAlign w:val="bottom"/>
          </w:tcPr>
          <w:p w14:paraId="67B10AAB" w14:textId="77777777" w:rsidR="00A3021A" w:rsidRPr="00701439" w:rsidRDefault="00A3021A">
            <w:pPr>
              <w:jc w:val="right"/>
              <w:rPr>
                <w:rFonts w:asciiTheme="minorHAnsi" w:hAnsiTheme="minorHAnsi" w:cs="Arial"/>
                <w:sz w:val="20"/>
                <w:szCs w:val="20"/>
                <w:lang w:val="en-US"/>
              </w:rPr>
            </w:pPr>
          </w:p>
        </w:tc>
        <w:tc>
          <w:tcPr>
            <w:tcW w:w="1177" w:type="dxa"/>
            <w:tcBorders>
              <w:top w:val="single" w:sz="12" w:space="0" w:color="auto"/>
              <w:left w:val="nil"/>
              <w:bottom w:val="single" w:sz="12" w:space="0" w:color="auto"/>
              <w:right w:val="nil"/>
            </w:tcBorders>
            <w:vAlign w:val="bottom"/>
          </w:tcPr>
          <w:p w14:paraId="0DF339DC" w14:textId="45416AEA" w:rsidR="00A3021A" w:rsidRPr="00701439" w:rsidRDefault="00A3021A">
            <w:pPr>
              <w:jc w:val="right"/>
              <w:rPr>
                <w:rFonts w:asciiTheme="minorHAnsi" w:hAnsiTheme="minorHAnsi" w:cs="Arial"/>
                <w:sz w:val="20"/>
                <w:szCs w:val="20"/>
                <w:lang w:val="en-US"/>
              </w:rPr>
            </w:pPr>
            <w:r w:rsidRPr="00701439">
              <w:rPr>
                <w:rFonts w:asciiTheme="minorHAnsi" w:hAnsiTheme="minorHAnsi" w:cs="Arial"/>
                <w:sz w:val="20"/>
                <w:szCs w:val="20"/>
                <w:lang w:val="en-US"/>
              </w:rPr>
              <w:t>(</w:t>
            </w:r>
            <w:r w:rsidR="00445FEB" w:rsidRPr="00701439">
              <w:rPr>
                <w:rFonts w:asciiTheme="minorHAnsi" w:hAnsiTheme="minorHAnsi" w:cs="Arial"/>
                <w:sz w:val="20"/>
                <w:szCs w:val="20"/>
                <w:lang w:val="en-US"/>
              </w:rPr>
              <w:t>2.0</w:t>
            </w:r>
            <w:r w:rsidRPr="00701439">
              <w:rPr>
                <w:rFonts w:asciiTheme="minorHAnsi" w:hAnsiTheme="minorHAnsi" w:cs="Arial"/>
                <w:sz w:val="20"/>
                <w:szCs w:val="20"/>
                <w:lang w:val="en-US"/>
              </w:rPr>
              <w:t>)</w:t>
            </w:r>
          </w:p>
        </w:tc>
        <w:tc>
          <w:tcPr>
            <w:tcW w:w="1177" w:type="dxa"/>
            <w:tcBorders>
              <w:top w:val="single" w:sz="12" w:space="0" w:color="auto"/>
              <w:left w:val="nil"/>
              <w:bottom w:val="single" w:sz="12" w:space="0" w:color="auto"/>
              <w:right w:val="nil"/>
            </w:tcBorders>
            <w:vAlign w:val="bottom"/>
          </w:tcPr>
          <w:p w14:paraId="46FF6A70" w14:textId="77777777" w:rsidR="00A3021A" w:rsidRPr="00701439" w:rsidRDefault="00A3021A">
            <w:pPr>
              <w:jc w:val="right"/>
              <w:rPr>
                <w:rFonts w:asciiTheme="minorHAnsi" w:hAnsiTheme="minorHAnsi" w:cs="Arial"/>
                <w:sz w:val="20"/>
                <w:szCs w:val="20"/>
                <w:lang w:val="en-US"/>
              </w:rPr>
            </w:pPr>
            <w:r w:rsidRPr="00701439">
              <w:rPr>
                <w:rFonts w:asciiTheme="minorHAnsi" w:hAnsiTheme="minorHAnsi" w:cs="Arial"/>
                <w:sz w:val="20"/>
                <w:szCs w:val="20"/>
                <w:lang w:val="en-US"/>
              </w:rPr>
              <w:t>(66.5)</w:t>
            </w:r>
          </w:p>
        </w:tc>
      </w:tr>
    </w:tbl>
    <w:p w14:paraId="4177F84F" w14:textId="77777777" w:rsidR="00A3021A" w:rsidRPr="00701439" w:rsidRDefault="00A3021A" w:rsidP="00A3021A">
      <w:pPr>
        <w:jc w:val="both"/>
        <w:rPr>
          <w:rStyle w:val="bodycopynumber"/>
          <w:rFonts w:asciiTheme="minorHAnsi" w:hAnsiTheme="minorHAnsi" w:cs="Arial"/>
          <w:b/>
          <w:bCs/>
          <w:sz w:val="20"/>
          <w:szCs w:val="20"/>
        </w:rPr>
      </w:pPr>
    </w:p>
    <w:p w14:paraId="327DC8C4" w14:textId="77777777" w:rsidR="00A3021A" w:rsidRPr="00701439" w:rsidRDefault="00A3021A" w:rsidP="00A3021A">
      <w:pPr>
        <w:jc w:val="both"/>
        <w:rPr>
          <w:rStyle w:val="bodycopynumber"/>
          <w:rFonts w:asciiTheme="minorHAnsi" w:hAnsiTheme="minorHAnsi" w:cs="Arial"/>
          <w:b/>
          <w:bCs/>
          <w:sz w:val="20"/>
          <w:szCs w:val="20"/>
        </w:rPr>
      </w:pPr>
    </w:p>
    <w:p w14:paraId="1E8BC76B" w14:textId="77777777" w:rsidR="00A3021A" w:rsidRPr="00701439" w:rsidRDefault="00A3021A" w:rsidP="00A3021A">
      <w:pPr>
        <w:jc w:val="both"/>
        <w:rPr>
          <w:rStyle w:val="bodycopynumber"/>
          <w:rFonts w:asciiTheme="minorHAnsi" w:hAnsiTheme="minorHAnsi" w:cs="Arial"/>
          <w:b/>
          <w:bCs/>
          <w:sz w:val="20"/>
          <w:szCs w:val="20"/>
        </w:rPr>
      </w:pPr>
    </w:p>
    <w:p w14:paraId="736E20E5" w14:textId="77777777" w:rsidR="00A3021A" w:rsidRPr="00701439" w:rsidRDefault="00A3021A" w:rsidP="00A3021A">
      <w:pPr>
        <w:jc w:val="both"/>
        <w:rPr>
          <w:rStyle w:val="bodycopynumber"/>
          <w:rFonts w:asciiTheme="minorHAnsi" w:hAnsiTheme="minorHAnsi" w:cs="Arial"/>
          <w:b/>
          <w:bCs/>
          <w:sz w:val="20"/>
          <w:szCs w:val="20"/>
        </w:rPr>
      </w:pPr>
    </w:p>
    <w:p w14:paraId="62F0E6E7" w14:textId="77777777" w:rsidR="00A3021A" w:rsidRPr="00701439" w:rsidRDefault="00A3021A" w:rsidP="00A3021A">
      <w:pPr>
        <w:jc w:val="both"/>
        <w:rPr>
          <w:rStyle w:val="bodycopynumber"/>
          <w:rFonts w:asciiTheme="minorHAnsi" w:hAnsiTheme="minorHAnsi" w:cs="Arial"/>
          <w:b/>
          <w:bCs/>
          <w:sz w:val="20"/>
          <w:szCs w:val="20"/>
        </w:rPr>
      </w:pPr>
    </w:p>
    <w:p w14:paraId="4ED7138B" w14:textId="77777777" w:rsidR="00A3021A" w:rsidRPr="00701439" w:rsidRDefault="00A3021A" w:rsidP="00A3021A">
      <w:pPr>
        <w:jc w:val="both"/>
        <w:rPr>
          <w:rStyle w:val="bodycopynumber"/>
          <w:rFonts w:asciiTheme="minorHAnsi" w:hAnsiTheme="minorHAnsi" w:cs="Arial"/>
          <w:b/>
          <w:bCs/>
          <w:sz w:val="20"/>
          <w:szCs w:val="20"/>
        </w:rPr>
      </w:pPr>
    </w:p>
    <w:p w14:paraId="2C159D5B" w14:textId="77777777" w:rsidR="00A3021A" w:rsidRPr="00701439" w:rsidRDefault="00A3021A" w:rsidP="00A3021A">
      <w:pPr>
        <w:jc w:val="both"/>
        <w:rPr>
          <w:rStyle w:val="bodycopynumber"/>
          <w:rFonts w:asciiTheme="minorHAnsi" w:hAnsiTheme="minorHAnsi" w:cs="Arial"/>
          <w:b/>
          <w:bCs/>
          <w:sz w:val="20"/>
          <w:szCs w:val="20"/>
        </w:rPr>
      </w:pPr>
    </w:p>
    <w:p w14:paraId="54426813" w14:textId="77777777" w:rsidR="00A3021A" w:rsidRPr="00701439" w:rsidRDefault="00A3021A" w:rsidP="00A3021A">
      <w:pPr>
        <w:jc w:val="both"/>
        <w:rPr>
          <w:rStyle w:val="bodycopynumber"/>
          <w:rFonts w:asciiTheme="minorHAnsi" w:hAnsiTheme="minorHAnsi" w:cs="Arial"/>
          <w:b/>
          <w:bCs/>
          <w:sz w:val="20"/>
          <w:szCs w:val="20"/>
        </w:rPr>
      </w:pPr>
    </w:p>
    <w:p w14:paraId="129F8DB4" w14:textId="77777777" w:rsidR="00A3021A" w:rsidRPr="00701439" w:rsidRDefault="00A3021A" w:rsidP="00A3021A">
      <w:pPr>
        <w:jc w:val="both"/>
        <w:rPr>
          <w:rStyle w:val="bodycopynumber"/>
          <w:rFonts w:asciiTheme="minorHAnsi" w:hAnsiTheme="minorHAnsi" w:cs="Arial"/>
          <w:b/>
          <w:bCs/>
          <w:sz w:val="20"/>
          <w:szCs w:val="20"/>
        </w:rPr>
      </w:pPr>
    </w:p>
    <w:p w14:paraId="0E0BDBFB" w14:textId="77777777" w:rsidR="00A3021A" w:rsidRPr="00701439" w:rsidRDefault="00A3021A" w:rsidP="00A3021A">
      <w:pPr>
        <w:jc w:val="both"/>
        <w:rPr>
          <w:rStyle w:val="bodycopynumber"/>
          <w:rFonts w:asciiTheme="minorHAnsi" w:hAnsiTheme="minorHAnsi" w:cs="Arial"/>
          <w:b/>
          <w:bCs/>
          <w:sz w:val="20"/>
          <w:szCs w:val="20"/>
        </w:rPr>
      </w:pPr>
    </w:p>
    <w:p w14:paraId="7802D863" w14:textId="77777777" w:rsidR="00A3021A" w:rsidRPr="00701439" w:rsidRDefault="00A3021A" w:rsidP="00A3021A">
      <w:pPr>
        <w:jc w:val="both"/>
        <w:rPr>
          <w:rStyle w:val="bodycopynumber"/>
          <w:rFonts w:asciiTheme="minorHAnsi" w:hAnsiTheme="minorHAnsi" w:cs="Arial"/>
          <w:b/>
          <w:bCs/>
          <w:sz w:val="20"/>
          <w:szCs w:val="20"/>
        </w:rPr>
      </w:pPr>
    </w:p>
    <w:p w14:paraId="2034549D" w14:textId="77777777" w:rsidR="00A3021A" w:rsidRPr="00701439" w:rsidRDefault="00A3021A" w:rsidP="00A3021A">
      <w:pPr>
        <w:jc w:val="both"/>
        <w:rPr>
          <w:rStyle w:val="bodycopynumber"/>
          <w:rFonts w:asciiTheme="minorHAnsi" w:hAnsiTheme="minorHAnsi" w:cs="Arial"/>
          <w:b/>
          <w:bCs/>
          <w:sz w:val="20"/>
          <w:szCs w:val="20"/>
        </w:rPr>
      </w:pPr>
    </w:p>
    <w:p w14:paraId="129ECE40" w14:textId="77777777" w:rsidR="00A3021A" w:rsidRPr="00701439" w:rsidRDefault="00A3021A" w:rsidP="00A3021A">
      <w:pPr>
        <w:jc w:val="both"/>
        <w:rPr>
          <w:rStyle w:val="bodycopynumber"/>
          <w:rFonts w:asciiTheme="minorHAnsi" w:hAnsiTheme="minorHAnsi" w:cs="Arial"/>
          <w:b/>
          <w:bCs/>
          <w:sz w:val="20"/>
          <w:szCs w:val="20"/>
        </w:rPr>
      </w:pPr>
    </w:p>
    <w:p w14:paraId="715B1E1A" w14:textId="77777777" w:rsidR="00A3021A" w:rsidRPr="00701439" w:rsidRDefault="00A3021A" w:rsidP="00A3021A">
      <w:pPr>
        <w:jc w:val="both"/>
        <w:rPr>
          <w:rStyle w:val="bodycopynumber"/>
          <w:rFonts w:asciiTheme="minorHAnsi" w:hAnsiTheme="minorHAnsi" w:cs="Arial"/>
          <w:b/>
          <w:bCs/>
          <w:sz w:val="20"/>
          <w:szCs w:val="20"/>
        </w:rPr>
      </w:pPr>
    </w:p>
    <w:p w14:paraId="4F9EB5C5" w14:textId="77777777" w:rsidR="00A3021A" w:rsidRPr="00701439" w:rsidRDefault="00A3021A" w:rsidP="00A3021A">
      <w:pPr>
        <w:jc w:val="both"/>
        <w:rPr>
          <w:rStyle w:val="bodycopynumber"/>
          <w:rFonts w:asciiTheme="minorHAnsi" w:hAnsiTheme="minorHAnsi" w:cs="Arial"/>
          <w:b/>
          <w:bCs/>
          <w:sz w:val="20"/>
          <w:szCs w:val="20"/>
        </w:rPr>
      </w:pPr>
    </w:p>
    <w:p w14:paraId="16B016D1" w14:textId="77777777" w:rsidR="00A3021A" w:rsidRPr="00701439" w:rsidRDefault="00A3021A" w:rsidP="00A3021A">
      <w:pPr>
        <w:jc w:val="both"/>
        <w:rPr>
          <w:rStyle w:val="bodycopynumber"/>
          <w:rFonts w:asciiTheme="minorHAnsi" w:hAnsiTheme="minorHAnsi" w:cs="Arial"/>
          <w:b/>
          <w:bCs/>
          <w:sz w:val="20"/>
          <w:szCs w:val="20"/>
        </w:rPr>
      </w:pPr>
    </w:p>
    <w:p w14:paraId="7C681801" w14:textId="77777777" w:rsidR="00A3021A" w:rsidRPr="00701439" w:rsidRDefault="00A3021A" w:rsidP="00A3021A">
      <w:pPr>
        <w:jc w:val="both"/>
        <w:rPr>
          <w:rStyle w:val="bodycopynumber"/>
          <w:rFonts w:asciiTheme="minorHAnsi" w:hAnsiTheme="minorHAnsi" w:cs="Arial"/>
          <w:b/>
          <w:bCs/>
          <w:sz w:val="20"/>
          <w:szCs w:val="20"/>
        </w:rPr>
      </w:pPr>
    </w:p>
    <w:p w14:paraId="406DD487" w14:textId="77777777" w:rsidR="00A3021A" w:rsidRPr="00701439" w:rsidRDefault="00A3021A" w:rsidP="00A3021A">
      <w:pPr>
        <w:jc w:val="both"/>
        <w:rPr>
          <w:rStyle w:val="bodycopynumber"/>
          <w:rFonts w:asciiTheme="minorHAnsi" w:hAnsiTheme="minorHAnsi" w:cs="Arial"/>
          <w:b/>
          <w:bCs/>
          <w:sz w:val="20"/>
          <w:szCs w:val="20"/>
        </w:rPr>
      </w:pPr>
    </w:p>
    <w:p w14:paraId="507F03C0" w14:textId="77777777" w:rsidR="00A3021A" w:rsidRPr="00701439" w:rsidRDefault="00A3021A" w:rsidP="00A3021A">
      <w:pPr>
        <w:jc w:val="both"/>
        <w:rPr>
          <w:rStyle w:val="bodycopynumber"/>
          <w:rFonts w:asciiTheme="minorHAnsi" w:hAnsiTheme="minorHAnsi" w:cs="Arial"/>
          <w:b/>
          <w:bCs/>
          <w:sz w:val="20"/>
          <w:szCs w:val="20"/>
        </w:rPr>
      </w:pPr>
    </w:p>
    <w:p w14:paraId="33BFCC3F" w14:textId="77777777" w:rsidR="00A3021A" w:rsidRPr="00701439" w:rsidRDefault="00A3021A" w:rsidP="00A3021A">
      <w:pPr>
        <w:jc w:val="both"/>
        <w:rPr>
          <w:rStyle w:val="bodycopynumber"/>
          <w:rFonts w:asciiTheme="minorHAnsi" w:hAnsiTheme="minorHAnsi" w:cs="Arial"/>
          <w:b/>
          <w:bCs/>
          <w:sz w:val="20"/>
          <w:szCs w:val="20"/>
        </w:rPr>
      </w:pPr>
    </w:p>
    <w:p w14:paraId="600B4B27" w14:textId="77777777" w:rsidR="00A3021A" w:rsidRPr="00701439" w:rsidRDefault="00A3021A" w:rsidP="00A3021A">
      <w:pPr>
        <w:jc w:val="both"/>
        <w:rPr>
          <w:rStyle w:val="bodycopynumber"/>
          <w:rFonts w:asciiTheme="minorHAnsi" w:hAnsiTheme="minorHAnsi" w:cs="Arial"/>
          <w:b/>
          <w:bCs/>
          <w:sz w:val="20"/>
          <w:szCs w:val="20"/>
        </w:rPr>
      </w:pPr>
    </w:p>
    <w:p w14:paraId="2C4EEED6" w14:textId="77777777" w:rsidR="00A3021A" w:rsidRPr="00701439" w:rsidRDefault="00A3021A" w:rsidP="00A3021A">
      <w:pPr>
        <w:jc w:val="both"/>
        <w:rPr>
          <w:rStyle w:val="bodycopynumber"/>
          <w:rFonts w:asciiTheme="minorHAnsi" w:hAnsiTheme="minorHAnsi" w:cs="Arial"/>
          <w:b/>
          <w:bCs/>
          <w:sz w:val="20"/>
          <w:szCs w:val="20"/>
        </w:rPr>
      </w:pPr>
    </w:p>
    <w:p w14:paraId="6B2D4F26" w14:textId="77777777" w:rsidR="00A3021A" w:rsidRPr="00701439" w:rsidRDefault="00A3021A" w:rsidP="00A3021A">
      <w:pPr>
        <w:jc w:val="both"/>
        <w:rPr>
          <w:rStyle w:val="bodycopynumber"/>
          <w:rFonts w:asciiTheme="minorHAnsi" w:hAnsiTheme="minorHAnsi" w:cs="Arial"/>
          <w:b/>
          <w:bCs/>
          <w:sz w:val="20"/>
          <w:szCs w:val="20"/>
        </w:rPr>
      </w:pPr>
    </w:p>
    <w:p w14:paraId="4442429D" w14:textId="77777777" w:rsidR="00A3021A" w:rsidRPr="00701439" w:rsidRDefault="00A3021A" w:rsidP="00A3021A">
      <w:pPr>
        <w:jc w:val="both"/>
        <w:rPr>
          <w:rStyle w:val="bodycopynumber"/>
          <w:rFonts w:asciiTheme="minorHAnsi" w:hAnsiTheme="minorHAnsi" w:cs="Arial"/>
          <w:b/>
          <w:bCs/>
          <w:sz w:val="20"/>
          <w:szCs w:val="20"/>
        </w:rPr>
      </w:pPr>
    </w:p>
    <w:p w14:paraId="3D026AC2" w14:textId="77777777" w:rsidR="00A3021A" w:rsidRPr="00701439" w:rsidRDefault="00A3021A" w:rsidP="00A3021A">
      <w:pPr>
        <w:jc w:val="both"/>
        <w:rPr>
          <w:rStyle w:val="bodycopynumber"/>
          <w:rFonts w:asciiTheme="minorHAnsi" w:hAnsiTheme="minorHAnsi" w:cs="Arial"/>
          <w:b/>
          <w:bCs/>
          <w:sz w:val="20"/>
          <w:szCs w:val="20"/>
        </w:rPr>
      </w:pPr>
    </w:p>
    <w:p w14:paraId="20C679A2" w14:textId="77777777" w:rsidR="00A3021A" w:rsidRPr="00701439" w:rsidRDefault="00A3021A" w:rsidP="00A3021A">
      <w:pPr>
        <w:jc w:val="both"/>
        <w:rPr>
          <w:rStyle w:val="bodycopynumber"/>
          <w:rFonts w:asciiTheme="minorHAnsi" w:hAnsiTheme="minorHAnsi" w:cs="Arial"/>
          <w:b/>
          <w:bCs/>
          <w:sz w:val="20"/>
          <w:szCs w:val="20"/>
        </w:rPr>
      </w:pPr>
    </w:p>
    <w:p w14:paraId="7934F791" w14:textId="77777777" w:rsidR="00A3021A" w:rsidRPr="00701439" w:rsidRDefault="00A3021A" w:rsidP="00A3021A">
      <w:pPr>
        <w:jc w:val="both"/>
        <w:rPr>
          <w:rStyle w:val="bodycopynumber"/>
          <w:rFonts w:asciiTheme="minorHAnsi" w:hAnsiTheme="minorHAnsi" w:cs="Arial"/>
          <w:b/>
          <w:bCs/>
          <w:sz w:val="20"/>
          <w:szCs w:val="20"/>
        </w:rPr>
      </w:pPr>
    </w:p>
    <w:p w14:paraId="4A5282DD" w14:textId="77777777" w:rsidR="0062207F" w:rsidRPr="00701439" w:rsidRDefault="0062207F" w:rsidP="00A3021A">
      <w:pPr>
        <w:jc w:val="both"/>
        <w:rPr>
          <w:rStyle w:val="bodycopynumber"/>
          <w:rFonts w:asciiTheme="minorHAnsi" w:hAnsiTheme="minorHAnsi" w:cs="Arial"/>
          <w:b/>
          <w:bCs/>
          <w:sz w:val="20"/>
          <w:szCs w:val="20"/>
        </w:rPr>
      </w:pPr>
    </w:p>
    <w:p w14:paraId="000A6CF7" w14:textId="77777777" w:rsidR="00A3021A" w:rsidRPr="00701439" w:rsidRDefault="00A3021A" w:rsidP="00A3021A">
      <w:pPr>
        <w:jc w:val="both"/>
        <w:rPr>
          <w:rStyle w:val="bodycopynumber"/>
          <w:rFonts w:asciiTheme="minorHAnsi" w:hAnsiTheme="minorHAnsi" w:cs="Arial"/>
          <w:b/>
          <w:bCs/>
          <w:sz w:val="20"/>
          <w:szCs w:val="20"/>
        </w:rPr>
      </w:pPr>
    </w:p>
    <w:p w14:paraId="2B02F9CD" w14:textId="77777777" w:rsidR="00A3021A" w:rsidRPr="00701439" w:rsidRDefault="00A3021A" w:rsidP="00A3021A">
      <w:pPr>
        <w:jc w:val="both"/>
        <w:rPr>
          <w:rStyle w:val="bodycopynumber"/>
          <w:rFonts w:asciiTheme="minorHAnsi" w:hAnsiTheme="minorHAnsi" w:cs="Arial"/>
          <w:b/>
          <w:bCs/>
          <w:sz w:val="20"/>
          <w:szCs w:val="20"/>
        </w:rPr>
      </w:pPr>
    </w:p>
    <w:p w14:paraId="0AF30AD0" w14:textId="77777777" w:rsidR="00FF7317" w:rsidRPr="00701439" w:rsidRDefault="00FF7317" w:rsidP="00A3021A">
      <w:pPr>
        <w:jc w:val="both"/>
        <w:rPr>
          <w:rStyle w:val="bodycopynumber"/>
          <w:rFonts w:asciiTheme="minorHAnsi" w:hAnsiTheme="minorHAnsi" w:cs="Arial"/>
          <w:b/>
          <w:bCs/>
          <w:sz w:val="20"/>
          <w:szCs w:val="20"/>
        </w:rPr>
      </w:pPr>
    </w:p>
    <w:p w14:paraId="1410808B" w14:textId="77777777" w:rsidR="00A3021A" w:rsidRPr="00701439" w:rsidRDefault="00A3021A" w:rsidP="00A3021A">
      <w:pPr>
        <w:jc w:val="both"/>
        <w:rPr>
          <w:rStyle w:val="bodycopynumber"/>
          <w:rFonts w:asciiTheme="minorHAnsi" w:hAnsiTheme="minorHAnsi" w:cs="Arial"/>
          <w:b/>
          <w:bCs/>
          <w:sz w:val="20"/>
          <w:szCs w:val="20"/>
        </w:rPr>
      </w:pPr>
    </w:p>
    <w:p w14:paraId="58200DBD" w14:textId="77777777" w:rsidR="00A3021A" w:rsidRPr="00701439" w:rsidRDefault="00A3021A" w:rsidP="00A3021A">
      <w:pPr>
        <w:jc w:val="both"/>
        <w:rPr>
          <w:rStyle w:val="bodycopynumber"/>
          <w:rFonts w:asciiTheme="minorHAnsi" w:hAnsiTheme="minorHAnsi" w:cs="Arial"/>
          <w:b/>
          <w:bCs/>
          <w:sz w:val="20"/>
          <w:szCs w:val="20"/>
        </w:rPr>
      </w:pPr>
    </w:p>
    <w:p w14:paraId="25D10D73" w14:textId="77777777" w:rsidR="00BA7005" w:rsidRDefault="00BA7005" w:rsidP="00A3021A">
      <w:pPr>
        <w:jc w:val="both"/>
        <w:rPr>
          <w:rStyle w:val="bodycopynumber"/>
          <w:rFonts w:asciiTheme="minorHAnsi" w:hAnsiTheme="minorHAnsi" w:cs="Arial"/>
          <w:b/>
          <w:color w:val="4747FF"/>
          <w:sz w:val="22"/>
          <w:szCs w:val="22"/>
        </w:rPr>
      </w:pPr>
    </w:p>
    <w:p w14:paraId="60BC032B" w14:textId="4E2969EA" w:rsidR="00A3021A" w:rsidRPr="00701439" w:rsidRDefault="00A3021A" w:rsidP="00A3021A">
      <w:pPr>
        <w:jc w:val="both"/>
        <w:rPr>
          <w:rStyle w:val="bodycopynumber"/>
          <w:rFonts w:asciiTheme="minorHAnsi" w:hAnsiTheme="minorHAnsi" w:cs="Arial"/>
          <w:b/>
          <w:color w:val="4747FF"/>
          <w:sz w:val="22"/>
          <w:szCs w:val="22"/>
        </w:rPr>
      </w:pPr>
      <w:r w:rsidRPr="00701439">
        <w:rPr>
          <w:rStyle w:val="bodycopynumber"/>
          <w:rFonts w:asciiTheme="minorHAnsi" w:hAnsiTheme="minorHAnsi" w:cs="Arial"/>
          <w:b/>
          <w:color w:val="4747FF"/>
          <w:sz w:val="22"/>
          <w:szCs w:val="22"/>
        </w:rPr>
        <w:lastRenderedPageBreak/>
        <w:t>5.</w:t>
      </w:r>
      <w:r w:rsidRPr="00701439">
        <w:rPr>
          <w:rStyle w:val="bodycopynumber"/>
          <w:rFonts w:asciiTheme="minorHAnsi" w:hAnsiTheme="minorHAnsi" w:cs="Arial"/>
          <w:b/>
          <w:color w:val="4747FF"/>
          <w:sz w:val="22"/>
          <w:szCs w:val="22"/>
        </w:rPr>
        <w:tab/>
        <w:t>Tax charge</w:t>
      </w:r>
    </w:p>
    <w:p w14:paraId="27D27DF6" w14:textId="77777777" w:rsidR="00A3021A" w:rsidRPr="00701439" w:rsidRDefault="00A3021A" w:rsidP="00A3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bodycopynumber"/>
          <w:rFonts w:asciiTheme="minorHAnsi" w:hAnsiTheme="minorHAnsi" w:cs="Arial"/>
          <w:b/>
          <w:sz w:val="20"/>
          <w:szCs w:val="20"/>
        </w:rPr>
      </w:pPr>
      <w:bookmarkStart w:id="19" w:name="_Hlk30751975"/>
    </w:p>
    <w:p w14:paraId="51370B13" w14:textId="77777777" w:rsidR="00A3021A" w:rsidRPr="00701439" w:rsidRDefault="00A3021A" w:rsidP="00A3021A">
      <w:pPr>
        <w:ind w:left="180" w:hanging="180"/>
        <w:rPr>
          <w:rFonts w:asciiTheme="minorHAnsi" w:hAnsiTheme="minorHAnsi" w:cs="Arial"/>
          <w:sz w:val="20"/>
          <w:szCs w:val="20"/>
        </w:rPr>
      </w:pPr>
      <w:r w:rsidRPr="00701439">
        <w:rPr>
          <w:rFonts w:asciiTheme="minorHAnsi" w:hAnsiTheme="minorHAnsi" w:cs="Arial"/>
          <w:sz w:val="20"/>
          <w:szCs w:val="20"/>
        </w:rPr>
        <w:t>The tax charge/(credit) in the income statement is as follows:</w:t>
      </w:r>
    </w:p>
    <w:p w14:paraId="47B0C765" w14:textId="77777777" w:rsidR="00A3021A" w:rsidRPr="00701439" w:rsidRDefault="00A3021A" w:rsidP="00A3021A">
      <w:pPr>
        <w:ind w:left="180" w:hanging="180"/>
        <w:rPr>
          <w:rFonts w:asciiTheme="minorHAnsi" w:hAnsiTheme="minorHAnsi" w:cs="Arial"/>
          <w:sz w:val="20"/>
          <w:szCs w:val="20"/>
        </w:rPr>
      </w:pPr>
    </w:p>
    <w:tbl>
      <w:tblPr>
        <w:tblpPr w:leftFromText="180" w:rightFromText="180" w:vertAnchor="page" w:horzAnchor="margin" w:tblpY="2551"/>
        <w:tblW w:w="9816" w:type="dxa"/>
        <w:tblLayout w:type="fixed"/>
        <w:tblLook w:val="0000" w:firstRow="0" w:lastRow="0" w:firstColumn="0" w:lastColumn="0" w:noHBand="0" w:noVBand="0"/>
      </w:tblPr>
      <w:tblGrid>
        <w:gridCol w:w="2019"/>
        <w:gridCol w:w="1134"/>
        <w:gridCol w:w="1559"/>
        <w:gridCol w:w="850"/>
        <w:gridCol w:w="1418"/>
        <w:gridCol w:w="1418"/>
        <w:gridCol w:w="1418"/>
      </w:tblGrid>
      <w:tr w:rsidR="00FB55B9" w:rsidRPr="00701439" w14:paraId="3C3DCBB7" w14:textId="77777777" w:rsidTr="0002541E">
        <w:trPr>
          <w:trHeight w:val="228"/>
        </w:trPr>
        <w:tc>
          <w:tcPr>
            <w:tcW w:w="2019" w:type="dxa"/>
            <w:tcBorders>
              <w:top w:val="nil"/>
              <w:left w:val="nil"/>
              <w:bottom w:val="nil"/>
              <w:right w:val="nil"/>
            </w:tcBorders>
            <w:vAlign w:val="bottom"/>
          </w:tcPr>
          <w:p w14:paraId="38B7AD65" w14:textId="77777777" w:rsidR="00FB55B9" w:rsidRPr="00701439" w:rsidRDefault="00FB55B9" w:rsidP="00FF7317">
            <w:pPr>
              <w:rPr>
                <w:rFonts w:asciiTheme="minorHAnsi" w:hAnsiTheme="minorHAnsi" w:cs="Arial"/>
                <w:sz w:val="20"/>
                <w:szCs w:val="20"/>
              </w:rPr>
            </w:pPr>
          </w:p>
        </w:tc>
        <w:tc>
          <w:tcPr>
            <w:tcW w:w="1134" w:type="dxa"/>
            <w:tcBorders>
              <w:top w:val="nil"/>
              <w:left w:val="nil"/>
              <w:bottom w:val="nil"/>
              <w:right w:val="nil"/>
            </w:tcBorders>
            <w:vAlign w:val="bottom"/>
          </w:tcPr>
          <w:p w14:paraId="7983BF20" w14:textId="77777777" w:rsidR="00FB55B9" w:rsidRPr="00701439" w:rsidRDefault="00FB55B9" w:rsidP="00FF7317">
            <w:pPr>
              <w:jc w:val="center"/>
              <w:rPr>
                <w:rFonts w:asciiTheme="minorHAnsi" w:hAnsiTheme="minorHAnsi" w:cs="Arial"/>
                <w:sz w:val="20"/>
                <w:szCs w:val="20"/>
              </w:rPr>
            </w:pPr>
          </w:p>
        </w:tc>
        <w:tc>
          <w:tcPr>
            <w:tcW w:w="1559" w:type="dxa"/>
            <w:tcBorders>
              <w:top w:val="nil"/>
              <w:left w:val="nil"/>
              <w:bottom w:val="nil"/>
              <w:right w:val="nil"/>
            </w:tcBorders>
            <w:vAlign w:val="bottom"/>
          </w:tcPr>
          <w:p w14:paraId="4E481ABF" w14:textId="77777777" w:rsidR="00FB55B9" w:rsidRPr="00701439" w:rsidRDefault="00FB55B9" w:rsidP="00FF7317">
            <w:pPr>
              <w:jc w:val="center"/>
              <w:rPr>
                <w:rFonts w:asciiTheme="minorHAnsi" w:hAnsiTheme="minorHAnsi" w:cs="Arial"/>
                <w:sz w:val="20"/>
                <w:szCs w:val="20"/>
              </w:rPr>
            </w:pPr>
            <w:r w:rsidRPr="00701439">
              <w:rPr>
                <w:rFonts w:asciiTheme="minorHAnsi" w:hAnsiTheme="minorHAnsi" w:cs="Arial"/>
                <w:sz w:val="20"/>
                <w:szCs w:val="20"/>
              </w:rPr>
              <w:t xml:space="preserve">                   2022</w:t>
            </w:r>
          </w:p>
        </w:tc>
        <w:tc>
          <w:tcPr>
            <w:tcW w:w="850" w:type="dxa"/>
            <w:tcBorders>
              <w:top w:val="nil"/>
              <w:left w:val="nil"/>
              <w:bottom w:val="nil"/>
              <w:right w:val="nil"/>
            </w:tcBorders>
            <w:vAlign w:val="bottom"/>
          </w:tcPr>
          <w:p w14:paraId="3F36EF6C" w14:textId="77777777" w:rsidR="00FB55B9" w:rsidRPr="00701439" w:rsidRDefault="00FB55B9" w:rsidP="00FF7317">
            <w:pPr>
              <w:jc w:val="center"/>
              <w:rPr>
                <w:rFonts w:asciiTheme="minorHAnsi" w:hAnsiTheme="minorHAnsi" w:cs="Arial"/>
                <w:sz w:val="20"/>
                <w:szCs w:val="20"/>
              </w:rPr>
            </w:pPr>
          </w:p>
        </w:tc>
        <w:tc>
          <w:tcPr>
            <w:tcW w:w="1418" w:type="dxa"/>
            <w:tcBorders>
              <w:top w:val="nil"/>
              <w:left w:val="nil"/>
              <w:bottom w:val="nil"/>
              <w:right w:val="nil"/>
            </w:tcBorders>
          </w:tcPr>
          <w:p w14:paraId="398BDA80" w14:textId="77777777" w:rsidR="00FB55B9" w:rsidRPr="00701439" w:rsidRDefault="00FB55B9" w:rsidP="00FF7317">
            <w:pPr>
              <w:jc w:val="right"/>
              <w:rPr>
                <w:rFonts w:asciiTheme="minorHAnsi" w:hAnsiTheme="minorHAnsi" w:cs="Arial"/>
                <w:sz w:val="20"/>
                <w:szCs w:val="20"/>
              </w:rPr>
            </w:pPr>
          </w:p>
        </w:tc>
        <w:tc>
          <w:tcPr>
            <w:tcW w:w="1418" w:type="dxa"/>
            <w:tcBorders>
              <w:top w:val="nil"/>
              <w:left w:val="nil"/>
              <w:bottom w:val="nil"/>
              <w:right w:val="nil"/>
            </w:tcBorders>
            <w:vAlign w:val="bottom"/>
          </w:tcPr>
          <w:p w14:paraId="454A394A" w14:textId="77777777" w:rsidR="00FB55B9" w:rsidRPr="00701439" w:rsidRDefault="00FB55B9" w:rsidP="00FF7317">
            <w:pPr>
              <w:jc w:val="right"/>
              <w:rPr>
                <w:rFonts w:asciiTheme="minorHAnsi" w:hAnsiTheme="minorHAnsi" w:cs="Arial"/>
                <w:sz w:val="20"/>
                <w:szCs w:val="20"/>
              </w:rPr>
            </w:pPr>
            <w:r w:rsidRPr="00701439">
              <w:rPr>
                <w:rFonts w:asciiTheme="minorHAnsi" w:hAnsiTheme="minorHAnsi" w:cs="Arial"/>
                <w:sz w:val="20"/>
                <w:szCs w:val="20"/>
              </w:rPr>
              <w:t>2021</w:t>
            </w:r>
          </w:p>
        </w:tc>
        <w:tc>
          <w:tcPr>
            <w:tcW w:w="1418" w:type="dxa"/>
            <w:tcBorders>
              <w:top w:val="nil"/>
              <w:left w:val="nil"/>
              <w:bottom w:val="nil"/>
              <w:right w:val="nil"/>
            </w:tcBorders>
          </w:tcPr>
          <w:p w14:paraId="4B84AF16" w14:textId="77777777" w:rsidR="00FB55B9" w:rsidRPr="00701439" w:rsidRDefault="00FB55B9" w:rsidP="00FF7317">
            <w:pPr>
              <w:jc w:val="right"/>
              <w:rPr>
                <w:rFonts w:asciiTheme="minorHAnsi" w:hAnsiTheme="minorHAnsi" w:cs="Arial"/>
                <w:sz w:val="20"/>
                <w:szCs w:val="20"/>
              </w:rPr>
            </w:pPr>
          </w:p>
        </w:tc>
      </w:tr>
      <w:tr w:rsidR="00FB55B9" w:rsidRPr="00701439" w14:paraId="6D51CF4D" w14:textId="77777777" w:rsidTr="0002541E">
        <w:trPr>
          <w:trHeight w:val="228"/>
        </w:trPr>
        <w:tc>
          <w:tcPr>
            <w:tcW w:w="2019" w:type="dxa"/>
            <w:tcBorders>
              <w:top w:val="nil"/>
              <w:left w:val="nil"/>
              <w:bottom w:val="nil"/>
              <w:right w:val="nil"/>
            </w:tcBorders>
            <w:vAlign w:val="bottom"/>
          </w:tcPr>
          <w:p w14:paraId="29BCF476" w14:textId="77777777" w:rsidR="00FB55B9" w:rsidRPr="00701439" w:rsidRDefault="00FB55B9" w:rsidP="00FF7317">
            <w:pPr>
              <w:rPr>
                <w:rFonts w:asciiTheme="minorHAnsi" w:hAnsiTheme="minorHAnsi" w:cs="Arial"/>
                <w:b/>
                <w:sz w:val="20"/>
                <w:szCs w:val="20"/>
              </w:rPr>
            </w:pPr>
          </w:p>
        </w:tc>
        <w:tc>
          <w:tcPr>
            <w:tcW w:w="1134" w:type="dxa"/>
            <w:tcBorders>
              <w:top w:val="nil"/>
              <w:left w:val="nil"/>
              <w:bottom w:val="nil"/>
              <w:right w:val="nil"/>
            </w:tcBorders>
            <w:vAlign w:val="bottom"/>
          </w:tcPr>
          <w:p w14:paraId="50FB298F" w14:textId="77777777" w:rsidR="00FB55B9" w:rsidRPr="00701439" w:rsidRDefault="00FB55B9" w:rsidP="00FF7317">
            <w:pPr>
              <w:jc w:val="right"/>
              <w:rPr>
                <w:rFonts w:asciiTheme="minorHAnsi" w:hAnsiTheme="minorHAnsi" w:cs="Arial"/>
                <w:sz w:val="20"/>
                <w:szCs w:val="20"/>
              </w:rPr>
            </w:pPr>
            <w:r w:rsidRPr="00701439">
              <w:rPr>
                <w:rFonts w:asciiTheme="minorHAnsi" w:hAnsiTheme="minorHAnsi" w:cs="Arial"/>
                <w:sz w:val="20"/>
                <w:szCs w:val="20"/>
              </w:rPr>
              <w:t>Continuing operations</w:t>
            </w:r>
          </w:p>
        </w:tc>
        <w:tc>
          <w:tcPr>
            <w:tcW w:w="1559" w:type="dxa"/>
            <w:tcBorders>
              <w:top w:val="nil"/>
              <w:left w:val="nil"/>
              <w:bottom w:val="nil"/>
              <w:right w:val="nil"/>
            </w:tcBorders>
            <w:vAlign w:val="bottom"/>
          </w:tcPr>
          <w:p w14:paraId="4E7632DB" w14:textId="77777777" w:rsidR="00FB55B9" w:rsidRPr="00701439" w:rsidRDefault="00FB55B9" w:rsidP="00FF7317">
            <w:pPr>
              <w:jc w:val="right"/>
              <w:rPr>
                <w:rFonts w:asciiTheme="minorHAnsi" w:hAnsiTheme="minorHAnsi" w:cs="Arial"/>
                <w:sz w:val="20"/>
                <w:szCs w:val="20"/>
              </w:rPr>
            </w:pPr>
            <w:r w:rsidRPr="00701439">
              <w:rPr>
                <w:rFonts w:asciiTheme="minorHAnsi" w:hAnsiTheme="minorHAnsi" w:cs="Arial"/>
                <w:sz w:val="20"/>
                <w:szCs w:val="20"/>
              </w:rPr>
              <w:t>Discontinued operations</w:t>
            </w:r>
          </w:p>
        </w:tc>
        <w:tc>
          <w:tcPr>
            <w:tcW w:w="850" w:type="dxa"/>
            <w:tcBorders>
              <w:top w:val="nil"/>
              <w:left w:val="nil"/>
              <w:bottom w:val="nil"/>
              <w:right w:val="nil"/>
            </w:tcBorders>
            <w:vAlign w:val="bottom"/>
          </w:tcPr>
          <w:p w14:paraId="2789E895" w14:textId="77777777" w:rsidR="00FB55B9" w:rsidRPr="00701439" w:rsidRDefault="00FB55B9" w:rsidP="00FF7317">
            <w:pPr>
              <w:jc w:val="right"/>
              <w:rPr>
                <w:rFonts w:asciiTheme="minorHAnsi" w:hAnsiTheme="minorHAnsi" w:cs="Arial"/>
                <w:sz w:val="20"/>
                <w:szCs w:val="20"/>
              </w:rPr>
            </w:pPr>
            <w:r w:rsidRPr="00701439">
              <w:rPr>
                <w:rFonts w:asciiTheme="minorHAnsi" w:hAnsiTheme="minorHAnsi" w:cs="Arial"/>
                <w:sz w:val="20"/>
                <w:szCs w:val="20"/>
              </w:rPr>
              <w:t>Total</w:t>
            </w:r>
          </w:p>
        </w:tc>
        <w:tc>
          <w:tcPr>
            <w:tcW w:w="1418" w:type="dxa"/>
            <w:tcBorders>
              <w:top w:val="nil"/>
              <w:left w:val="nil"/>
              <w:bottom w:val="nil"/>
              <w:right w:val="nil"/>
            </w:tcBorders>
            <w:vAlign w:val="bottom"/>
          </w:tcPr>
          <w:p w14:paraId="70AC5A9E" w14:textId="77777777" w:rsidR="00FB55B9" w:rsidRPr="00701439" w:rsidRDefault="00FB55B9" w:rsidP="00FF7317">
            <w:pPr>
              <w:jc w:val="right"/>
              <w:rPr>
                <w:rFonts w:asciiTheme="minorHAnsi" w:hAnsiTheme="minorHAnsi" w:cs="Arial"/>
                <w:sz w:val="20"/>
                <w:szCs w:val="20"/>
              </w:rPr>
            </w:pPr>
            <w:r w:rsidRPr="00701439">
              <w:rPr>
                <w:rFonts w:asciiTheme="minorHAnsi" w:hAnsiTheme="minorHAnsi" w:cs="Arial"/>
                <w:sz w:val="20"/>
                <w:szCs w:val="20"/>
              </w:rPr>
              <w:t>Continuing operations</w:t>
            </w:r>
          </w:p>
        </w:tc>
        <w:tc>
          <w:tcPr>
            <w:tcW w:w="1418" w:type="dxa"/>
            <w:tcBorders>
              <w:top w:val="nil"/>
              <w:left w:val="nil"/>
              <w:bottom w:val="nil"/>
              <w:right w:val="nil"/>
            </w:tcBorders>
            <w:vAlign w:val="bottom"/>
          </w:tcPr>
          <w:p w14:paraId="1F1D4BF9" w14:textId="77777777" w:rsidR="00FB55B9" w:rsidRPr="00701439" w:rsidRDefault="00FB55B9" w:rsidP="00FF7317">
            <w:pPr>
              <w:jc w:val="right"/>
              <w:rPr>
                <w:rFonts w:asciiTheme="minorHAnsi" w:hAnsiTheme="minorHAnsi" w:cs="Arial"/>
                <w:sz w:val="20"/>
                <w:szCs w:val="20"/>
              </w:rPr>
            </w:pPr>
            <w:r w:rsidRPr="00701439">
              <w:rPr>
                <w:rFonts w:asciiTheme="minorHAnsi" w:hAnsiTheme="minorHAnsi" w:cs="Arial"/>
                <w:sz w:val="20"/>
                <w:szCs w:val="20"/>
              </w:rPr>
              <w:t>Discontinued operations</w:t>
            </w:r>
          </w:p>
        </w:tc>
        <w:tc>
          <w:tcPr>
            <w:tcW w:w="1418" w:type="dxa"/>
            <w:tcBorders>
              <w:top w:val="nil"/>
              <w:left w:val="nil"/>
              <w:bottom w:val="nil"/>
              <w:right w:val="nil"/>
            </w:tcBorders>
            <w:vAlign w:val="bottom"/>
          </w:tcPr>
          <w:p w14:paraId="41F84A93" w14:textId="77777777" w:rsidR="00FB55B9" w:rsidRPr="00701439" w:rsidRDefault="00FB55B9" w:rsidP="00FF7317">
            <w:pPr>
              <w:jc w:val="right"/>
              <w:rPr>
                <w:rFonts w:asciiTheme="minorHAnsi" w:hAnsiTheme="minorHAnsi" w:cs="Arial"/>
                <w:sz w:val="20"/>
                <w:szCs w:val="20"/>
              </w:rPr>
            </w:pPr>
            <w:r w:rsidRPr="00701439">
              <w:rPr>
                <w:rFonts w:asciiTheme="minorHAnsi" w:hAnsiTheme="minorHAnsi" w:cs="Arial"/>
                <w:sz w:val="20"/>
                <w:szCs w:val="20"/>
              </w:rPr>
              <w:t>Total</w:t>
            </w:r>
          </w:p>
        </w:tc>
      </w:tr>
      <w:tr w:rsidR="00FB55B9" w:rsidRPr="00701439" w14:paraId="23A866EE" w14:textId="77777777" w:rsidTr="0002541E">
        <w:trPr>
          <w:trHeight w:val="240"/>
        </w:trPr>
        <w:tc>
          <w:tcPr>
            <w:tcW w:w="2019" w:type="dxa"/>
            <w:tcBorders>
              <w:top w:val="nil"/>
              <w:left w:val="nil"/>
              <w:bottom w:val="nil"/>
              <w:right w:val="nil"/>
            </w:tcBorders>
            <w:vAlign w:val="bottom"/>
          </w:tcPr>
          <w:p w14:paraId="768ABE5F" w14:textId="77777777" w:rsidR="00FB55B9" w:rsidRPr="00701439" w:rsidRDefault="00FB55B9" w:rsidP="00FF7317">
            <w:pPr>
              <w:rPr>
                <w:rFonts w:asciiTheme="minorHAnsi" w:hAnsiTheme="minorHAnsi" w:cs="Arial"/>
                <w:sz w:val="20"/>
                <w:szCs w:val="20"/>
              </w:rPr>
            </w:pPr>
          </w:p>
        </w:tc>
        <w:tc>
          <w:tcPr>
            <w:tcW w:w="1134" w:type="dxa"/>
            <w:tcBorders>
              <w:top w:val="nil"/>
              <w:left w:val="nil"/>
              <w:bottom w:val="single" w:sz="4" w:space="0" w:color="auto"/>
              <w:right w:val="nil"/>
            </w:tcBorders>
            <w:vAlign w:val="bottom"/>
          </w:tcPr>
          <w:p w14:paraId="43B63706" w14:textId="77777777" w:rsidR="00FB55B9" w:rsidRPr="00701439" w:rsidRDefault="00FB55B9" w:rsidP="00FF7317">
            <w:pPr>
              <w:jc w:val="right"/>
              <w:rPr>
                <w:rFonts w:asciiTheme="minorHAnsi" w:hAnsiTheme="minorHAnsi" w:cs="Arial"/>
                <w:sz w:val="20"/>
                <w:szCs w:val="20"/>
              </w:rPr>
            </w:pPr>
            <w:r w:rsidRPr="00701439">
              <w:rPr>
                <w:rFonts w:asciiTheme="minorHAnsi" w:hAnsiTheme="minorHAnsi" w:cs="Arial"/>
                <w:sz w:val="20"/>
                <w:szCs w:val="20"/>
              </w:rPr>
              <w:t>£m </w:t>
            </w:r>
          </w:p>
        </w:tc>
        <w:tc>
          <w:tcPr>
            <w:tcW w:w="1559" w:type="dxa"/>
            <w:tcBorders>
              <w:top w:val="nil"/>
              <w:left w:val="nil"/>
              <w:bottom w:val="single" w:sz="4" w:space="0" w:color="auto"/>
              <w:right w:val="nil"/>
            </w:tcBorders>
            <w:vAlign w:val="bottom"/>
          </w:tcPr>
          <w:p w14:paraId="4069CC67" w14:textId="77777777" w:rsidR="00FB55B9" w:rsidRPr="00701439" w:rsidRDefault="00FB55B9" w:rsidP="00FF7317">
            <w:pPr>
              <w:jc w:val="right"/>
              <w:rPr>
                <w:rFonts w:asciiTheme="minorHAnsi" w:hAnsiTheme="minorHAnsi" w:cs="Arial"/>
                <w:sz w:val="20"/>
                <w:szCs w:val="20"/>
              </w:rPr>
            </w:pPr>
            <w:r w:rsidRPr="00701439">
              <w:rPr>
                <w:rFonts w:asciiTheme="minorHAnsi" w:hAnsiTheme="minorHAnsi" w:cs="Arial"/>
                <w:sz w:val="20"/>
                <w:szCs w:val="20"/>
              </w:rPr>
              <w:t>£m </w:t>
            </w:r>
          </w:p>
        </w:tc>
        <w:tc>
          <w:tcPr>
            <w:tcW w:w="850" w:type="dxa"/>
            <w:tcBorders>
              <w:top w:val="nil"/>
              <w:left w:val="nil"/>
              <w:bottom w:val="single" w:sz="4" w:space="0" w:color="auto"/>
              <w:right w:val="nil"/>
            </w:tcBorders>
            <w:vAlign w:val="bottom"/>
          </w:tcPr>
          <w:p w14:paraId="35D3627C" w14:textId="77777777" w:rsidR="00FB55B9" w:rsidRPr="00701439" w:rsidRDefault="00FB55B9" w:rsidP="00FF7317">
            <w:pPr>
              <w:jc w:val="right"/>
              <w:rPr>
                <w:rFonts w:asciiTheme="minorHAnsi" w:hAnsiTheme="minorHAnsi" w:cs="Arial"/>
                <w:sz w:val="20"/>
                <w:szCs w:val="20"/>
              </w:rPr>
            </w:pPr>
            <w:r w:rsidRPr="00701439">
              <w:rPr>
                <w:rFonts w:asciiTheme="minorHAnsi" w:hAnsiTheme="minorHAnsi" w:cs="Arial"/>
                <w:sz w:val="20"/>
                <w:szCs w:val="20"/>
              </w:rPr>
              <w:t>£m </w:t>
            </w:r>
          </w:p>
        </w:tc>
        <w:tc>
          <w:tcPr>
            <w:tcW w:w="1418" w:type="dxa"/>
            <w:tcBorders>
              <w:bottom w:val="single" w:sz="4" w:space="0" w:color="auto"/>
            </w:tcBorders>
            <w:vAlign w:val="bottom"/>
          </w:tcPr>
          <w:p w14:paraId="09760B70" w14:textId="77777777" w:rsidR="00FB55B9" w:rsidRPr="00701439" w:rsidRDefault="00FB55B9" w:rsidP="00FF7317">
            <w:pPr>
              <w:jc w:val="right"/>
              <w:rPr>
                <w:rFonts w:asciiTheme="minorHAnsi" w:hAnsiTheme="minorHAnsi" w:cs="Arial"/>
                <w:sz w:val="20"/>
                <w:szCs w:val="20"/>
              </w:rPr>
            </w:pPr>
            <w:r w:rsidRPr="00701439">
              <w:rPr>
                <w:rFonts w:asciiTheme="minorHAnsi" w:hAnsiTheme="minorHAnsi" w:cs="Arial"/>
                <w:sz w:val="20"/>
                <w:szCs w:val="20"/>
              </w:rPr>
              <w:t>£m </w:t>
            </w:r>
          </w:p>
        </w:tc>
        <w:tc>
          <w:tcPr>
            <w:tcW w:w="1418" w:type="dxa"/>
            <w:tcBorders>
              <w:bottom w:val="single" w:sz="4" w:space="0" w:color="auto"/>
            </w:tcBorders>
            <w:vAlign w:val="bottom"/>
          </w:tcPr>
          <w:p w14:paraId="10A179BE" w14:textId="77777777" w:rsidR="00FB55B9" w:rsidRPr="00701439" w:rsidRDefault="00FB55B9" w:rsidP="00FF7317">
            <w:pPr>
              <w:jc w:val="right"/>
              <w:rPr>
                <w:rFonts w:asciiTheme="minorHAnsi" w:hAnsiTheme="minorHAnsi" w:cs="Arial"/>
                <w:sz w:val="20"/>
                <w:szCs w:val="20"/>
              </w:rPr>
            </w:pPr>
            <w:r w:rsidRPr="00701439">
              <w:rPr>
                <w:rFonts w:asciiTheme="minorHAnsi" w:hAnsiTheme="minorHAnsi" w:cs="Arial"/>
                <w:sz w:val="20"/>
                <w:szCs w:val="20"/>
              </w:rPr>
              <w:t>£m </w:t>
            </w:r>
          </w:p>
        </w:tc>
        <w:tc>
          <w:tcPr>
            <w:tcW w:w="1418" w:type="dxa"/>
            <w:tcBorders>
              <w:bottom w:val="single" w:sz="4" w:space="0" w:color="auto"/>
            </w:tcBorders>
            <w:vAlign w:val="bottom"/>
          </w:tcPr>
          <w:p w14:paraId="1DC82E64" w14:textId="77777777" w:rsidR="00FB55B9" w:rsidRPr="00701439" w:rsidRDefault="00FB55B9" w:rsidP="00FF7317">
            <w:pPr>
              <w:jc w:val="right"/>
            </w:pPr>
            <w:r w:rsidRPr="00701439">
              <w:rPr>
                <w:rFonts w:asciiTheme="minorHAnsi" w:hAnsiTheme="minorHAnsi" w:cs="Arial"/>
                <w:sz w:val="20"/>
                <w:szCs w:val="20"/>
              </w:rPr>
              <w:t>£m </w:t>
            </w:r>
          </w:p>
        </w:tc>
      </w:tr>
      <w:tr w:rsidR="00FB55B9" w:rsidRPr="00701439" w14:paraId="34E811F3" w14:textId="77777777" w:rsidTr="0002541E">
        <w:trPr>
          <w:trHeight w:val="228"/>
        </w:trPr>
        <w:tc>
          <w:tcPr>
            <w:tcW w:w="2019" w:type="dxa"/>
            <w:tcBorders>
              <w:top w:val="nil"/>
              <w:left w:val="nil"/>
              <w:bottom w:val="nil"/>
              <w:right w:val="nil"/>
            </w:tcBorders>
            <w:vAlign w:val="bottom"/>
          </w:tcPr>
          <w:p w14:paraId="0E817F92" w14:textId="77777777" w:rsidR="00FB55B9" w:rsidRPr="00701439" w:rsidRDefault="00FB55B9" w:rsidP="00FF7317">
            <w:pPr>
              <w:rPr>
                <w:rFonts w:asciiTheme="minorHAnsi" w:hAnsiTheme="minorHAnsi" w:cs="Arial"/>
                <w:sz w:val="20"/>
                <w:szCs w:val="20"/>
              </w:rPr>
            </w:pPr>
            <w:r w:rsidRPr="00701439">
              <w:rPr>
                <w:rFonts w:asciiTheme="minorHAnsi" w:hAnsiTheme="minorHAnsi" w:cs="Arial"/>
                <w:sz w:val="20"/>
                <w:szCs w:val="20"/>
              </w:rPr>
              <w:t>Current tax: - UK</w:t>
            </w:r>
          </w:p>
        </w:tc>
        <w:tc>
          <w:tcPr>
            <w:tcW w:w="1134" w:type="dxa"/>
            <w:tcBorders>
              <w:top w:val="nil"/>
              <w:left w:val="nil"/>
              <w:bottom w:val="nil"/>
              <w:right w:val="nil"/>
            </w:tcBorders>
            <w:shd w:val="clear" w:color="auto" w:fill="auto"/>
            <w:vAlign w:val="bottom"/>
          </w:tcPr>
          <w:p w14:paraId="1907C5FB" w14:textId="77777777" w:rsidR="00FB55B9" w:rsidRPr="00701439" w:rsidRDefault="00FB55B9" w:rsidP="00FF7317">
            <w:pPr>
              <w:jc w:val="right"/>
              <w:rPr>
                <w:rFonts w:asciiTheme="minorHAnsi" w:hAnsiTheme="minorHAnsi" w:cs="Arial"/>
                <w:sz w:val="20"/>
                <w:szCs w:val="20"/>
              </w:rPr>
            </w:pPr>
            <w:r w:rsidRPr="00701439">
              <w:rPr>
                <w:rFonts w:asciiTheme="minorHAnsi" w:hAnsiTheme="minorHAnsi" w:cs="Arial"/>
                <w:sz w:val="20"/>
                <w:szCs w:val="20"/>
              </w:rPr>
              <w:t>14.4</w:t>
            </w:r>
          </w:p>
        </w:tc>
        <w:tc>
          <w:tcPr>
            <w:tcW w:w="1559" w:type="dxa"/>
            <w:tcBorders>
              <w:top w:val="nil"/>
              <w:left w:val="nil"/>
              <w:bottom w:val="nil"/>
              <w:right w:val="nil"/>
            </w:tcBorders>
            <w:shd w:val="clear" w:color="auto" w:fill="auto"/>
            <w:vAlign w:val="bottom"/>
          </w:tcPr>
          <w:p w14:paraId="5A42DBAA" w14:textId="77777777" w:rsidR="00FB55B9" w:rsidRPr="00701439" w:rsidRDefault="00FB55B9" w:rsidP="00FF7317">
            <w:pPr>
              <w:jc w:val="right"/>
              <w:rPr>
                <w:rFonts w:asciiTheme="minorHAnsi" w:hAnsiTheme="minorHAnsi" w:cs="Arial"/>
                <w:sz w:val="20"/>
                <w:szCs w:val="20"/>
              </w:rPr>
            </w:pPr>
            <w:r w:rsidRPr="00701439">
              <w:rPr>
                <w:rFonts w:asciiTheme="minorHAnsi" w:hAnsiTheme="minorHAnsi" w:cs="Arial"/>
                <w:sz w:val="20"/>
                <w:szCs w:val="20"/>
              </w:rPr>
              <w:t>(5.8)</w:t>
            </w:r>
          </w:p>
        </w:tc>
        <w:tc>
          <w:tcPr>
            <w:tcW w:w="850" w:type="dxa"/>
            <w:tcBorders>
              <w:top w:val="nil"/>
              <w:left w:val="nil"/>
              <w:bottom w:val="nil"/>
              <w:right w:val="nil"/>
            </w:tcBorders>
            <w:shd w:val="clear" w:color="auto" w:fill="auto"/>
            <w:vAlign w:val="bottom"/>
          </w:tcPr>
          <w:p w14:paraId="51F1EC69" w14:textId="77777777" w:rsidR="00FB55B9" w:rsidRPr="00701439" w:rsidRDefault="00FB55B9" w:rsidP="00FF7317">
            <w:pPr>
              <w:jc w:val="right"/>
              <w:rPr>
                <w:rFonts w:asciiTheme="minorHAnsi" w:hAnsiTheme="minorHAnsi" w:cs="Arial"/>
                <w:sz w:val="20"/>
                <w:szCs w:val="20"/>
              </w:rPr>
            </w:pPr>
            <w:r w:rsidRPr="00701439">
              <w:rPr>
                <w:rFonts w:asciiTheme="minorHAnsi" w:hAnsiTheme="minorHAnsi" w:cs="Arial"/>
                <w:sz w:val="20"/>
                <w:szCs w:val="20"/>
              </w:rPr>
              <w:t>8.6</w:t>
            </w:r>
          </w:p>
        </w:tc>
        <w:tc>
          <w:tcPr>
            <w:tcW w:w="1418" w:type="dxa"/>
            <w:tcBorders>
              <w:top w:val="nil"/>
              <w:left w:val="nil"/>
              <w:bottom w:val="nil"/>
              <w:right w:val="nil"/>
            </w:tcBorders>
            <w:vAlign w:val="bottom"/>
          </w:tcPr>
          <w:p w14:paraId="49076850" w14:textId="77777777" w:rsidR="00FB55B9" w:rsidRPr="00701439" w:rsidRDefault="00FB55B9" w:rsidP="00FF7317">
            <w:pPr>
              <w:jc w:val="right"/>
              <w:rPr>
                <w:rFonts w:asciiTheme="minorHAnsi" w:hAnsiTheme="minorHAnsi" w:cs="Arial"/>
                <w:sz w:val="20"/>
                <w:szCs w:val="20"/>
              </w:rPr>
            </w:pPr>
            <w:r w:rsidRPr="00701439">
              <w:rPr>
                <w:rFonts w:asciiTheme="minorHAnsi" w:hAnsiTheme="minorHAnsi" w:cs="Arial"/>
                <w:sz w:val="20"/>
                <w:szCs w:val="20"/>
              </w:rPr>
              <w:t>12.6</w:t>
            </w:r>
          </w:p>
        </w:tc>
        <w:tc>
          <w:tcPr>
            <w:tcW w:w="1418" w:type="dxa"/>
            <w:tcBorders>
              <w:top w:val="nil"/>
              <w:left w:val="nil"/>
              <w:bottom w:val="nil"/>
              <w:right w:val="nil"/>
            </w:tcBorders>
            <w:vAlign w:val="bottom"/>
          </w:tcPr>
          <w:p w14:paraId="3C399BAE" w14:textId="77777777" w:rsidR="00FB55B9" w:rsidRPr="00701439" w:rsidRDefault="00FB55B9" w:rsidP="00FF7317">
            <w:pPr>
              <w:jc w:val="right"/>
              <w:rPr>
                <w:rFonts w:asciiTheme="minorHAnsi" w:hAnsiTheme="minorHAnsi" w:cs="Arial"/>
                <w:sz w:val="20"/>
                <w:szCs w:val="20"/>
              </w:rPr>
            </w:pPr>
            <w:r w:rsidRPr="00701439">
              <w:rPr>
                <w:rFonts w:asciiTheme="minorHAnsi" w:hAnsiTheme="minorHAnsi" w:cs="Arial"/>
                <w:sz w:val="20"/>
                <w:szCs w:val="20"/>
              </w:rPr>
              <w:t>(3.3)</w:t>
            </w:r>
          </w:p>
        </w:tc>
        <w:tc>
          <w:tcPr>
            <w:tcW w:w="1418" w:type="dxa"/>
            <w:tcBorders>
              <w:top w:val="nil"/>
              <w:left w:val="nil"/>
              <w:bottom w:val="nil"/>
              <w:right w:val="nil"/>
            </w:tcBorders>
            <w:vAlign w:val="bottom"/>
          </w:tcPr>
          <w:p w14:paraId="09163B28" w14:textId="77777777" w:rsidR="00FB55B9" w:rsidRPr="00701439" w:rsidRDefault="00FB55B9" w:rsidP="00FF7317">
            <w:pPr>
              <w:jc w:val="right"/>
              <w:rPr>
                <w:rFonts w:asciiTheme="minorHAnsi" w:hAnsiTheme="minorHAnsi" w:cs="Arial"/>
                <w:sz w:val="20"/>
                <w:szCs w:val="20"/>
              </w:rPr>
            </w:pPr>
            <w:r w:rsidRPr="00701439">
              <w:rPr>
                <w:rFonts w:asciiTheme="minorHAnsi" w:hAnsiTheme="minorHAnsi" w:cs="Arial"/>
                <w:sz w:val="20"/>
                <w:szCs w:val="20"/>
              </w:rPr>
              <w:t>9.3</w:t>
            </w:r>
          </w:p>
        </w:tc>
      </w:tr>
      <w:tr w:rsidR="00FB55B9" w:rsidRPr="00701439" w14:paraId="2D3B69BA" w14:textId="77777777" w:rsidTr="0002541E">
        <w:trPr>
          <w:trHeight w:val="240"/>
        </w:trPr>
        <w:tc>
          <w:tcPr>
            <w:tcW w:w="2019" w:type="dxa"/>
            <w:tcBorders>
              <w:top w:val="nil"/>
              <w:left w:val="nil"/>
              <w:bottom w:val="nil"/>
              <w:right w:val="nil"/>
            </w:tcBorders>
            <w:vAlign w:val="bottom"/>
          </w:tcPr>
          <w:p w14:paraId="46055565" w14:textId="4F114FB2" w:rsidR="00FB55B9" w:rsidRPr="00701439" w:rsidRDefault="00FB55B9" w:rsidP="00FF7317">
            <w:pPr>
              <w:rPr>
                <w:rFonts w:asciiTheme="minorHAnsi" w:hAnsiTheme="minorHAnsi" w:cs="Arial"/>
                <w:sz w:val="20"/>
                <w:szCs w:val="20"/>
              </w:rPr>
            </w:pPr>
            <w:r w:rsidRPr="00701439">
              <w:rPr>
                <w:rFonts w:asciiTheme="minorHAnsi" w:hAnsiTheme="minorHAnsi" w:cs="Arial"/>
                <w:sz w:val="20"/>
                <w:szCs w:val="20"/>
              </w:rPr>
              <w:t>Deferred tax</w:t>
            </w:r>
            <w:r w:rsidR="00410A85" w:rsidRPr="00701439">
              <w:rPr>
                <w:rFonts w:asciiTheme="minorHAnsi" w:hAnsiTheme="minorHAnsi" w:cs="Arial"/>
                <w:sz w:val="20"/>
                <w:szCs w:val="20"/>
              </w:rPr>
              <w:t>: - UK</w:t>
            </w:r>
          </w:p>
        </w:tc>
        <w:tc>
          <w:tcPr>
            <w:tcW w:w="1134" w:type="dxa"/>
            <w:tcBorders>
              <w:top w:val="nil"/>
              <w:left w:val="nil"/>
              <w:bottom w:val="nil"/>
              <w:right w:val="nil"/>
            </w:tcBorders>
            <w:shd w:val="clear" w:color="auto" w:fill="auto"/>
            <w:vAlign w:val="bottom"/>
          </w:tcPr>
          <w:p w14:paraId="55A9CD6B" w14:textId="197FA971" w:rsidR="00FB55B9" w:rsidRPr="00701439" w:rsidRDefault="00410A85" w:rsidP="00FF7317">
            <w:pPr>
              <w:jc w:val="right"/>
              <w:rPr>
                <w:rFonts w:asciiTheme="minorHAnsi" w:hAnsiTheme="minorHAnsi" w:cstheme="minorHAnsi"/>
                <w:sz w:val="20"/>
                <w:szCs w:val="20"/>
              </w:rPr>
            </w:pPr>
            <w:r w:rsidRPr="00701439">
              <w:rPr>
                <w:rFonts w:asciiTheme="minorHAnsi" w:hAnsiTheme="minorHAnsi" w:cstheme="minorHAnsi"/>
                <w:sz w:val="20"/>
                <w:szCs w:val="20"/>
              </w:rPr>
              <w:t>10.2</w:t>
            </w:r>
          </w:p>
        </w:tc>
        <w:tc>
          <w:tcPr>
            <w:tcW w:w="1559" w:type="dxa"/>
            <w:tcBorders>
              <w:top w:val="nil"/>
              <w:left w:val="nil"/>
              <w:bottom w:val="nil"/>
              <w:right w:val="nil"/>
            </w:tcBorders>
            <w:shd w:val="clear" w:color="auto" w:fill="auto"/>
            <w:vAlign w:val="bottom"/>
          </w:tcPr>
          <w:p w14:paraId="6E3A77E1" w14:textId="51940833" w:rsidR="00FB55B9" w:rsidRPr="00701439" w:rsidRDefault="00410A85" w:rsidP="00FF7317">
            <w:pPr>
              <w:jc w:val="right"/>
              <w:rPr>
                <w:rFonts w:asciiTheme="minorHAnsi" w:hAnsiTheme="minorHAnsi" w:cstheme="minorHAnsi"/>
                <w:sz w:val="20"/>
                <w:szCs w:val="20"/>
              </w:rPr>
            </w:pPr>
            <w:r w:rsidRPr="00701439">
              <w:rPr>
                <w:rFonts w:asciiTheme="minorHAnsi" w:hAnsiTheme="minorHAnsi" w:cstheme="minorHAnsi"/>
                <w:sz w:val="20"/>
                <w:szCs w:val="20"/>
              </w:rPr>
              <w:t>-</w:t>
            </w:r>
          </w:p>
        </w:tc>
        <w:tc>
          <w:tcPr>
            <w:tcW w:w="850" w:type="dxa"/>
            <w:tcBorders>
              <w:top w:val="nil"/>
              <w:left w:val="nil"/>
              <w:bottom w:val="nil"/>
              <w:right w:val="nil"/>
            </w:tcBorders>
            <w:shd w:val="clear" w:color="auto" w:fill="auto"/>
            <w:vAlign w:val="bottom"/>
          </w:tcPr>
          <w:p w14:paraId="5415F629" w14:textId="370B768D" w:rsidR="00FB55B9" w:rsidRPr="00701439" w:rsidRDefault="00410A85" w:rsidP="00FF7317">
            <w:pPr>
              <w:jc w:val="right"/>
              <w:rPr>
                <w:rFonts w:asciiTheme="minorHAnsi" w:hAnsiTheme="minorHAnsi" w:cstheme="minorHAnsi"/>
                <w:sz w:val="20"/>
                <w:szCs w:val="20"/>
              </w:rPr>
            </w:pPr>
            <w:r w:rsidRPr="00701439">
              <w:rPr>
                <w:rFonts w:asciiTheme="minorHAnsi" w:hAnsiTheme="minorHAnsi" w:cstheme="minorHAnsi"/>
                <w:sz w:val="20"/>
                <w:szCs w:val="20"/>
              </w:rPr>
              <w:t>10.2</w:t>
            </w:r>
          </w:p>
        </w:tc>
        <w:tc>
          <w:tcPr>
            <w:tcW w:w="1418" w:type="dxa"/>
            <w:tcBorders>
              <w:top w:val="nil"/>
              <w:left w:val="nil"/>
              <w:bottom w:val="nil"/>
              <w:right w:val="nil"/>
            </w:tcBorders>
            <w:vAlign w:val="bottom"/>
          </w:tcPr>
          <w:p w14:paraId="699173CF" w14:textId="4DCFD9E3" w:rsidR="00FB55B9" w:rsidRPr="00701439" w:rsidRDefault="00410A85" w:rsidP="00FF7317">
            <w:pPr>
              <w:jc w:val="right"/>
              <w:rPr>
                <w:rFonts w:asciiTheme="minorHAnsi" w:hAnsiTheme="minorHAnsi" w:cstheme="minorHAnsi"/>
                <w:sz w:val="20"/>
                <w:szCs w:val="20"/>
              </w:rPr>
            </w:pPr>
            <w:r w:rsidRPr="00701439">
              <w:rPr>
                <w:rFonts w:asciiTheme="minorHAnsi" w:hAnsiTheme="minorHAnsi" w:cstheme="minorHAnsi"/>
                <w:sz w:val="20"/>
                <w:szCs w:val="20"/>
              </w:rPr>
              <w:t>-</w:t>
            </w:r>
          </w:p>
        </w:tc>
        <w:tc>
          <w:tcPr>
            <w:tcW w:w="1418" w:type="dxa"/>
            <w:tcBorders>
              <w:top w:val="nil"/>
              <w:left w:val="nil"/>
              <w:bottom w:val="nil"/>
              <w:right w:val="nil"/>
            </w:tcBorders>
            <w:vAlign w:val="bottom"/>
          </w:tcPr>
          <w:p w14:paraId="0C14C224" w14:textId="39E6AB10" w:rsidR="00FB55B9" w:rsidRPr="00701439" w:rsidRDefault="00410A85" w:rsidP="00FF7317">
            <w:pPr>
              <w:jc w:val="right"/>
              <w:rPr>
                <w:rFonts w:asciiTheme="minorHAnsi" w:hAnsiTheme="minorHAnsi" w:cstheme="minorHAnsi"/>
                <w:sz w:val="20"/>
                <w:szCs w:val="20"/>
              </w:rPr>
            </w:pPr>
            <w:r w:rsidRPr="00701439">
              <w:rPr>
                <w:rFonts w:asciiTheme="minorHAnsi" w:hAnsiTheme="minorHAnsi" w:cstheme="minorHAnsi"/>
                <w:sz w:val="20"/>
                <w:szCs w:val="20"/>
              </w:rPr>
              <w:t>31.9</w:t>
            </w:r>
          </w:p>
        </w:tc>
        <w:tc>
          <w:tcPr>
            <w:tcW w:w="1418" w:type="dxa"/>
            <w:tcBorders>
              <w:top w:val="nil"/>
              <w:left w:val="nil"/>
              <w:bottom w:val="nil"/>
              <w:right w:val="nil"/>
            </w:tcBorders>
            <w:vAlign w:val="bottom"/>
          </w:tcPr>
          <w:p w14:paraId="13688ECF" w14:textId="613D573B" w:rsidR="00FB55B9" w:rsidRPr="00701439" w:rsidRDefault="00410A85" w:rsidP="00FF7317">
            <w:pPr>
              <w:jc w:val="right"/>
              <w:rPr>
                <w:rFonts w:asciiTheme="minorHAnsi" w:hAnsiTheme="minorHAnsi" w:cstheme="minorHAnsi"/>
                <w:sz w:val="20"/>
                <w:szCs w:val="20"/>
              </w:rPr>
            </w:pPr>
            <w:r w:rsidRPr="00701439">
              <w:rPr>
                <w:rFonts w:asciiTheme="minorHAnsi" w:hAnsiTheme="minorHAnsi" w:cstheme="minorHAnsi"/>
                <w:sz w:val="20"/>
                <w:szCs w:val="20"/>
              </w:rPr>
              <w:t>31.9</w:t>
            </w:r>
          </w:p>
        </w:tc>
      </w:tr>
      <w:tr w:rsidR="00FB55B9" w:rsidRPr="00701439" w14:paraId="695CCA5A" w14:textId="77777777" w:rsidTr="0002541E">
        <w:trPr>
          <w:trHeight w:val="240"/>
        </w:trPr>
        <w:tc>
          <w:tcPr>
            <w:tcW w:w="2019" w:type="dxa"/>
            <w:tcBorders>
              <w:top w:val="nil"/>
              <w:left w:val="nil"/>
              <w:bottom w:val="nil"/>
              <w:right w:val="nil"/>
            </w:tcBorders>
            <w:vAlign w:val="bottom"/>
          </w:tcPr>
          <w:p w14:paraId="74291135" w14:textId="77777777" w:rsidR="00FB55B9" w:rsidRPr="00701439" w:rsidRDefault="00FB55B9" w:rsidP="00FF7317">
            <w:pPr>
              <w:rPr>
                <w:rFonts w:asciiTheme="minorHAnsi" w:hAnsiTheme="minorHAnsi" w:cs="Arial"/>
                <w:sz w:val="20"/>
                <w:szCs w:val="20"/>
              </w:rPr>
            </w:pPr>
            <w:r w:rsidRPr="00701439">
              <w:rPr>
                <w:rFonts w:asciiTheme="minorHAnsi" w:hAnsiTheme="minorHAnsi" w:cs="Arial"/>
                <w:sz w:val="20"/>
                <w:szCs w:val="20"/>
              </w:rPr>
              <w:t>Impact of change in UK tax rate</w:t>
            </w:r>
          </w:p>
        </w:tc>
        <w:tc>
          <w:tcPr>
            <w:tcW w:w="1134" w:type="dxa"/>
            <w:tcBorders>
              <w:top w:val="nil"/>
              <w:left w:val="nil"/>
              <w:bottom w:val="nil"/>
              <w:right w:val="nil"/>
            </w:tcBorders>
            <w:shd w:val="clear" w:color="auto" w:fill="auto"/>
            <w:vAlign w:val="bottom"/>
          </w:tcPr>
          <w:p w14:paraId="66861816" w14:textId="77777777" w:rsidR="00FB55B9" w:rsidRPr="00701439" w:rsidRDefault="00FB55B9" w:rsidP="00FF7317">
            <w:pPr>
              <w:jc w:val="right"/>
              <w:rPr>
                <w:rFonts w:asciiTheme="minorHAnsi" w:hAnsiTheme="minorHAnsi" w:cstheme="minorHAnsi"/>
                <w:sz w:val="20"/>
                <w:szCs w:val="20"/>
              </w:rPr>
            </w:pPr>
            <w:r w:rsidRPr="00701439">
              <w:rPr>
                <w:rFonts w:asciiTheme="minorHAnsi" w:hAnsiTheme="minorHAnsi" w:cstheme="minorHAnsi"/>
                <w:sz w:val="20"/>
                <w:szCs w:val="20"/>
              </w:rPr>
              <w:t>3.2</w:t>
            </w:r>
          </w:p>
        </w:tc>
        <w:tc>
          <w:tcPr>
            <w:tcW w:w="1559" w:type="dxa"/>
            <w:tcBorders>
              <w:top w:val="nil"/>
              <w:left w:val="nil"/>
              <w:bottom w:val="nil"/>
              <w:right w:val="nil"/>
            </w:tcBorders>
            <w:shd w:val="clear" w:color="auto" w:fill="auto"/>
            <w:vAlign w:val="bottom"/>
          </w:tcPr>
          <w:p w14:paraId="4156EB52" w14:textId="77777777" w:rsidR="00FB55B9" w:rsidRPr="00701439" w:rsidRDefault="00FB55B9" w:rsidP="00FF7317">
            <w:pPr>
              <w:jc w:val="right"/>
              <w:rPr>
                <w:rFonts w:asciiTheme="minorHAnsi" w:hAnsiTheme="minorHAnsi" w:cstheme="minorHAnsi"/>
                <w:sz w:val="20"/>
                <w:szCs w:val="20"/>
              </w:rPr>
            </w:pPr>
            <w:r w:rsidRPr="00701439">
              <w:rPr>
                <w:rFonts w:asciiTheme="minorHAnsi" w:hAnsiTheme="minorHAnsi" w:cstheme="minorHAnsi"/>
                <w:sz w:val="20"/>
                <w:szCs w:val="20"/>
              </w:rPr>
              <w:t>-</w:t>
            </w:r>
          </w:p>
        </w:tc>
        <w:tc>
          <w:tcPr>
            <w:tcW w:w="850" w:type="dxa"/>
            <w:tcBorders>
              <w:top w:val="nil"/>
              <w:left w:val="nil"/>
              <w:bottom w:val="nil"/>
              <w:right w:val="nil"/>
            </w:tcBorders>
            <w:shd w:val="clear" w:color="auto" w:fill="auto"/>
            <w:vAlign w:val="bottom"/>
          </w:tcPr>
          <w:p w14:paraId="3E8E6EC6" w14:textId="77777777" w:rsidR="00FB55B9" w:rsidRPr="00701439" w:rsidRDefault="00FB55B9" w:rsidP="00FF7317">
            <w:pPr>
              <w:jc w:val="right"/>
              <w:rPr>
                <w:rFonts w:asciiTheme="minorHAnsi" w:hAnsiTheme="minorHAnsi" w:cstheme="minorHAnsi"/>
                <w:sz w:val="20"/>
                <w:szCs w:val="20"/>
              </w:rPr>
            </w:pPr>
            <w:r w:rsidRPr="00701439">
              <w:rPr>
                <w:rFonts w:asciiTheme="minorHAnsi" w:hAnsiTheme="minorHAnsi" w:cstheme="minorHAnsi"/>
                <w:sz w:val="20"/>
                <w:szCs w:val="20"/>
              </w:rPr>
              <w:t>3.2</w:t>
            </w:r>
          </w:p>
        </w:tc>
        <w:tc>
          <w:tcPr>
            <w:tcW w:w="1418" w:type="dxa"/>
            <w:tcBorders>
              <w:top w:val="nil"/>
              <w:left w:val="nil"/>
              <w:bottom w:val="nil"/>
              <w:right w:val="nil"/>
            </w:tcBorders>
            <w:vAlign w:val="bottom"/>
          </w:tcPr>
          <w:p w14:paraId="793C6E6E" w14:textId="77777777" w:rsidR="00FB55B9" w:rsidRPr="00701439" w:rsidRDefault="00FB55B9" w:rsidP="00FF7317">
            <w:pPr>
              <w:jc w:val="right"/>
              <w:rPr>
                <w:rFonts w:asciiTheme="minorHAnsi" w:hAnsiTheme="minorHAnsi" w:cstheme="minorHAnsi"/>
                <w:sz w:val="20"/>
                <w:szCs w:val="20"/>
              </w:rPr>
            </w:pPr>
            <w:r w:rsidRPr="00701439">
              <w:rPr>
                <w:rFonts w:asciiTheme="minorHAnsi" w:hAnsiTheme="minorHAnsi" w:cstheme="minorHAnsi"/>
                <w:sz w:val="20"/>
                <w:szCs w:val="20"/>
              </w:rPr>
              <w:t>(5.0)</w:t>
            </w:r>
          </w:p>
        </w:tc>
        <w:tc>
          <w:tcPr>
            <w:tcW w:w="1418" w:type="dxa"/>
            <w:tcBorders>
              <w:top w:val="nil"/>
              <w:left w:val="nil"/>
              <w:bottom w:val="nil"/>
              <w:right w:val="nil"/>
            </w:tcBorders>
            <w:vAlign w:val="bottom"/>
          </w:tcPr>
          <w:p w14:paraId="1E655D43" w14:textId="77777777" w:rsidR="00FB55B9" w:rsidRPr="00701439" w:rsidRDefault="00FB55B9" w:rsidP="00FF7317">
            <w:pPr>
              <w:jc w:val="right"/>
              <w:rPr>
                <w:rFonts w:asciiTheme="minorHAnsi" w:hAnsiTheme="minorHAnsi" w:cstheme="minorHAnsi"/>
                <w:sz w:val="20"/>
                <w:szCs w:val="20"/>
              </w:rPr>
            </w:pPr>
            <w:r w:rsidRPr="00701439">
              <w:rPr>
                <w:rFonts w:asciiTheme="minorHAnsi" w:hAnsiTheme="minorHAnsi" w:cstheme="minorHAnsi"/>
                <w:sz w:val="20"/>
                <w:szCs w:val="20"/>
              </w:rPr>
              <w:t>-</w:t>
            </w:r>
          </w:p>
        </w:tc>
        <w:tc>
          <w:tcPr>
            <w:tcW w:w="1418" w:type="dxa"/>
            <w:tcBorders>
              <w:top w:val="nil"/>
              <w:left w:val="nil"/>
              <w:bottom w:val="nil"/>
              <w:right w:val="nil"/>
            </w:tcBorders>
            <w:vAlign w:val="bottom"/>
          </w:tcPr>
          <w:p w14:paraId="31B78B03" w14:textId="77777777" w:rsidR="00FB55B9" w:rsidRPr="00701439" w:rsidRDefault="00FB55B9" w:rsidP="00FF7317">
            <w:pPr>
              <w:jc w:val="right"/>
              <w:rPr>
                <w:rFonts w:asciiTheme="minorHAnsi" w:hAnsiTheme="minorHAnsi" w:cstheme="minorHAnsi"/>
                <w:sz w:val="20"/>
                <w:szCs w:val="20"/>
              </w:rPr>
            </w:pPr>
            <w:r w:rsidRPr="00701439">
              <w:rPr>
                <w:rFonts w:asciiTheme="minorHAnsi" w:hAnsiTheme="minorHAnsi" w:cstheme="minorHAnsi"/>
                <w:sz w:val="20"/>
                <w:szCs w:val="20"/>
              </w:rPr>
              <w:t>(5.0)</w:t>
            </w:r>
          </w:p>
        </w:tc>
      </w:tr>
      <w:tr w:rsidR="00FB55B9" w:rsidRPr="00701439" w14:paraId="3596FB5A" w14:textId="77777777" w:rsidTr="0002541E">
        <w:trPr>
          <w:trHeight w:val="217"/>
        </w:trPr>
        <w:tc>
          <w:tcPr>
            <w:tcW w:w="2019" w:type="dxa"/>
            <w:tcBorders>
              <w:top w:val="nil"/>
              <w:left w:val="nil"/>
              <w:bottom w:val="nil"/>
              <w:right w:val="nil"/>
            </w:tcBorders>
            <w:vAlign w:val="bottom"/>
          </w:tcPr>
          <w:p w14:paraId="27CBDDDA" w14:textId="77777777" w:rsidR="00FB55B9" w:rsidRPr="00701439" w:rsidRDefault="00FB55B9" w:rsidP="00FF7317">
            <w:pPr>
              <w:rPr>
                <w:rFonts w:asciiTheme="minorHAnsi" w:hAnsiTheme="minorHAnsi" w:cs="Arial"/>
                <w:b/>
                <w:sz w:val="20"/>
                <w:szCs w:val="20"/>
              </w:rPr>
            </w:pPr>
            <w:r w:rsidRPr="00701439">
              <w:rPr>
                <w:rFonts w:asciiTheme="minorHAnsi" w:hAnsiTheme="minorHAnsi" w:cs="Arial"/>
                <w:b/>
                <w:sz w:val="20"/>
                <w:szCs w:val="20"/>
              </w:rPr>
              <w:t>Total tax charge/(credit)</w:t>
            </w:r>
          </w:p>
        </w:tc>
        <w:tc>
          <w:tcPr>
            <w:tcW w:w="1134" w:type="dxa"/>
            <w:tcBorders>
              <w:top w:val="single" w:sz="4" w:space="0" w:color="auto"/>
              <w:left w:val="nil"/>
              <w:bottom w:val="single" w:sz="12" w:space="0" w:color="auto"/>
              <w:right w:val="nil"/>
            </w:tcBorders>
            <w:shd w:val="clear" w:color="auto" w:fill="auto"/>
            <w:vAlign w:val="bottom"/>
          </w:tcPr>
          <w:p w14:paraId="530AB109" w14:textId="77777777" w:rsidR="00FB55B9" w:rsidRPr="00701439" w:rsidRDefault="00FB55B9" w:rsidP="00FF7317">
            <w:pPr>
              <w:jc w:val="right"/>
              <w:rPr>
                <w:rFonts w:asciiTheme="minorHAnsi" w:hAnsiTheme="minorHAnsi" w:cs="Arial"/>
                <w:sz w:val="20"/>
                <w:szCs w:val="20"/>
              </w:rPr>
            </w:pPr>
            <w:r w:rsidRPr="00701439">
              <w:rPr>
                <w:rFonts w:asciiTheme="minorHAnsi" w:hAnsiTheme="minorHAnsi" w:cs="Arial"/>
                <w:sz w:val="20"/>
                <w:szCs w:val="20"/>
              </w:rPr>
              <w:t>27.8</w:t>
            </w:r>
          </w:p>
        </w:tc>
        <w:tc>
          <w:tcPr>
            <w:tcW w:w="1559" w:type="dxa"/>
            <w:tcBorders>
              <w:top w:val="single" w:sz="4" w:space="0" w:color="auto"/>
              <w:left w:val="nil"/>
              <w:bottom w:val="single" w:sz="12" w:space="0" w:color="auto"/>
              <w:right w:val="nil"/>
            </w:tcBorders>
            <w:shd w:val="clear" w:color="auto" w:fill="auto"/>
            <w:vAlign w:val="bottom"/>
          </w:tcPr>
          <w:p w14:paraId="5C3692FD" w14:textId="77777777" w:rsidR="00FB55B9" w:rsidRPr="00701439" w:rsidRDefault="00FB55B9" w:rsidP="00FF7317">
            <w:pPr>
              <w:jc w:val="right"/>
              <w:rPr>
                <w:rFonts w:asciiTheme="minorHAnsi" w:hAnsiTheme="minorHAnsi" w:cs="Arial"/>
                <w:sz w:val="20"/>
                <w:szCs w:val="20"/>
              </w:rPr>
            </w:pPr>
            <w:r w:rsidRPr="00701439">
              <w:rPr>
                <w:rFonts w:asciiTheme="minorHAnsi" w:hAnsiTheme="minorHAnsi" w:cs="Arial"/>
                <w:sz w:val="20"/>
                <w:szCs w:val="20"/>
              </w:rPr>
              <w:t>(5.8)</w:t>
            </w:r>
          </w:p>
        </w:tc>
        <w:tc>
          <w:tcPr>
            <w:tcW w:w="850" w:type="dxa"/>
            <w:tcBorders>
              <w:top w:val="single" w:sz="4" w:space="0" w:color="auto"/>
              <w:left w:val="nil"/>
              <w:bottom w:val="single" w:sz="12" w:space="0" w:color="auto"/>
              <w:right w:val="nil"/>
            </w:tcBorders>
            <w:shd w:val="clear" w:color="auto" w:fill="auto"/>
            <w:vAlign w:val="bottom"/>
          </w:tcPr>
          <w:p w14:paraId="34B1E341" w14:textId="77777777" w:rsidR="00FB55B9" w:rsidRPr="00701439" w:rsidRDefault="00FB55B9" w:rsidP="00FF7317">
            <w:pPr>
              <w:jc w:val="right"/>
              <w:rPr>
                <w:rFonts w:asciiTheme="minorHAnsi" w:hAnsiTheme="minorHAnsi" w:cs="Arial"/>
                <w:sz w:val="20"/>
                <w:szCs w:val="20"/>
              </w:rPr>
            </w:pPr>
            <w:r w:rsidRPr="00701439">
              <w:rPr>
                <w:rFonts w:asciiTheme="minorHAnsi" w:hAnsiTheme="minorHAnsi" w:cs="Arial"/>
                <w:sz w:val="20"/>
                <w:szCs w:val="20"/>
              </w:rPr>
              <w:t>22.0</w:t>
            </w:r>
          </w:p>
        </w:tc>
        <w:tc>
          <w:tcPr>
            <w:tcW w:w="1418" w:type="dxa"/>
            <w:tcBorders>
              <w:top w:val="single" w:sz="4" w:space="0" w:color="auto"/>
              <w:left w:val="nil"/>
              <w:bottom w:val="single" w:sz="12" w:space="0" w:color="auto"/>
              <w:right w:val="nil"/>
            </w:tcBorders>
            <w:vAlign w:val="bottom"/>
          </w:tcPr>
          <w:p w14:paraId="27680B4F" w14:textId="77777777" w:rsidR="00FB55B9" w:rsidRPr="00701439" w:rsidRDefault="00FB55B9" w:rsidP="00FF7317">
            <w:pPr>
              <w:jc w:val="right"/>
              <w:rPr>
                <w:rFonts w:asciiTheme="minorHAnsi" w:hAnsiTheme="minorHAnsi" w:cs="Arial"/>
                <w:sz w:val="20"/>
                <w:szCs w:val="20"/>
              </w:rPr>
            </w:pPr>
            <w:r w:rsidRPr="00701439">
              <w:rPr>
                <w:rFonts w:asciiTheme="minorHAnsi" w:hAnsiTheme="minorHAnsi" w:cs="Arial"/>
                <w:sz w:val="20"/>
                <w:szCs w:val="20"/>
              </w:rPr>
              <w:t>7.6</w:t>
            </w:r>
          </w:p>
        </w:tc>
        <w:tc>
          <w:tcPr>
            <w:tcW w:w="1418" w:type="dxa"/>
            <w:tcBorders>
              <w:top w:val="single" w:sz="4" w:space="0" w:color="auto"/>
              <w:left w:val="nil"/>
              <w:bottom w:val="single" w:sz="12" w:space="0" w:color="auto"/>
              <w:right w:val="nil"/>
            </w:tcBorders>
            <w:vAlign w:val="bottom"/>
          </w:tcPr>
          <w:p w14:paraId="5D868F3E" w14:textId="77777777" w:rsidR="00FB55B9" w:rsidRPr="00701439" w:rsidRDefault="00FB55B9" w:rsidP="00FF7317">
            <w:pPr>
              <w:jc w:val="right"/>
              <w:rPr>
                <w:rFonts w:asciiTheme="minorHAnsi" w:hAnsiTheme="minorHAnsi" w:cs="Arial"/>
                <w:sz w:val="20"/>
                <w:szCs w:val="20"/>
              </w:rPr>
            </w:pPr>
            <w:r w:rsidRPr="00701439">
              <w:rPr>
                <w:rFonts w:asciiTheme="minorHAnsi" w:hAnsiTheme="minorHAnsi" w:cs="Arial"/>
                <w:sz w:val="20"/>
                <w:szCs w:val="20"/>
              </w:rPr>
              <w:t>28.6</w:t>
            </w:r>
          </w:p>
        </w:tc>
        <w:tc>
          <w:tcPr>
            <w:tcW w:w="1418" w:type="dxa"/>
            <w:tcBorders>
              <w:top w:val="single" w:sz="4" w:space="0" w:color="auto"/>
              <w:left w:val="nil"/>
              <w:bottom w:val="single" w:sz="12" w:space="0" w:color="auto"/>
              <w:right w:val="nil"/>
            </w:tcBorders>
            <w:vAlign w:val="bottom"/>
          </w:tcPr>
          <w:p w14:paraId="0E322A8C" w14:textId="77777777" w:rsidR="00FB55B9" w:rsidRPr="00701439" w:rsidRDefault="00FB55B9" w:rsidP="00FF7317">
            <w:pPr>
              <w:jc w:val="right"/>
              <w:rPr>
                <w:rFonts w:asciiTheme="minorHAnsi" w:hAnsiTheme="minorHAnsi" w:cs="Arial"/>
                <w:sz w:val="20"/>
                <w:szCs w:val="20"/>
              </w:rPr>
            </w:pPr>
            <w:r w:rsidRPr="00701439">
              <w:rPr>
                <w:rFonts w:asciiTheme="minorHAnsi" w:hAnsiTheme="minorHAnsi" w:cs="Arial"/>
                <w:sz w:val="20"/>
                <w:szCs w:val="20"/>
              </w:rPr>
              <w:t>36.2</w:t>
            </w:r>
          </w:p>
        </w:tc>
      </w:tr>
    </w:tbl>
    <w:p w14:paraId="17487D58" w14:textId="77777777" w:rsidR="00E42207" w:rsidRPr="00701439" w:rsidRDefault="00E42207" w:rsidP="00A3021A">
      <w:pPr>
        <w:ind w:left="180" w:hanging="180"/>
        <w:rPr>
          <w:rFonts w:asciiTheme="minorHAnsi" w:hAnsiTheme="minorHAnsi" w:cs="Arial"/>
          <w:sz w:val="20"/>
          <w:szCs w:val="20"/>
        </w:rPr>
      </w:pPr>
    </w:p>
    <w:tbl>
      <w:tblPr>
        <w:tblW w:w="9957" w:type="dxa"/>
        <w:tblLayout w:type="fixed"/>
        <w:tblLook w:val="0000" w:firstRow="0" w:lastRow="0" w:firstColumn="0" w:lastColumn="0" w:noHBand="0" w:noVBand="0"/>
      </w:tblPr>
      <w:tblGrid>
        <w:gridCol w:w="2444"/>
        <w:gridCol w:w="992"/>
        <w:gridCol w:w="1276"/>
        <w:gridCol w:w="1417"/>
        <w:gridCol w:w="709"/>
        <w:gridCol w:w="992"/>
        <w:gridCol w:w="1276"/>
        <w:gridCol w:w="851"/>
      </w:tblGrid>
      <w:tr w:rsidR="00A3021A" w:rsidRPr="00701439" w14:paraId="4B486BCC" w14:textId="77777777" w:rsidTr="0002541E">
        <w:trPr>
          <w:trHeight w:val="228"/>
        </w:trPr>
        <w:tc>
          <w:tcPr>
            <w:tcW w:w="2444" w:type="dxa"/>
            <w:tcBorders>
              <w:top w:val="nil"/>
              <w:left w:val="nil"/>
              <w:bottom w:val="nil"/>
              <w:right w:val="nil"/>
            </w:tcBorders>
            <w:vAlign w:val="bottom"/>
          </w:tcPr>
          <w:p w14:paraId="194BA160" w14:textId="77777777" w:rsidR="00A3021A" w:rsidRPr="00701439" w:rsidRDefault="00A3021A">
            <w:pPr>
              <w:rPr>
                <w:rFonts w:asciiTheme="minorHAnsi" w:hAnsiTheme="minorHAnsi" w:cs="Arial"/>
                <w:sz w:val="20"/>
                <w:szCs w:val="20"/>
              </w:rPr>
            </w:pPr>
          </w:p>
        </w:tc>
        <w:tc>
          <w:tcPr>
            <w:tcW w:w="7513" w:type="dxa"/>
            <w:gridSpan w:val="7"/>
            <w:tcBorders>
              <w:top w:val="nil"/>
              <w:left w:val="nil"/>
              <w:bottom w:val="single" w:sz="4" w:space="0" w:color="auto"/>
              <w:right w:val="nil"/>
            </w:tcBorders>
            <w:vAlign w:val="bottom"/>
          </w:tcPr>
          <w:p w14:paraId="6668EB5F" w14:textId="77777777" w:rsidR="00FF7317" w:rsidRPr="00701439" w:rsidRDefault="00FF7317" w:rsidP="0002541E">
            <w:pPr>
              <w:rPr>
                <w:rFonts w:asciiTheme="minorHAnsi" w:hAnsiTheme="minorHAnsi" w:cs="Arial"/>
                <w:sz w:val="20"/>
                <w:szCs w:val="20"/>
              </w:rPr>
            </w:pPr>
          </w:p>
          <w:p w14:paraId="057A98E6" w14:textId="2F72D58C" w:rsidR="00A3021A" w:rsidRPr="00701439" w:rsidRDefault="00A3021A">
            <w:pPr>
              <w:jc w:val="center"/>
              <w:rPr>
                <w:rFonts w:asciiTheme="minorHAnsi" w:hAnsiTheme="minorHAnsi" w:cs="Arial"/>
                <w:sz w:val="20"/>
                <w:szCs w:val="20"/>
              </w:rPr>
            </w:pPr>
            <w:r w:rsidRPr="00701439">
              <w:rPr>
                <w:rFonts w:asciiTheme="minorHAnsi" w:hAnsiTheme="minorHAnsi" w:cs="Arial"/>
                <w:sz w:val="20"/>
                <w:szCs w:val="20"/>
              </w:rPr>
              <w:t>2022</w:t>
            </w:r>
          </w:p>
        </w:tc>
      </w:tr>
      <w:tr w:rsidR="00A3021A" w:rsidRPr="00701439" w14:paraId="62C7CE66" w14:textId="77777777" w:rsidTr="0002541E">
        <w:trPr>
          <w:trHeight w:val="240"/>
        </w:trPr>
        <w:tc>
          <w:tcPr>
            <w:tcW w:w="2444" w:type="dxa"/>
            <w:tcBorders>
              <w:top w:val="nil"/>
              <w:left w:val="nil"/>
              <w:bottom w:val="nil"/>
              <w:right w:val="nil"/>
            </w:tcBorders>
            <w:vAlign w:val="bottom"/>
          </w:tcPr>
          <w:p w14:paraId="345C4C73" w14:textId="77777777" w:rsidR="00A3021A" w:rsidRPr="00701439" w:rsidRDefault="00A3021A">
            <w:pPr>
              <w:rPr>
                <w:rFonts w:asciiTheme="minorHAnsi" w:hAnsiTheme="minorHAnsi" w:cs="Arial"/>
                <w:sz w:val="20"/>
                <w:szCs w:val="20"/>
              </w:rPr>
            </w:pPr>
          </w:p>
        </w:tc>
        <w:tc>
          <w:tcPr>
            <w:tcW w:w="4394" w:type="dxa"/>
            <w:gridSpan w:val="4"/>
            <w:tcBorders>
              <w:top w:val="nil"/>
              <w:left w:val="nil"/>
              <w:bottom w:val="single" w:sz="4" w:space="0" w:color="auto"/>
              <w:right w:val="nil"/>
            </w:tcBorders>
            <w:vAlign w:val="bottom"/>
          </w:tcPr>
          <w:p w14:paraId="53ED9B5D" w14:textId="77777777" w:rsidR="00A3021A" w:rsidRPr="00701439" w:rsidRDefault="00A3021A">
            <w:pPr>
              <w:jc w:val="center"/>
              <w:rPr>
                <w:rFonts w:asciiTheme="minorHAnsi" w:hAnsiTheme="minorHAnsi" w:cs="Arial"/>
                <w:sz w:val="20"/>
                <w:szCs w:val="20"/>
              </w:rPr>
            </w:pPr>
            <w:r w:rsidRPr="00701439">
              <w:rPr>
                <w:rFonts w:asciiTheme="minorHAnsi" w:hAnsiTheme="minorHAnsi" w:cs="Arial"/>
                <w:sz w:val="20"/>
                <w:szCs w:val="20"/>
              </w:rPr>
              <w:t>Continuing operations</w:t>
            </w:r>
          </w:p>
        </w:tc>
        <w:tc>
          <w:tcPr>
            <w:tcW w:w="3119" w:type="dxa"/>
            <w:gridSpan w:val="3"/>
            <w:tcBorders>
              <w:top w:val="nil"/>
              <w:left w:val="nil"/>
              <w:bottom w:val="single" w:sz="4" w:space="0" w:color="auto"/>
              <w:right w:val="nil"/>
            </w:tcBorders>
          </w:tcPr>
          <w:p w14:paraId="5D6E127B" w14:textId="77777777" w:rsidR="00A3021A" w:rsidRPr="00701439" w:rsidRDefault="00A3021A">
            <w:pPr>
              <w:jc w:val="center"/>
              <w:rPr>
                <w:rFonts w:asciiTheme="minorHAnsi" w:hAnsiTheme="minorHAnsi" w:cs="Arial"/>
                <w:sz w:val="20"/>
                <w:szCs w:val="20"/>
              </w:rPr>
            </w:pPr>
            <w:r w:rsidRPr="00701439">
              <w:rPr>
                <w:rFonts w:asciiTheme="minorHAnsi" w:hAnsiTheme="minorHAnsi" w:cs="Arial"/>
                <w:sz w:val="20"/>
                <w:szCs w:val="20"/>
              </w:rPr>
              <w:t>Discontinued operations</w:t>
            </w:r>
          </w:p>
        </w:tc>
      </w:tr>
      <w:tr w:rsidR="00A3021A" w:rsidRPr="00701439" w14:paraId="6F659A44" w14:textId="77777777" w:rsidTr="0002541E">
        <w:trPr>
          <w:trHeight w:val="457"/>
        </w:trPr>
        <w:tc>
          <w:tcPr>
            <w:tcW w:w="2444" w:type="dxa"/>
            <w:tcBorders>
              <w:top w:val="nil"/>
              <w:left w:val="nil"/>
              <w:bottom w:val="nil"/>
              <w:right w:val="nil"/>
            </w:tcBorders>
            <w:vAlign w:val="bottom"/>
          </w:tcPr>
          <w:p w14:paraId="26461777" w14:textId="77777777" w:rsidR="00A3021A" w:rsidRPr="00701439" w:rsidRDefault="00A3021A">
            <w:pPr>
              <w:rPr>
                <w:rFonts w:asciiTheme="minorHAnsi" w:hAnsiTheme="minorHAnsi" w:cs="Arial"/>
                <w:sz w:val="20"/>
                <w:szCs w:val="20"/>
              </w:rPr>
            </w:pPr>
          </w:p>
        </w:tc>
        <w:tc>
          <w:tcPr>
            <w:tcW w:w="992" w:type="dxa"/>
            <w:tcBorders>
              <w:top w:val="single" w:sz="4" w:space="0" w:color="auto"/>
              <w:left w:val="nil"/>
              <w:bottom w:val="nil"/>
              <w:right w:val="nil"/>
            </w:tcBorders>
            <w:vAlign w:val="bottom"/>
          </w:tcPr>
          <w:p w14:paraId="69FF0619"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Adjusted PBT </w:t>
            </w:r>
          </w:p>
        </w:tc>
        <w:tc>
          <w:tcPr>
            <w:tcW w:w="1276" w:type="dxa"/>
            <w:tcBorders>
              <w:top w:val="single" w:sz="4" w:space="0" w:color="auto"/>
              <w:left w:val="nil"/>
              <w:bottom w:val="nil"/>
              <w:right w:val="nil"/>
            </w:tcBorders>
          </w:tcPr>
          <w:p w14:paraId="7799CD10"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Exceptional items</w:t>
            </w:r>
          </w:p>
        </w:tc>
        <w:tc>
          <w:tcPr>
            <w:tcW w:w="1417" w:type="dxa"/>
            <w:tcBorders>
              <w:top w:val="single" w:sz="4" w:space="0" w:color="auto"/>
              <w:left w:val="nil"/>
              <w:bottom w:val="nil"/>
              <w:right w:val="nil"/>
            </w:tcBorders>
          </w:tcPr>
          <w:p w14:paraId="625CD2CD" w14:textId="77777777" w:rsidR="00A3021A" w:rsidRPr="00701439" w:rsidRDefault="00A3021A">
            <w:pPr>
              <w:jc w:val="right"/>
              <w:rPr>
                <w:rFonts w:asciiTheme="minorHAnsi" w:hAnsiTheme="minorHAnsi" w:cs="Arial"/>
                <w:sz w:val="20"/>
                <w:szCs w:val="20"/>
              </w:rPr>
            </w:pPr>
          </w:p>
          <w:p w14:paraId="1E0FE335"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Amortisation</w:t>
            </w:r>
          </w:p>
        </w:tc>
        <w:tc>
          <w:tcPr>
            <w:tcW w:w="709" w:type="dxa"/>
            <w:tcBorders>
              <w:top w:val="single" w:sz="4" w:space="0" w:color="auto"/>
              <w:left w:val="nil"/>
              <w:bottom w:val="nil"/>
              <w:right w:val="nil"/>
            </w:tcBorders>
            <w:vAlign w:val="bottom"/>
          </w:tcPr>
          <w:p w14:paraId="628C2ED6"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Total</w:t>
            </w:r>
          </w:p>
        </w:tc>
        <w:tc>
          <w:tcPr>
            <w:tcW w:w="992" w:type="dxa"/>
            <w:tcBorders>
              <w:top w:val="single" w:sz="4" w:space="0" w:color="auto"/>
              <w:left w:val="nil"/>
              <w:bottom w:val="nil"/>
              <w:right w:val="nil"/>
            </w:tcBorders>
          </w:tcPr>
          <w:p w14:paraId="36EDA5A1"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 xml:space="preserve">Adjusted PBT </w:t>
            </w:r>
          </w:p>
        </w:tc>
        <w:tc>
          <w:tcPr>
            <w:tcW w:w="1276" w:type="dxa"/>
            <w:tcBorders>
              <w:top w:val="single" w:sz="4" w:space="0" w:color="auto"/>
              <w:left w:val="nil"/>
              <w:bottom w:val="nil"/>
              <w:right w:val="nil"/>
            </w:tcBorders>
          </w:tcPr>
          <w:p w14:paraId="55F7DBD1"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Exceptional items</w:t>
            </w:r>
          </w:p>
        </w:tc>
        <w:tc>
          <w:tcPr>
            <w:tcW w:w="851" w:type="dxa"/>
            <w:tcBorders>
              <w:top w:val="single" w:sz="4" w:space="0" w:color="auto"/>
              <w:left w:val="nil"/>
              <w:bottom w:val="nil"/>
              <w:right w:val="nil"/>
            </w:tcBorders>
          </w:tcPr>
          <w:p w14:paraId="20B8C1F6" w14:textId="77777777" w:rsidR="00A3021A" w:rsidRPr="00701439" w:rsidRDefault="00A3021A">
            <w:pPr>
              <w:jc w:val="right"/>
              <w:rPr>
                <w:rFonts w:asciiTheme="minorHAnsi" w:hAnsiTheme="minorHAnsi" w:cs="Arial"/>
                <w:sz w:val="20"/>
                <w:szCs w:val="20"/>
              </w:rPr>
            </w:pPr>
          </w:p>
          <w:p w14:paraId="6AF5B675"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Total</w:t>
            </w:r>
          </w:p>
        </w:tc>
      </w:tr>
      <w:tr w:rsidR="00A3021A" w:rsidRPr="00701439" w14:paraId="10E3DAF2" w14:textId="77777777" w:rsidTr="0002541E">
        <w:trPr>
          <w:trHeight w:val="228"/>
        </w:trPr>
        <w:tc>
          <w:tcPr>
            <w:tcW w:w="2444" w:type="dxa"/>
            <w:tcBorders>
              <w:top w:val="nil"/>
              <w:left w:val="nil"/>
              <w:bottom w:val="nil"/>
              <w:right w:val="nil"/>
            </w:tcBorders>
            <w:vAlign w:val="bottom"/>
          </w:tcPr>
          <w:p w14:paraId="27DC14F8" w14:textId="77777777" w:rsidR="00A3021A" w:rsidRPr="00701439" w:rsidRDefault="00A3021A">
            <w:pPr>
              <w:rPr>
                <w:rFonts w:asciiTheme="minorHAnsi" w:hAnsiTheme="minorHAnsi" w:cs="Arial"/>
                <w:sz w:val="20"/>
                <w:szCs w:val="20"/>
              </w:rPr>
            </w:pPr>
          </w:p>
        </w:tc>
        <w:tc>
          <w:tcPr>
            <w:tcW w:w="992" w:type="dxa"/>
            <w:tcBorders>
              <w:top w:val="nil"/>
              <w:left w:val="nil"/>
              <w:bottom w:val="single" w:sz="4" w:space="0" w:color="auto"/>
              <w:right w:val="nil"/>
            </w:tcBorders>
            <w:vAlign w:val="bottom"/>
          </w:tcPr>
          <w:p w14:paraId="411D4815"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£m </w:t>
            </w:r>
          </w:p>
        </w:tc>
        <w:tc>
          <w:tcPr>
            <w:tcW w:w="1276" w:type="dxa"/>
            <w:tcBorders>
              <w:top w:val="nil"/>
              <w:left w:val="nil"/>
              <w:bottom w:val="single" w:sz="4" w:space="0" w:color="auto"/>
              <w:right w:val="nil"/>
            </w:tcBorders>
          </w:tcPr>
          <w:p w14:paraId="1B632D3D"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£m</w:t>
            </w:r>
          </w:p>
        </w:tc>
        <w:tc>
          <w:tcPr>
            <w:tcW w:w="1417" w:type="dxa"/>
            <w:tcBorders>
              <w:top w:val="nil"/>
              <w:left w:val="nil"/>
              <w:bottom w:val="single" w:sz="4" w:space="0" w:color="auto"/>
              <w:right w:val="nil"/>
            </w:tcBorders>
          </w:tcPr>
          <w:p w14:paraId="46CB4E4F"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£m</w:t>
            </w:r>
          </w:p>
        </w:tc>
        <w:tc>
          <w:tcPr>
            <w:tcW w:w="709" w:type="dxa"/>
            <w:tcBorders>
              <w:top w:val="nil"/>
              <w:left w:val="nil"/>
              <w:bottom w:val="single" w:sz="4" w:space="0" w:color="auto"/>
              <w:right w:val="nil"/>
            </w:tcBorders>
            <w:vAlign w:val="bottom"/>
          </w:tcPr>
          <w:p w14:paraId="0087FBAE"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£m </w:t>
            </w:r>
          </w:p>
        </w:tc>
        <w:tc>
          <w:tcPr>
            <w:tcW w:w="992" w:type="dxa"/>
            <w:tcBorders>
              <w:top w:val="nil"/>
              <w:left w:val="nil"/>
              <w:bottom w:val="single" w:sz="4" w:space="0" w:color="auto"/>
              <w:right w:val="nil"/>
            </w:tcBorders>
          </w:tcPr>
          <w:p w14:paraId="7BCEE08E"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£m</w:t>
            </w:r>
          </w:p>
        </w:tc>
        <w:tc>
          <w:tcPr>
            <w:tcW w:w="1276" w:type="dxa"/>
            <w:tcBorders>
              <w:top w:val="nil"/>
              <w:left w:val="nil"/>
              <w:bottom w:val="single" w:sz="4" w:space="0" w:color="auto"/>
              <w:right w:val="nil"/>
            </w:tcBorders>
          </w:tcPr>
          <w:p w14:paraId="4A899715"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£m</w:t>
            </w:r>
          </w:p>
        </w:tc>
        <w:tc>
          <w:tcPr>
            <w:tcW w:w="851" w:type="dxa"/>
            <w:tcBorders>
              <w:top w:val="nil"/>
              <w:left w:val="nil"/>
              <w:bottom w:val="single" w:sz="4" w:space="0" w:color="auto"/>
              <w:right w:val="nil"/>
            </w:tcBorders>
          </w:tcPr>
          <w:p w14:paraId="1B75CA70"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£m</w:t>
            </w:r>
          </w:p>
        </w:tc>
      </w:tr>
      <w:tr w:rsidR="00A3021A" w:rsidRPr="00701439" w14:paraId="5616459B" w14:textId="77777777" w:rsidTr="0002541E">
        <w:trPr>
          <w:trHeight w:val="240"/>
        </w:trPr>
        <w:tc>
          <w:tcPr>
            <w:tcW w:w="2444" w:type="dxa"/>
            <w:tcBorders>
              <w:top w:val="nil"/>
              <w:left w:val="nil"/>
              <w:bottom w:val="nil"/>
              <w:right w:val="nil"/>
            </w:tcBorders>
            <w:vAlign w:val="bottom"/>
          </w:tcPr>
          <w:p w14:paraId="1053287E" w14:textId="77777777" w:rsidR="00A3021A" w:rsidRPr="00701439" w:rsidRDefault="00A3021A">
            <w:pPr>
              <w:rPr>
                <w:rFonts w:asciiTheme="minorHAnsi" w:hAnsiTheme="minorHAnsi" w:cs="Arial"/>
                <w:b/>
                <w:sz w:val="20"/>
                <w:szCs w:val="20"/>
              </w:rPr>
            </w:pPr>
            <w:r w:rsidRPr="00701439">
              <w:rPr>
                <w:rFonts w:asciiTheme="minorHAnsi" w:hAnsiTheme="minorHAnsi" w:cs="Arial"/>
                <w:b/>
                <w:sz w:val="20"/>
                <w:szCs w:val="20"/>
              </w:rPr>
              <w:t xml:space="preserve">Profit/(loss) before taxation </w:t>
            </w:r>
          </w:p>
        </w:tc>
        <w:tc>
          <w:tcPr>
            <w:tcW w:w="992" w:type="dxa"/>
            <w:tcBorders>
              <w:top w:val="single" w:sz="4" w:space="0" w:color="auto"/>
              <w:left w:val="nil"/>
              <w:bottom w:val="single" w:sz="4" w:space="0" w:color="auto"/>
              <w:right w:val="nil"/>
            </w:tcBorders>
            <w:vAlign w:val="bottom"/>
          </w:tcPr>
          <w:p w14:paraId="6145348D"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126.6</w:t>
            </w:r>
          </w:p>
        </w:tc>
        <w:tc>
          <w:tcPr>
            <w:tcW w:w="1276" w:type="dxa"/>
            <w:tcBorders>
              <w:top w:val="single" w:sz="4" w:space="0" w:color="auto"/>
              <w:left w:val="nil"/>
              <w:bottom w:val="single" w:sz="4" w:space="0" w:color="auto"/>
              <w:right w:val="nil"/>
            </w:tcBorders>
          </w:tcPr>
          <w:p w14:paraId="36FDE9B4" w14:textId="77777777" w:rsidR="00A3021A" w:rsidRPr="00701439" w:rsidRDefault="00A3021A">
            <w:pPr>
              <w:jc w:val="right"/>
              <w:rPr>
                <w:rFonts w:asciiTheme="minorHAnsi" w:hAnsiTheme="minorHAnsi" w:cstheme="minorHAnsi"/>
                <w:sz w:val="20"/>
                <w:szCs w:val="20"/>
              </w:rPr>
            </w:pPr>
          </w:p>
          <w:p w14:paraId="45FB681F"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(9.0)</w:t>
            </w:r>
          </w:p>
        </w:tc>
        <w:tc>
          <w:tcPr>
            <w:tcW w:w="1417" w:type="dxa"/>
            <w:tcBorders>
              <w:top w:val="single" w:sz="4" w:space="0" w:color="auto"/>
              <w:left w:val="nil"/>
              <w:bottom w:val="single" w:sz="4" w:space="0" w:color="auto"/>
              <w:right w:val="nil"/>
            </w:tcBorders>
          </w:tcPr>
          <w:p w14:paraId="58D63CE9" w14:textId="77777777" w:rsidR="00A3021A" w:rsidRPr="00701439" w:rsidRDefault="00A3021A">
            <w:pPr>
              <w:jc w:val="right"/>
              <w:rPr>
                <w:rFonts w:asciiTheme="minorHAnsi" w:hAnsiTheme="minorHAnsi" w:cstheme="minorHAnsi"/>
                <w:sz w:val="20"/>
                <w:szCs w:val="20"/>
              </w:rPr>
            </w:pPr>
          </w:p>
          <w:p w14:paraId="2DEB93B5"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(7.5)</w:t>
            </w:r>
          </w:p>
        </w:tc>
        <w:tc>
          <w:tcPr>
            <w:tcW w:w="709" w:type="dxa"/>
            <w:tcBorders>
              <w:top w:val="single" w:sz="4" w:space="0" w:color="auto"/>
              <w:left w:val="nil"/>
              <w:bottom w:val="single" w:sz="4" w:space="0" w:color="auto"/>
              <w:right w:val="nil"/>
            </w:tcBorders>
            <w:vAlign w:val="bottom"/>
          </w:tcPr>
          <w:p w14:paraId="418E5128"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110.1</w:t>
            </w:r>
          </w:p>
        </w:tc>
        <w:tc>
          <w:tcPr>
            <w:tcW w:w="992" w:type="dxa"/>
            <w:tcBorders>
              <w:top w:val="single" w:sz="4" w:space="0" w:color="auto"/>
              <w:left w:val="nil"/>
              <w:bottom w:val="single" w:sz="4" w:space="0" w:color="auto"/>
              <w:right w:val="nil"/>
            </w:tcBorders>
          </w:tcPr>
          <w:p w14:paraId="0BCC5389" w14:textId="77777777" w:rsidR="00A3021A" w:rsidRPr="00701439" w:rsidRDefault="00A3021A">
            <w:pPr>
              <w:jc w:val="right"/>
              <w:rPr>
                <w:rFonts w:asciiTheme="minorHAnsi" w:hAnsiTheme="minorHAnsi" w:cstheme="minorHAnsi"/>
                <w:sz w:val="20"/>
                <w:szCs w:val="20"/>
              </w:rPr>
            </w:pPr>
          </w:p>
          <w:p w14:paraId="38AD66BE"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(15.3)</w:t>
            </w:r>
          </w:p>
        </w:tc>
        <w:tc>
          <w:tcPr>
            <w:tcW w:w="1276" w:type="dxa"/>
            <w:tcBorders>
              <w:top w:val="single" w:sz="4" w:space="0" w:color="auto"/>
              <w:left w:val="nil"/>
              <w:bottom w:val="single" w:sz="4" w:space="0" w:color="auto"/>
              <w:right w:val="nil"/>
            </w:tcBorders>
          </w:tcPr>
          <w:p w14:paraId="6F4B54CC" w14:textId="77777777" w:rsidR="00A3021A" w:rsidRPr="00701439" w:rsidRDefault="00A3021A">
            <w:pPr>
              <w:jc w:val="right"/>
              <w:rPr>
                <w:rFonts w:asciiTheme="minorHAnsi" w:hAnsiTheme="minorHAnsi" w:cstheme="minorHAnsi"/>
                <w:sz w:val="20"/>
                <w:szCs w:val="20"/>
              </w:rPr>
            </w:pPr>
          </w:p>
          <w:p w14:paraId="380104C7"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4.6</w:t>
            </w:r>
          </w:p>
        </w:tc>
        <w:tc>
          <w:tcPr>
            <w:tcW w:w="851" w:type="dxa"/>
            <w:tcBorders>
              <w:top w:val="single" w:sz="4" w:space="0" w:color="auto"/>
              <w:left w:val="nil"/>
              <w:bottom w:val="single" w:sz="4" w:space="0" w:color="auto"/>
              <w:right w:val="nil"/>
            </w:tcBorders>
          </w:tcPr>
          <w:p w14:paraId="1A212B13" w14:textId="77777777" w:rsidR="00A3021A" w:rsidRPr="00701439" w:rsidRDefault="00A3021A">
            <w:pPr>
              <w:jc w:val="right"/>
              <w:rPr>
                <w:rFonts w:asciiTheme="minorHAnsi" w:hAnsiTheme="minorHAnsi" w:cstheme="minorHAnsi"/>
                <w:sz w:val="20"/>
                <w:szCs w:val="20"/>
              </w:rPr>
            </w:pPr>
          </w:p>
          <w:p w14:paraId="057E3725"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(10.7)</w:t>
            </w:r>
          </w:p>
        </w:tc>
      </w:tr>
      <w:tr w:rsidR="00A3021A" w:rsidRPr="00701439" w14:paraId="0930B243" w14:textId="77777777" w:rsidTr="0002541E">
        <w:trPr>
          <w:trHeight w:val="685"/>
        </w:trPr>
        <w:tc>
          <w:tcPr>
            <w:tcW w:w="2444" w:type="dxa"/>
            <w:tcBorders>
              <w:top w:val="nil"/>
              <w:left w:val="nil"/>
              <w:bottom w:val="nil"/>
              <w:right w:val="nil"/>
            </w:tcBorders>
            <w:vAlign w:val="bottom"/>
          </w:tcPr>
          <w:p w14:paraId="2F7929DF"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Profit/(loss) before tax multiplied by standard rate of corporation tax in the UK of 19%</w:t>
            </w:r>
          </w:p>
        </w:tc>
        <w:tc>
          <w:tcPr>
            <w:tcW w:w="992" w:type="dxa"/>
            <w:tcBorders>
              <w:top w:val="single" w:sz="4" w:space="0" w:color="auto"/>
              <w:left w:val="nil"/>
              <w:bottom w:val="nil"/>
              <w:right w:val="nil"/>
            </w:tcBorders>
            <w:vAlign w:val="bottom"/>
          </w:tcPr>
          <w:p w14:paraId="56480C54"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24.1</w:t>
            </w:r>
          </w:p>
        </w:tc>
        <w:tc>
          <w:tcPr>
            <w:tcW w:w="1276" w:type="dxa"/>
            <w:tcBorders>
              <w:top w:val="single" w:sz="4" w:space="0" w:color="auto"/>
              <w:left w:val="nil"/>
              <w:bottom w:val="nil"/>
              <w:right w:val="nil"/>
            </w:tcBorders>
          </w:tcPr>
          <w:p w14:paraId="250DD4D3" w14:textId="77777777" w:rsidR="00A3021A" w:rsidRPr="00701439" w:rsidRDefault="00A3021A">
            <w:pPr>
              <w:jc w:val="right"/>
              <w:rPr>
                <w:rFonts w:asciiTheme="minorHAnsi" w:hAnsiTheme="minorHAnsi" w:cstheme="minorHAnsi"/>
                <w:sz w:val="20"/>
                <w:szCs w:val="20"/>
              </w:rPr>
            </w:pPr>
          </w:p>
          <w:p w14:paraId="1EAA621E" w14:textId="77777777" w:rsidR="00A3021A" w:rsidRPr="00701439" w:rsidRDefault="00A3021A">
            <w:pPr>
              <w:jc w:val="right"/>
              <w:rPr>
                <w:rFonts w:asciiTheme="minorHAnsi" w:hAnsiTheme="minorHAnsi" w:cstheme="minorHAnsi"/>
                <w:sz w:val="20"/>
                <w:szCs w:val="20"/>
              </w:rPr>
            </w:pPr>
          </w:p>
          <w:p w14:paraId="0982ECF9" w14:textId="77777777" w:rsidR="00A3021A" w:rsidRPr="00701439" w:rsidRDefault="00A3021A">
            <w:pPr>
              <w:jc w:val="right"/>
              <w:rPr>
                <w:rFonts w:asciiTheme="minorHAnsi" w:hAnsiTheme="minorHAnsi" w:cstheme="minorHAnsi"/>
                <w:sz w:val="20"/>
                <w:szCs w:val="20"/>
              </w:rPr>
            </w:pPr>
          </w:p>
          <w:p w14:paraId="7EC9B849"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(1.7)</w:t>
            </w:r>
          </w:p>
        </w:tc>
        <w:tc>
          <w:tcPr>
            <w:tcW w:w="1417" w:type="dxa"/>
            <w:tcBorders>
              <w:top w:val="single" w:sz="4" w:space="0" w:color="auto"/>
              <w:left w:val="nil"/>
              <w:bottom w:val="nil"/>
              <w:right w:val="nil"/>
            </w:tcBorders>
          </w:tcPr>
          <w:p w14:paraId="1BAFD2B1" w14:textId="77777777" w:rsidR="00A3021A" w:rsidRPr="00701439" w:rsidRDefault="00A3021A">
            <w:pPr>
              <w:jc w:val="right"/>
              <w:rPr>
                <w:rFonts w:asciiTheme="minorHAnsi" w:hAnsiTheme="minorHAnsi" w:cstheme="minorHAnsi"/>
                <w:sz w:val="20"/>
                <w:szCs w:val="20"/>
              </w:rPr>
            </w:pPr>
          </w:p>
          <w:p w14:paraId="433281AE" w14:textId="77777777" w:rsidR="00A3021A" w:rsidRPr="00701439" w:rsidRDefault="00A3021A">
            <w:pPr>
              <w:jc w:val="right"/>
              <w:rPr>
                <w:rFonts w:asciiTheme="minorHAnsi" w:hAnsiTheme="minorHAnsi" w:cstheme="minorHAnsi"/>
                <w:sz w:val="20"/>
                <w:szCs w:val="20"/>
              </w:rPr>
            </w:pPr>
          </w:p>
          <w:p w14:paraId="03A5BE97" w14:textId="77777777" w:rsidR="00A3021A" w:rsidRPr="00701439" w:rsidRDefault="00A3021A">
            <w:pPr>
              <w:jc w:val="right"/>
              <w:rPr>
                <w:rFonts w:asciiTheme="minorHAnsi" w:hAnsiTheme="minorHAnsi" w:cstheme="minorHAnsi"/>
                <w:sz w:val="20"/>
                <w:szCs w:val="20"/>
              </w:rPr>
            </w:pPr>
          </w:p>
          <w:p w14:paraId="088D5A2F"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(1.4)</w:t>
            </w:r>
          </w:p>
        </w:tc>
        <w:tc>
          <w:tcPr>
            <w:tcW w:w="709" w:type="dxa"/>
            <w:tcBorders>
              <w:top w:val="single" w:sz="4" w:space="0" w:color="auto"/>
              <w:left w:val="nil"/>
              <w:bottom w:val="nil"/>
              <w:right w:val="nil"/>
            </w:tcBorders>
            <w:vAlign w:val="bottom"/>
          </w:tcPr>
          <w:p w14:paraId="31C980D0"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21.0</w:t>
            </w:r>
          </w:p>
        </w:tc>
        <w:tc>
          <w:tcPr>
            <w:tcW w:w="992" w:type="dxa"/>
            <w:tcBorders>
              <w:top w:val="single" w:sz="4" w:space="0" w:color="auto"/>
              <w:left w:val="nil"/>
              <w:bottom w:val="nil"/>
              <w:right w:val="nil"/>
            </w:tcBorders>
          </w:tcPr>
          <w:p w14:paraId="1A5F66D5" w14:textId="77777777" w:rsidR="00A3021A" w:rsidRPr="00701439" w:rsidRDefault="00A3021A">
            <w:pPr>
              <w:jc w:val="right"/>
              <w:rPr>
                <w:rFonts w:asciiTheme="minorHAnsi" w:hAnsiTheme="minorHAnsi" w:cstheme="minorHAnsi"/>
                <w:sz w:val="20"/>
                <w:szCs w:val="20"/>
              </w:rPr>
            </w:pPr>
          </w:p>
          <w:p w14:paraId="58F8C6DB" w14:textId="77777777" w:rsidR="00A3021A" w:rsidRPr="00701439" w:rsidRDefault="00A3021A">
            <w:pPr>
              <w:jc w:val="right"/>
              <w:rPr>
                <w:rFonts w:asciiTheme="minorHAnsi" w:hAnsiTheme="minorHAnsi" w:cstheme="minorHAnsi"/>
                <w:sz w:val="20"/>
                <w:szCs w:val="20"/>
              </w:rPr>
            </w:pPr>
          </w:p>
          <w:p w14:paraId="5AF1925A" w14:textId="77777777" w:rsidR="00A3021A" w:rsidRPr="00701439" w:rsidRDefault="00A3021A">
            <w:pPr>
              <w:jc w:val="right"/>
              <w:rPr>
                <w:rFonts w:asciiTheme="minorHAnsi" w:hAnsiTheme="minorHAnsi" w:cstheme="minorHAnsi"/>
                <w:sz w:val="20"/>
                <w:szCs w:val="20"/>
              </w:rPr>
            </w:pPr>
          </w:p>
          <w:p w14:paraId="00887BE3"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(2.9)</w:t>
            </w:r>
          </w:p>
        </w:tc>
        <w:tc>
          <w:tcPr>
            <w:tcW w:w="1276" w:type="dxa"/>
            <w:tcBorders>
              <w:top w:val="single" w:sz="4" w:space="0" w:color="auto"/>
              <w:left w:val="nil"/>
              <w:bottom w:val="nil"/>
              <w:right w:val="nil"/>
            </w:tcBorders>
          </w:tcPr>
          <w:p w14:paraId="0F056A3E" w14:textId="77777777" w:rsidR="00A3021A" w:rsidRPr="00701439" w:rsidRDefault="00A3021A">
            <w:pPr>
              <w:jc w:val="right"/>
              <w:rPr>
                <w:rFonts w:asciiTheme="minorHAnsi" w:hAnsiTheme="minorHAnsi" w:cstheme="minorHAnsi"/>
                <w:sz w:val="20"/>
                <w:szCs w:val="20"/>
              </w:rPr>
            </w:pPr>
          </w:p>
          <w:p w14:paraId="5DC97788" w14:textId="77777777" w:rsidR="00A3021A" w:rsidRPr="00701439" w:rsidRDefault="00A3021A">
            <w:pPr>
              <w:jc w:val="right"/>
              <w:rPr>
                <w:rFonts w:asciiTheme="minorHAnsi" w:hAnsiTheme="minorHAnsi" w:cstheme="minorHAnsi"/>
                <w:sz w:val="20"/>
                <w:szCs w:val="20"/>
              </w:rPr>
            </w:pPr>
          </w:p>
          <w:p w14:paraId="14FB8BCA" w14:textId="77777777" w:rsidR="00A3021A" w:rsidRPr="00701439" w:rsidRDefault="00A3021A">
            <w:pPr>
              <w:jc w:val="right"/>
              <w:rPr>
                <w:rFonts w:asciiTheme="minorHAnsi" w:hAnsiTheme="minorHAnsi" w:cstheme="minorHAnsi"/>
                <w:sz w:val="20"/>
                <w:szCs w:val="20"/>
              </w:rPr>
            </w:pPr>
          </w:p>
          <w:p w14:paraId="112E8B6B"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0.9</w:t>
            </w:r>
          </w:p>
        </w:tc>
        <w:tc>
          <w:tcPr>
            <w:tcW w:w="851" w:type="dxa"/>
            <w:tcBorders>
              <w:top w:val="single" w:sz="4" w:space="0" w:color="auto"/>
              <w:left w:val="nil"/>
              <w:bottom w:val="nil"/>
              <w:right w:val="nil"/>
            </w:tcBorders>
          </w:tcPr>
          <w:p w14:paraId="41A742D7" w14:textId="77777777" w:rsidR="00A3021A" w:rsidRPr="00701439" w:rsidRDefault="00A3021A">
            <w:pPr>
              <w:jc w:val="right"/>
              <w:rPr>
                <w:rFonts w:asciiTheme="minorHAnsi" w:hAnsiTheme="minorHAnsi" w:cstheme="minorHAnsi"/>
                <w:sz w:val="20"/>
                <w:szCs w:val="20"/>
              </w:rPr>
            </w:pPr>
          </w:p>
          <w:p w14:paraId="48BC0A12" w14:textId="77777777" w:rsidR="00A3021A" w:rsidRPr="00701439" w:rsidRDefault="00A3021A">
            <w:pPr>
              <w:jc w:val="right"/>
              <w:rPr>
                <w:rFonts w:asciiTheme="minorHAnsi" w:hAnsiTheme="minorHAnsi" w:cstheme="minorHAnsi"/>
                <w:sz w:val="20"/>
                <w:szCs w:val="20"/>
              </w:rPr>
            </w:pPr>
          </w:p>
          <w:p w14:paraId="70DB37D1" w14:textId="77777777" w:rsidR="00A3021A" w:rsidRPr="00701439" w:rsidRDefault="00A3021A">
            <w:pPr>
              <w:jc w:val="right"/>
              <w:rPr>
                <w:rFonts w:asciiTheme="minorHAnsi" w:hAnsiTheme="minorHAnsi" w:cstheme="minorHAnsi"/>
                <w:sz w:val="20"/>
                <w:szCs w:val="20"/>
              </w:rPr>
            </w:pPr>
          </w:p>
          <w:p w14:paraId="24F9409E"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(2.0)</w:t>
            </w:r>
          </w:p>
        </w:tc>
      </w:tr>
      <w:tr w:rsidR="00A3021A" w:rsidRPr="00701439" w14:paraId="7B33306B" w14:textId="77777777" w:rsidTr="0002541E">
        <w:trPr>
          <w:trHeight w:val="240"/>
        </w:trPr>
        <w:tc>
          <w:tcPr>
            <w:tcW w:w="2444" w:type="dxa"/>
            <w:tcBorders>
              <w:top w:val="nil"/>
              <w:left w:val="nil"/>
              <w:bottom w:val="nil"/>
              <w:right w:val="nil"/>
            </w:tcBorders>
            <w:vAlign w:val="bottom"/>
          </w:tcPr>
          <w:p w14:paraId="2C33650B"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Effects of:</w:t>
            </w:r>
          </w:p>
        </w:tc>
        <w:tc>
          <w:tcPr>
            <w:tcW w:w="992" w:type="dxa"/>
            <w:tcBorders>
              <w:top w:val="nil"/>
              <w:left w:val="nil"/>
              <w:bottom w:val="nil"/>
              <w:right w:val="nil"/>
            </w:tcBorders>
            <w:vAlign w:val="bottom"/>
          </w:tcPr>
          <w:p w14:paraId="4AB83362" w14:textId="77777777" w:rsidR="00A3021A" w:rsidRPr="00701439" w:rsidRDefault="00A3021A">
            <w:pPr>
              <w:jc w:val="right"/>
              <w:rPr>
                <w:rFonts w:asciiTheme="minorHAnsi" w:hAnsiTheme="minorHAnsi" w:cstheme="minorHAnsi"/>
                <w:sz w:val="20"/>
                <w:szCs w:val="20"/>
              </w:rPr>
            </w:pPr>
          </w:p>
        </w:tc>
        <w:tc>
          <w:tcPr>
            <w:tcW w:w="1276" w:type="dxa"/>
            <w:tcBorders>
              <w:top w:val="nil"/>
              <w:left w:val="nil"/>
              <w:bottom w:val="nil"/>
              <w:right w:val="nil"/>
            </w:tcBorders>
          </w:tcPr>
          <w:p w14:paraId="17980F05" w14:textId="77777777" w:rsidR="00A3021A" w:rsidRPr="00701439" w:rsidRDefault="00A3021A">
            <w:pPr>
              <w:jc w:val="right"/>
              <w:rPr>
                <w:rFonts w:asciiTheme="minorHAnsi" w:hAnsiTheme="minorHAnsi" w:cstheme="minorHAnsi"/>
                <w:sz w:val="20"/>
                <w:szCs w:val="20"/>
              </w:rPr>
            </w:pPr>
          </w:p>
        </w:tc>
        <w:tc>
          <w:tcPr>
            <w:tcW w:w="1417" w:type="dxa"/>
            <w:tcBorders>
              <w:top w:val="nil"/>
              <w:left w:val="nil"/>
              <w:bottom w:val="nil"/>
              <w:right w:val="nil"/>
            </w:tcBorders>
          </w:tcPr>
          <w:p w14:paraId="3F84F32E" w14:textId="77777777" w:rsidR="00A3021A" w:rsidRPr="00701439" w:rsidRDefault="00A3021A">
            <w:pPr>
              <w:jc w:val="right"/>
              <w:rPr>
                <w:rFonts w:asciiTheme="minorHAnsi" w:hAnsiTheme="minorHAnsi" w:cstheme="minorHAnsi"/>
                <w:sz w:val="20"/>
                <w:szCs w:val="20"/>
              </w:rPr>
            </w:pPr>
          </w:p>
        </w:tc>
        <w:tc>
          <w:tcPr>
            <w:tcW w:w="709" w:type="dxa"/>
            <w:tcBorders>
              <w:top w:val="nil"/>
              <w:left w:val="nil"/>
              <w:bottom w:val="nil"/>
              <w:right w:val="nil"/>
            </w:tcBorders>
            <w:vAlign w:val="bottom"/>
          </w:tcPr>
          <w:p w14:paraId="6A7206AC" w14:textId="77777777" w:rsidR="00A3021A" w:rsidRPr="00701439" w:rsidRDefault="00A3021A">
            <w:pPr>
              <w:jc w:val="right"/>
              <w:rPr>
                <w:rFonts w:asciiTheme="minorHAnsi" w:hAnsiTheme="minorHAnsi" w:cstheme="minorHAnsi"/>
                <w:sz w:val="20"/>
                <w:szCs w:val="20"/>
              </w:rPr>
            </w:pPr>
          </w:p>
        </w:tc>
        <w:tc>
          <w:tcPr>
            <w:tcW w:w="992" w:type="dxa"/>
            <w:tcBorders>
              <w:top w:val="nil"/>
              <w:left w:val="nil"/>
              <w:bottom w:val="nil"/>
              <w:right w:val="nil"/>
            </w:tcBorders>
          </w:tcPr>
          <w:p w14:paraId="3376E1F5" w14:textId="77777777" w:rsidR="00A3021A" w:rsidRPr="00701439" w:rsidRDefault="00A3021A">
            <w:pPr>
              <w:jc w:val="right"/>
              <w:rPr>
                <w:rFonts w:asciiTheme="minorHAnsi" w:hAnsiTheme="minorHAnsi" w:cstheme="minorHAnsi"/>
                <w:sz w:val="20"/>
                <w:szCs w:val="20"/>
              </w:rPr>
            </w:pPr>
          </w:p>
        </w:tc>
        <w:tc>
          <w:tcPr>
            <w:tcW w:w="1276" w:type="dxa"/>
            <w:tcBorders>
              <w:top w:val="nil"/>
              <w:left w:val="nil"/>
              <w:bottom w:val="nil"/>
              <w:right w:val="nil"/>
            </w:tcBorders>
          </w:tcPr>
          <w:p w14:paraId="72C735F0" w14:textId="77777777" w:rsidR="00A3021A" w:rsidRPr="00701439" w:rsidRDefault="00A3021A">
            <w:pPr>
              <w:jc w:val="right"/>
              <w:rPr>
                <w:rFonts w:asciiTheme="minorHAnsi" w:hAnsiTheme="minorHAnsi" w:cstheme="minorHAnsi"/>
                <w:sz w:val="20"/>
                <w:szCs w:val="20"/>
              </w:rPr>
            </w:pPr>
          </w:p>
        </w:tc>
        <w:tc>
          <w:tcPr>
            <w:tcW w:w="851" w:type="dxa"/>
            <w:tcBorders>
              <w:top w:val="nil"/>
              <w:left w:val="nil"/>
              <w:bottom w:val="nil"/>
              <w:right w:val="nil"/>
            </w:tcBorders>
          </w:tcPr>
          <w:p w14:paraId="5F6D3265" w14:textId="77777777" w:rsidR="00A3021A" w:rsidRPr="00701439" w:rsidRDefault="00A3021A">
            <w:pPr>
              <w:jc w:val="right"/>
              <w:rPr>
                <w:rFonts w:asciiTheme="minorHAnsi" w:hAnsiTheme="minorHAnsi" w:cstheme="minorHAnsi"/>
                <w:sz w:val="20"/>
                <w:szCs w:val="20"/>
              </w:rPr>
            </w:pPr>
          </w:p>
        </w:tc>
      </w:tr>
      <w:tr w:rsidR="00A3021A" w:rsidRPr="00701439" w14:paraId="4B35A877" w14:textId="77777777" w:rsidTr="0002541E">
        <w:trPr>
          <w:trHeight w:val="457"/>
        </w:trPr>
        <w:tc>
          <w:tcPr>
            <w:tcW w:w="2444" w:type="dxa"/>
            <w:tcBorders>
              <w:top w:val="nil"/>
              <w:left w:val="nil"/>
              <w:bottom w:val="nil"/>
              <w:right w:val="nil"/>
            </w:tcBorders>
            <w:vAlign w:val="bottom"/>
          </w:tcPr>
          <w:p w14:paraId="75D57001"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 impact of change in UK tax rate (note (a))</w:t>
            </w:r>
          </w:p>
        </w:tc>
        <w:tc>
          <w:tcPr>
            <w:tcW w:w="992" w:type="dxa"/>
            <w:tcBorders>
              <w:top w:val="nil"/>
              <w:left w:val="nil"/>
              <w:bottom w:val="nil"/>
              <w:right w:val="nil"/>
            </w:tcBorders>
            <w:vAlign w:val="bottom"/>
          </w:tcPr>
          <w:p w14:paraId="1836CF60"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3.2</w:t>
            </w:r>
          </w:p>
        </w:tc>
        <w:tc>
          <w:tcPr>
            <w:tcW w:w="1276" w:type="dxa"/>
            <w:tcBorders>
              <w:top w:val="nil"/>
              <w:left w:val="nil"/>
              <w:bottom w:val="nil"/>
              <w:right w:val="nil"/>
            </w:tcBorders>
          </w:tcPr>
          <w:p w14:paraId="09BE56D7" w14:textId="77777777" w:rsidR="00A3021A" w:rsidRPr="00701439" w:rsidRDefault="00A3021A">
            <w:pPr>
              <w:jc w:val="right"/>
              <w:rPr>
                <w:rFonts w:asciiTheme="minorHAnsi" w:hAnsiTheme="minorHAnsi" w:cstheme="minorHAnsi"/>
                <w:sz w:val="20"/>
                <w:szCs w:val="20"/>
              </w:rPr>
            </w:pPr>
          </w:p>
          <w:p w14:paraId="66163C16"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w:t>
            </w:r>
          </w:p>
        </w:tc>
        <w:tc>
          <w:tcPr>
            <w:tcW w:w="1417" w:type="dxa"/>
            <w:tcBorders>
              <w:top w:val="nil"/>
              <w:left w:val="nil"/>
              <w:bottom w:val="nil"/>
              <w:right w:val="nil"/>
            </w:tcBorders>
          </w:tcPr>
          <w:p w14:paraId="7E0C0ADB" w14:textId="77777777" w:rsidR="00A3021A" w:rsidRPr="00701439" w:rsidRDefault="00A3021A">
            <w:pPr>
              <w:jc w:val="right"/>
              <w:rPr>
                <w:rFonts w:asciiTheme="minorHAnsi" w:hAnsiTheme="minorHAnsi" w:cstheme="minorHAnsi"/>
                <w:sz w:val="20"/>
                <w:szCs w:val="20"/>
              </w:rPr>
            </w:pPr>
          </w:p>
          <w:p w14:paraId="2F095EDB"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w:t>
            </w:r>
          </w:p>
        </w:tc>
        <w:tc>
          <w:tcPr>
            <w:tcW w:w="709" w:type="dxa"/>
            <w:tcBorders>
              <w:top w:val="nil"/>
              <w:left w:val="nil"/>
              <w:bottom w:val="nil"/>
              <w:right w:val="nil"/>
            </w:tcBorders>
            <w:vAlign w:val="bottom"/>
          </w:tcPr>
          <w:p w14:paraId="1588D599"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3.2</w:t>
            </w:r>
          </w:p>
        </w:tc>
        <w:tc>
          <w:tcPr>
            <w:tcW w:w="992" w:type="dxa"/>
            <w:tcBorders>
              <w:top w:val="nil"/>
              <w:left w:val="nil"/>
              <w:bottom w:val="nil"/>
              <w:right w:val="nil"/>
            </w:tcBorders>
          </w:tcPr>
          <w:p w14:paraId="3D77007C" w14:textId="77777777" w:rsidR="00A3021A" w:rsidRPr="00701439" w:rsidRDefault="00A3021A">
            <w:pPr>
              <w:jc w:val="right"/>
              <w:rPr>
                <w:rFonts w:asciiTheme="minorHAnsi" w:hAnsiTheme="minorHAnsi" w:cstheme="minorHAnsi"/>
                <w:sz w:val="20"/>
                <w:szCs w:val="20"/>
              </w:rPr>
            </w:pPr>
          </w:p>
          <w:p w14:paraId="195A6DD7"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w:t>
            </w:r>
          </w:p>
        </w:tc>
        <w:tc>
          <w:tcPr>
            <w:tcW w:w="1276" w:type="dxa"/>
            <w:tcBorders>
              <w:top w:val="nil"/>
              <w:left w:val="nil"/>
              <w:bottom w:val="nil"/>
              <w:right w:val="nil"/>
            </w:tcBorders>
          </w:tcPr>
          <w:p w14:paraId="3D348DF3" w14:textId="77777777" w:rsidR="00A3021A" w:rsidRPr="00701439" w:rsidRDefault="00A3021A">
            <w:pPr>
              <w:jc w:val="right"/>
              <w:rPr>
                <w:rFonts w:asciiTheme="minorHAnsi" w:hAnsiTheme="minorHAnsi" w:cstheme="minorHAnsi"/>
                <w:sz w:val="20"/>
                <w:szCs w:val="20"/>
              </w:rPr>
            </w:pPr>
          </w:p>
          <w:p w14:paraId="243669A3"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w:t>
            </w:r>
          </w:p>
        </w:tc>
        <w:tc>
          <w:tcPr>
            <w:tcW w:w="851" w:type="dxa"/>
            <w:tcBorders>
              <w:top w:val="nil"/>
              <w:left w:val="nil"/>
              <w:bottom w:val="nil"/>
              <w:right w:val="nil"/>
            </w:tcBorders>
          </w:tcPr>
          <w:p w14:paraId="567F5B32" w14:textId="77777777" w:rsidR="00A3021A" w:rsidRPr="00701439" w:rsidRDefault="00A3021A">
            <w:pPr>
              <w:jc w:val="right"/>
              <w:rPr>
                <w:rFonts w:asciiTheme="minorHAnsi" w:hAnsiTheme="minorHAnsi" w:cstheme="minorHAnsi"/>
                <w:sz w:val="20"/>
                <w:szCs w:val="20"/>
              </w:rPr>
            </w:pPr>
          </w:p>
          <w:p w14:paraId="6EDA63DB"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w:t>
            </w:r>
          </w:p>
        </w:tc>
      </w:tr>
      <w:tr w:rsidR="00A3021A" w:rsidRPr="00701439" w14:paraId="04905C0F" w14:textId="77777777" w:rsidTr="0002541E">
        <w:trPr>
          <w:trHeight w:val="468"/>
        </w:trPr>
        <w:tc>
          <w:tcPr>
            <w:tcW w:w="2444" w:type="dxa"/>
            <w:tcBorders>
              <w:top w:val="nil"/>
              <w:left w:val="nil"/>
              <w:bottom w:val="nil"/>
              <w:right w:val="nil"/>
            </w:tcBorders>
            <w:vAlign w:val="bottom"/>
          </w:tcPr>
          <w:p w14:paraId="648CCA40"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 impact of bank corporation tax surcharge (note (b))</w:t>
            </w:r>
          </w:p>
        </w:tc>
        <w:tc>
          <w:tcPr>
            <w:tcW w:w="992" w:type="dxa"/>
            <w:tcBorders>
              <w:top w:val="nil"/>
              <w:left w:val="nil"/>
              <w:bottom w:val="nil"/>
              <w:right w:val="nil"/>
            </w:tcBorders>
            <w:vAlign w:val="bottom"/>
          </w:tcPr>
          <w:p w14:paraId="0837DE1B"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8.4</w:t>
            </w:r>
          </w:p>
        </w:tc>
        <w:tc>
          <w:tcPr>
            <w:tcW w:w="1276" w:type="dxa"/>
            <w:tcBorders>
              <w:top w:val="nil"/>
              <w:left w:val="nil"/>
              <w:bottom w:val="nil"/>
              <w:right w:val="nil"/>
            </w:tcBorders>
          </w:tcPr>
          <w:p w14:paraId="62507804" w14:textId="77777777" w:rsidR="00A3021A" w:rsidRPr="00701439" w:rsidRDefault="00A3021A">
            <w:pPr>
              <w:jc w:val="right"/>
              <w:rPr>
                <w:rFonts w:asciiTheme="minorHAnsi" w:hAnsiTheme="minorHAnsi" w:cstheme="minorHAnsi"/>
                <w:sz w:val="20"/>
                <w:szCs w:val="20"/>
              </w:rPr>
            </w:pPr>
          </w:p>
          <w:p w14:paraId="441912DC" w14:textId="77777777" w:rsidR="00A3021A" w:rsidRPr="00701439" w:rsidRDefault="00A3021A">
            <w:pPr>
              <w:jc w:val="right"/>
              <w:rPr>
                <w:rFonts w:asciiTheme="minorHAnsi" w:hAnsiTheme="minorHAnsi" w:cstheme="minorHAnsi"/>
                <w:sz w:val="20"/>
                <w:szCs w:val="20"/>
              </w:rPr>
            </w:pPr>
          </w:p>
          <w:p w14:paraId="10F560DC"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w:t>
            </w:r>
          </w:p>
        </w:tc>
        <w:tc>
          <w:tcPr>
            <w:tcW w:w="1417" w:type="dxa"/>
            <w:tcBorders>
              <w:top w:val="nil"/>
              <w:left w:val="nil"/>
              <w:bottom w:val="nil"/>
              <w:right w:val="nil"/>
            </w:tcBorders>
          </w:tcPr>
          <w:p w14:paraId="309190B8" w14:textId="77777777" w:rsidR="00A3021A" w:rsidRPr="00701439" w:rsidRDefault="00A3021A">
            <w:pPr>
              <w:jc w:val="right"/>
              <w:rPr>
                <w:rFonts w:asciiTheme="minorHAnsi" w:hAnsiTheme="minorHAnsi" w:cstheme="minorHAnsi"/>
                <w:sz w:val="20"/>
                <w:szCs w:val="20"/>
              </w:rPr>
            </w:pPr>
          </w:p>
          <w:p w14:paraId="5B69B08B" w14:textId="77777777" w:rsidR="00A3021A" w:rsidRPr="00701439" w:rsidRDefault="00A3021A">
            <w:pPr>
              <w:jc w:val="right"/>
              <w:rPr>
                <w:rFonts w:asciiTheme="minorHAnsi" w:hAnsiTheme="minorHAnsi" w:cstheme="minorHAnsi"/>
                <w:sz w:val="20"/>
                <w:szCs w:val="20"/>
              </w:rPr>
            </w:pPr>
          </w:p>
          <w:p w14:paraId="00A6AC33"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w:t>
            </w:r>
          </w:p>
        </w:tc>
        <w:tc>
          <w:tcPr>
            <w:tcW w:w="709" w:type="dxa"/>
            <w:tcBorders>
              <w:top w:val="nil"/>
              <w:left w:val="nil"/>
              <w:bottom w:val="nil"/>
              <w:right w:val="nil"/>
            </w:tcBorders>
            <w:vAlign w:val="bottom"/>
          </w:tcPr>
          <w:p w14:paraId="1528E2FE"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8.4</w:t>
            </w:r>
          </w:p>
        </w:tc>
        <w:tc>
          <w:tcPr>
            <w:tcW w:w="992" w:type="dxa"/>
            <w:tcBorders>
              <w:top w:val="nil"/>
              <w:left w:val="nil"/>
              <w:bottom w:val="nil"/>
              <w:right w:val="nil"/>
            </w:tcBorders>
          </w:tcPr>
          <w:p w14:paraId="5C98E22B" w14:textId="77777777" w:rsidR="00A3021A" w:rsidRPr="00701439" w:rsidRDefault="00A3021A">
            <w:pPr>
              <w:jc w:val="right"/>
              <w:rPr>
                <w:rFonts w:asciiTheme="minorHAnsi" w:hAnsiTheme="minorHAnsi" w:cstheme="minorHAnsi"/>
                <w:sz w:val="20"/>
                <w:szCs w:val="20"/>
              </w:rPr>
            </w:pPr>
          </w:p>
          <w:p w14:paraId="7029844A" w14:textId="77777777" w:rsidR="00A3021A" w:rsidRPr="00701439" w:rsidRDefault="00A3021A">
            <w:pPr>
              <w:jc w:val="right"/>
              <w:rPr>
                <w:rFonts w:asciiTheme="minorHAnsi" w:hAnsiTheme="minorHAnsi" w:cstheme="minorHAnsi"/>
                <w:sz w:val="20"/>
                <w:szCs w:val="20"/>
              </w:rPr>
            </w:pPr>
          </w:p>
          <w:p w14:paraId="03C50C5D"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w:t>
            </w:r>
          </w:p>
        </w:tc>
        <w:tc>
          <w:tcPr>
            <w:tcW w:w="1276" w:type="dxa"/>
            <w:tcBorders>
              <w:top w:val="nil"/>
              <w:left w:val="nil"/>
              <w:bottom w:val="nil"/>
              <w:right w:val="nil"/>
            </w:tcBorders>
          </w:tcPr>
          <w:p w14:paraId="3977FA77" w14:textId="77777777" w:rsidR="00A3021A" w:rsidRPr="00701439" w:rsidRDefault="00A3021A">
            <w:pPr>
              <w:jc w:val="right"/>
              <w:rPr>
                <w:rFonts w:asciiTheme="minorHAnsi" w:hAnsiTheme="minorHAnsi" w:cstheme="minorHAnsi"/>
                <w:sz w:val="20"/>
                <w:szCs w:val="20"/>
              </w:rPr>
            </w:pPr>
          </w:p>
          <w:p w14:paraId="4AD0874A" w14:textId="77777777" w:rsidR="00A3021A" w:rsidRPr="00701439" w:rsidRDefault="00A3021A">
            <w:pPr>
              <w:jc w:val="right"/>
              <w:rPr>
                <w:rFonts w:asciiTheme="minorHAnsi" w:hAnsiTheme="minorHAnsi" w:cstheme="minorHAnsi"/>
                <w:sz w:val="20"/>
                <w:szCs w:val="20"/>
              </w:rPr>
            </w:pPr>
          </w:p>
          <w:p w14:paraId="3CE2F67A"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w:t>
            </w:r>
          </w:p>
        </w:tc>
        <w:tc>
          <w:tcPr>
            <w:tcW w:w="851" w:type="dxa"/>
            <w:tcBorders>
              <w:top w:val="nil"/>
              <w:left w:val="nil"/>
              <w:bottom w:val="nil"/>
              <w:right w:val="nil"/>
            </w:tcBorders>
          </w:tcPr>
          <w:p w14:paraId="6A1682EE" w14:textId="77777777" w:rsidR="00A3021A" w:rsidRPr="00701439" w:rsidRDefault="00A3021A">
            <w:pPr>
              <w:jc w:val="right"/>
              <w:rPr>
                <w:rFonts w:asciiTheme="minorHAnsi" w:hAnsiTheme="minorHAnsi" w:cstheme="minorHAnsi"/>
                <w:sz w:val="20"/>
                <w:szCs w:val="20"/>
              </w:rPr>
            </w:pPr>
          </w:p>
          <w:p w14:paraId="7CA9D1C7" w14:textId="77777777" w:rsidR="00A3021A" w:rsidRPr="00701439" w:rsidRDefault="00A3021A">
            <w:pPr>
              <w:jc w:val="right"/>
              <w:rPr>
                <w:rFonts w:asciiTheme="minorHAnsi" w:hAnsiTheme="minorHAnsi" w:cstheme="minorHAnsi"/>
                <w:sz w:val="20"/>
                <w:szCs w:val="20"/>
              </w:rPr>
            </w:pPr>
          </w:p>
          <w:p w14:paraId="19E1C006"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w:t>
            </w:r>
          </w:p>
        </w:tc>
      </w:tr>
      <w:tr w:rsidR="00A3021A" w:rsidRPr="00701439" w14:paraId="1DA830CC" w14:textId="77777777" w:rsidTr="0002541E">
        <w:trPr>
          <w:trHeight w:val="468"/>
        </w:trPr>
        <w:tc>
          <w:tcPr>
            <w:tcW w:w="2444" w:type="dxa"/>
            <w:tcBorders>
              <w:top w:val="nil"/>
              <w:left w:val="nil"/>
              <w:right w:val="nil"/>
            </w:tcBorders>
            <w:vAlign w:val="bottom"/>
          </w:tcPr>
          <w:p w14:paraId="31284F91"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 impact of lower tax rates and losses overseas (note (c))</w:t>
            </w:r>
          </w:p>
        </w:tc>
        <w:tc>
          <w:tcPr>
            <w:tcW w:w="992" w:type="dxa"/>
            <w:tcBorders>
              <w:top w:val="nil"/>
              <w:left w:val="nil"/>
              <w:right w:val="nil"/>
            </w:tcBorders>
            <w:vAlign w:val="bottom"/>
          </w:tcPr>
          <w:p w14:paraId="72813647"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w:t>
            </w:r>
          </w:p>
        </w:tc>
        <w:tc>
          <w:tcPr>
            <w:tcW w:w="1276" w:type="dxa"/>
            <w:tcBorders>
              <w:top w:val="nil"/>
              <w:left w:val="nil"/>
              <w:right w:val="nil"/>
            </w:tcBorders>
          </w:tcPr>
          <w:p w14:paraId="620C425E" w14:textId="77777777" w:rsidR="00A3021A" w:rsidRPr="00701439" w:rsidRDefault="00A3021A">
            <w:pPr>
              <w:jc w:val="right"/>
              <w:rPr>
                <w:rFonts w:asciiTheme="minorHAnsi" w:hAnsiTheme="minorHAnsi" w:cstheme="minorHAnsi"/>
                <w:sz w:val="20"/>
                <w:szCs w:val="20"/>
              </w:rPr>
            </w:pPr>
          </w:p>
          <w:p w14:paraId="48316ED5" w14:textId="77777777" w:rsidR="00140141" w:rsidRPr="00701439" w:rsidRDefault="00140141">
            <w:pPr>
              <w:jc w:val="right"/>
              <w:rPr>
                <w:rFonts w:asciiTheme="minorHAnsi" w:hAnsiTheme="minorHAnsi" w:cstheme="minorHAnsi"/>
                <w:sz w:val="20"/>
                <w:szCs w:val="20"/>
              </w:rPr>
            </w:pPr>
          </w:p>
          <w:p w14:paraId="0B5B04AA" w14:textId="4A08A1BB"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w:t>
            </w:r>
          </w:p>
        </w:tc>
        <w:tc>
          <w:tcPr>
            <w:tcW w:w="1417" w:type="dxa"/>
            <w:tcBorders>
              <w:top w:val="nil"/>
              <w:left w:val="nil"/>
              <w:right w:val="nil"/>
            </w:tcBorders>
          </w:tcPr>
          <w:p w14:paraId="3DCEB28B" w14:textId="77777777" w:rsidR="00A3021A" w:rsidRPr="00701439" w:rsidRDefault="00A3021A">
            <w:pPr>
              <w:jc w:val="right"/>
              <w:rPr>
                <w:rFonts w:asciiTheme="minorHAnsi" w:hAnsiTheme="minorHAnsi" w:cstheme="minorHAnsi"/>
                <w:sz w:val="20"/>
                <w:szCs w:val="20"/>
              </w:rPr>
            </w:pPr>
          </w:p>
          <w:p w14:paraId="3BE5448D" w14:textId="77777777" w:rsidR="00F2303E" w:rsidRPr="00701439" w:rsidRDefault="00F2303E">
            <w:pPr>
              <w:jc w:val="right"/>
              <w:rPr>
                <w:rFonts w:asciiTheme="minorHAnsi" w:hAnsiTheme="minorHAnsi" w:cstheme="minorHAnsi"/>
                <w:sz w:val="20"/>
                <w:szCs w:val="20"/>
              </w:rPr>
            </w:pPr>
          </w:p>
          <w:p w14:paraId="3DA44E98" w14:textId="696AA914"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w:t>
            </w:r>
          </w:p>
        </w:tc>
        <w:tc>
          <w:tcPr>
            <w:tcW w:w="709" w:type="dxa"/>
            <w:tcBorders>
              <w:top w:val="nil"/>
              <w:left w:val="nil"/>
              <w:right w:val="nil"/>
            </w:tcBorders>
            <w:vAlign w:val="bottom"/>
          </w:tcPr>
          <w:p w14:paraId="6367FDB9"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w:t>
            </w:r>
          </w:p>
        </w:tc>
        <w:tc>
          <w:tcPr>
            <w:tcW w:w="992" w:type="dxa"/>
            <w:tcBorders>
              <w:top w:val="nil"/>
              <w:left w:val="nil"/>
              <w:right w:val="nil"/>
            </w:tcBorders>
          </w:tcPr>
          <w:p w14:paraId="277DA09D" w14:textId="77777777" w:rsidR="00A3021A" w:rsidRPr="00701439" w:rsidRDefault="00A3021A">
            <w:pPr>
              <w:jc w:val="right"/>
              <w:rPr>
                <w:rFonts w:asciiTheme="minorHAnsi" w:hAnsiTheme="minorHAnsi" w:cstheme="minorHAnsi"/>
                <w:sz w:val="20"/>
                <w:szCs w:val="20"/>
              </w:rPr>
            </w:pPr>
          </w:p>
          <w:p w14:paraId="352E6F17" w14:textId="77777777" w:rsidR="00F2303E" w:rsidRPr="00701439" w:rsidRDefault="00F2303E">
            <w:pPr>
              <w:jc w:val="right"/>
              <w:rPr>
                <w:rFonts w:asciiTheme="minorHAnsi" w:hAnsiTheme="minorHAnsi" w:cstheme="minorHAnsi"/>
                <w:sz w:val="20"/>
                <w:szCs w:val="20"/>
              </w:rPr>
            </w:pPr>
          </w:p>
          <w:p w14:paraId="19876AEC" w14:textId="07CF4248"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(0.1)</w:t>
            </w:r>
          </w:p>
        </w:tc>
        <w:tc>
          <w:tcPr>
            <w:tcW w:w="1276" w:type="dxa"/>
            <w:tcBorders>
              <w:top w:val="nil"/>
              <w:left w:val="nil"/>
              <w:right w:val="nil"/>
            </w:tcBorders>
          </w:tcPr>
          <w:p w14:paraId="7B1DA8F0" w14:textId="77777777" w:rsidR="00A3021A" w:rsidRPr="00701439" w:rsidRDefault="00A3021A">
            <w:pPr>
              <w:jc w:val="right"/>
              <w:rPr>
                <w:rFonts w:asciiTheme="minorHAnsi" w:hAnsiTheme="minorHAnsi" w:cstheme="minorHAnsi"/>
                <w:sz w:val="20"/>
                <w:szCs w:val="20"/>
              </w:rPr>
            </w:pPr>
          </w:p>
          <w:p w14:paraId="13C003E9" w14:textId="77777777" w:rsidR="00F2303E" w:rsidRPr="00701439" w:rsidRDefault="00F2303E">
            <w:pPr>
              <w:jc w:val="right"/>
              <w:rPr>
                <w:rFonts w:asciiTheme="minorHAnsi" w:hAnsiTheme="minorHAnsi" w:cstheme="minorHAnsi"/>
                <w:sz w:val="20"/>
                <w:szCs w:val="20"/>
              </w:rPr>
            </w:pPr>
          </w:p>
          <w:p w14:paraId="3BE6EAC9" w14:textId="2E83DCF2"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(0.1)</w:t>
            </w:r>
          </w:p>
        </w:tc>
        <w:tc>
          <w:tcPr>
            <w:tcW w:w="851" w:type="dxa"/>
            <w:tcBorders>
              <w:top w:val="nil"/>
              <w:left w:val="nil"/>
              <w:right w:val="nil"/>
            </w:tcBorders>
          </w:tcPr>
          <w:p w14:paraId="24C9F491" w14:textId="77777777" w:rsidR="00A3021A" w:rsidRPr="00701439" w:rsidRDefault="00A3021A">
            <w:pPr>
              <w:jc w:val="right"/>
              <w:rPr>
                <w:rFonts w:asciiTheme="minorHAnsi" w:hAnsiTheme="minorHAnsi" w:cstheme="minorHAnsi"/>
                <w:sz w:val="20"/>
                <w:szCs w:val="20"/>
              </w:rPr>
            </w:pPr>
          </w:p>
          <w:p w14:paraId="0450CCEC" w14:textId="77777777" w:rsidR="00F2303E" w:rsidRPr="00701439" w:rsidRDefault="00F2303E">
            <w:pPr>
              <w:jc w:val="right"/>
              <w:rPr>
                <w:rFonts w:asciiTheme="minorHAnsi" w:hAnsiTheme="minorHAnsi" w:cstheme="minorHAnsi"/>
                <w:sz w:val="20"/>
                <w:szCs w:val="20"/>
              </w:rPr>
            </w:pPr>
          </w:p>
          <w:p w14:paraId="72B82674" w14:textId="575C2052"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(0.2)</w:t>
            </w:r>
          </w:p>
        </w:tc>
      </w:tr>
      <w:tr w:rsidR="00A3021A" w:rsidRPr="00701439" w14:paraId="56BF7F23" w14:textId="77777777" w:rsidTr="0002541E">
        <w:trPr>
          <w:trHeight w:val="468"/>
        </w:trPr>
        <w:tc>
          <w:tcPr>
            <w:tcW w:w="2444" w:type="dxa"/>
            <w:tcBorders>
              <w:top w:val="nil"/>
              <w:left w:val="nil"/>
              <w:right w:val="nil"/>
            </w:tcBorders>
            <w:vAlign w:val="bottom"/>
          </w:tcPr>
          <w:p w14:paraId="5864B0F0"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 xml:space="preserve">– write </w:t>
            </w:r>
            <w:proofErr w:type="gramStart"/>
            <w:r w:rsidRPr="00701439">
              <w:rPr>
                <w:rFonts w:asciiTheme="minorHAnsi" w:hAnsiTheme="minorHAnsi" w:cs="Arial"/>
                <w:sz w:val="20"/>
                <w:szCs w:val="20"/>
              </w:rPr>
              <w:t>off of</w:t>
            </w:r>
            <w:proofErr w:type="gramEnd"/>
            <w:r w:rsidRPr="00701439">
              <w:rPr>
                <w:rFonts w:asciiTheme="minorHAnsi" w:hAnsiTheme="minorHAnsi" w:cs="Arial"/>
                <w:sz w:val="20"/>
                <w:szCs w:val="20"/>
              </w:rPr>
              <w:t xml:space="preserve"> deferred tax assets (note (d))</w:t>
            </w:r>
          </w:p>
        </w:tc>
        <w:tc>
          <w:tcPr>
            <w:tcW w:w="992" w:type="dxa"/>
            <w:tcBorders>
              <w:top w:val="nil"/>
              <w:left w:val="nil"/>
              <w:right w:val="nil"/>
            </w:tcBorders>
            <w:vAlign w:val="bottom"/>
          </w:tcPr>
          <w:p w14:paraId="29E4D52F"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0.2</w:t>
            </w:r>
          </w:p>
        </w:tc>
        <w:tc>
          <w:tcPr>
            <w:tcW w:w="1276" w:type="dxa"/>
            <w:tcBorders>
              <w:top w:val="nil"/>
              <w:left w:val="nil"/>
              <w:right w:val="nil"/>
            </w:tcBorders>
          </w:tcPr>
          <w:p w14:paraId="4AD3386D" w14:textId="77777777" w:rsidR="00A3021A" w:rsidRPr="00701439" w:rsidRDefault="00A3021A">
            <w:pPr>
              <w:rPr>
                <w:rFonts w:asciiTheme="minorHAnsi" w:hAnsiTheme="minorHAnsi" w:cstheme="minorHAnsi"/>
                <w:sz w:val="20"/>
                <w:szCs w:val="20"/>
              </w:rPr>
            </w:pPr>
          </w:p>
          <w:p w14:paraId="24288AF6"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w:t>
            </w:r>
          </w:p>
        </w:tc>
        <w:tc>
          <w:tcPr>
            <w:tcW w:w="1417" w:type="dxa"/>
            <w:tcBorders>
              <w:top w:val="nil"/>
              <w:left w:val="nil"/>
              <w:right w:val="nil"/>
            </w:tcBorders>
          </w:tcPr>
          <w:p w14:paraId="4267BF48" w14:textId="77777777" w:rsidR="00A3021A" w:rsidRPr="00701439" w:rsidRDefault="00A3021A">
            <w:pPr>
              <w:jc w:val="right"/>
              <w:rPr>
                <w:rFonts w:asciiTheme="minorHAnsi" w:hAnsiTheme="minorHAnsi" w:cstheme="minorHAnsi"/>
                <w:sz w:val="20"/>
                <w:szCs w:val="20"/>
              </w:rPr>
            </w:pPr>
          </w:p>
          <w:p w14:paraId="212204AD"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w:t>
            </w:r>
          </w:p>
        </w:tc>
        <w:tc>
          <w:tcPr>
            <w:tcW w:w="709" w:type="dxa"/>
            <w:tcBorders>
              <w:top w:val="nil"/>
              <w:left w:val="nil"/>
              <w:right w:val="nil"/>
            </w:tcBorders>
            <w:vAlign w:val="bottom"/>
          </w:tcPr>
          <w:p w14:paraId="311A1A52"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0.2</w:t>
            </w:r>
          </w:p>
        </w:tc>
        <w:tc>
          <w:tcPr>
            <w:tcW w:w="992" w:type="dxa"/>
            <w:tcBorders>
              <w:top w:val="nil"/>
              <w:left w:val="nil"/>
              <w:right w:val="nil"/>
            </w:tcBorders>
          </w:tcPr>
          <w:p w14:paraId="51707B7A" w14:textId="77777777" w:rsidR="00A3021A" w:rsidRPr="00701439" w:rsidRDefault="00A3021A">
            <w:pPr>
              <w:jc w:val="right"/>
              <w:rPr>
                <w:rFonts w:asciiTheme="minorHAnsi" w:hAnsiTheme="minorHAnsi" w:cstheme="minorHAnsi"/>
                <w:sz w:val="20"/>
                <w:szCs w:val="20"/>
              </w:rPr>
            </w:pPr>
          </w:p>
          <w:p w14:paraId="633DE04B"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w:t>
            </w:r>
          </w:p>
        </w:tc>
        <w:tc>
          <w:tcPr>
            <w:tcW w:w="1276" w:type="dxa"/>
            <w:tcBorders>
              <w:top w:val="nil"/>
              <w:left w:val="nil"/>
              <w:right w:val="nil"/>
            </w:tcBorders>
          </w:tcPr>
          <w:p w14:paraId="57D28971" w14:textId="77777777" w:rsidR="00A3021A" w:rsidRPr="00701439" w:rsidRDefault="00A3021A">
            <w:pPr>
              <w:jc w:val="right"/>
              <w:rPr>
                <w:rFonts w:asciiTheme="minorHAnsi" w:hAnsiTheme="minorHAnsi" w:cstheme="minorHAnsi"/>
                <w:sz w:val="20"/>
                <w:szCs w:val="20"/>
              </w:rPr>
            </w:pPr>
          </w:p>
          <w:p w14:paraId="42EF98FB"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w:t>
            </w:r>
          </w:p>
        </w:tc>
        <w:tc>
          <w:tcPr>
            <w:tcW w:w="851" w:type="dxa"/>
            <w:tcBorders>
              <w:top w:val="nil"/>
              <w:left w:val="nil"/>
              <w:right w:val="nil"/>
            </w:tcBorders>
          </w:tcPr>
          <w:p w14:paraId="7CCCA25B" w14:textId="77777777" w:rsidR="00A3021A" w:rsidRPr="00701439" w:rsidRDefault="00A3021A">
            <w:pPr>
              <w:jc w:val="right"/>
              <w:rPr>
                <w:rFonts w:asciiTheme="minorHAnsi" w:hAnsiTheme="minorHAnsi" w:cstheme="minorHAnsi"/>
                <w:sz w:val="20"/>
                <w:szCs w:val="20"/>
              </w:rPr>
            </w:pPr>
          </w:p>
          <w:p w14:paraId="517D80B5"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w:t>
            </w:r>
          </w:p>
        </w:tc>
      </w:tr>
      <w:tr w:rsidR="00A3021A" w:rsidRPr="00701439" w14:paraId="73EAC33C" w14:textId="77777777" w:rsidTr="0002541E">
        <w:trPr>
          <w:trHeight w:val="457"/>
        </w:trPr>
        <w:tc>
          <w:tcPr>
            <w:tcW w:w="2444" w:type="dxa"/>
            <w:tcBorders>
              <w:top w:val="nil"/>
              <w:left w:val="nil"/>
              <w:bottom w:val="nil"/>
              <w:right w:val="nil"/>
            </w:tcBorders>
            <w:vAlign w:val="bottom"/>
          </w:tcPr>
          <w:p w14:paraId="0B7D4453"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 adjustments in respect of prior years (note (e))</w:t>
            </w:r>
          </w:p>
        </w:tc>
        <w:tc>
          <w:tcPr>
            <w:tcW w:w="992" w:type="dxa"/>
            <w:tcBorders>
              <w:top w:val="nil"/>
              <w:left w:val="nil"/>
              <w:bottom w:val="nil"/>
              <w:right w:val="nil"/>
            </w:tcBorders>
            <w:vAlign w:val="bottom"/>
          </w:tcPr>
          <w:p w14:paraId="5FB2D920"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(4.4)</w:t>
            </w:r>
          </w:p>
        </w:tc>
        <w:tc>
          <w:tcPr>
            <w:tcW w:w="1276" w:type="dxa"/>
            <w:tcBorders>
              <w:top w:val="nil"/>
              <w:left w:val="nil"/>
              <w:bottom w:val="nil"/>
              <w:right w:val="nil"/>
            </w:tcBorders>
          </w:tcPr>
          <w:p w14:paraId="6B408A92" w14:textId="77777777" w:rsidR="00A3021A" w:rsidRPr="00701439" w:rsidRDefault="00A3021A">
            <w:pPr>
              <w:jc w:val="right"/>
              <w:rPr>
                <w:rFonts w:asciiTheme="minorHAnsi" w:hAnsiTheme="minorHAnsi" w:cstheme="minorHAnsi"/>
                <w:sz w:val="20"/>
                <w:szCs w:val="20"/>
              </w:rPr>
            </w:pPr>
          </w:p>
          <w:p w14:paraId="2610FD19"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0.8</w:t>
            </w:r>
          </w:p>
        </w:tc>
        <w:tc>
          <w:tcPr>
            <w:tcW w:w="1417" w:type="dxa"/>
            <w:tcBorders>
              <w:top w:val="nil"/>
              <w:left w:val="nil"/>
              <w:bottom w:val="nil"/>
              <w:right w:val="nil"/>
            </w:tcBorders>
          </w:tcPr>
          <w:p w14:paraId="74CA7DDF" w14:textId="77777777" w:rsidR="00A3021A" w:rsidRPr="00701439" w:rsidRDefault="00A3021A">
            <w:pPr>
              <w:jc w:val="right"/>
              <w:rPr>
                <w:rFonts w:asciiTheme="minorHAnsi" w:hAnsiTheme="minorHAnsi" w:cstheme="minorHAnsi"/>
                <w:sz w:val="20"/>
                <w:szCs w:val="20"/>
              </w:rPr>
            </w:pPr>
          </w:p>
          <w:p w14:paraId="174BD365"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w:t>
            </w:r>
          </w:p>
        </w:tc>
        <w:tc>
          <w:tcPr>
            <w:tcW w:w="709" w:type="dxa"/>
            <w:tcBorders>
              <w:top w:val="nil"/>
              <w:left w:val="nil"/>
              <w:bottom w:val="nil"/>
              <w:right w:val="nil"/>
            </w:tcBorders>
            <w:vAlign w:val="bottom"/>
          </w:tcPr>
          <w:p w14:paraId="52F97513"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(3.6)</w:t>
            </w:r>
          </w:p>
        </w:tc>
        <w:tc>
          <w:tcPr>
            <w:tcW w:w="992" w:type="dxa"/>
            <w:tcBorders>
              <w:top w:val="nil"/>
              <w:left w:val="nil"/>
              <w:bottom w:val="nil"/>
              <w:right w:val="nil"/>
            </w:tcBorders>
          </w:tcPr>
          <w:p w14:paraId="470D3A43" w14:textId="77777777" w:rsidR="00A3021A" w:rsidRPr="00701439" w:rsidRDefault="00A3021A">
            <w:pPr>
              <w:jc w:val="right"/>
              <w:rPr>
                <w:rFonts w:asciiTheme="minorHAnsi" w:hAnsiTheme="minorHAnsi" w:cstheme="minorHAnsi"/>
                <w:sz w:val="20"/>
                <w:szCs w:val="20"/>
              </w:rPr>
            </w:pPr>
          </w:p>
          <w:p w14:paraId="6180E671"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(6.5)</w:t>
            </w:r>
          </w:p>
        </w:tc>
        <w:tc>
          <w:tcPr>
            <w:tcW w:w="1276" w:type="dxa"/>
            <w:tcBorders>
              <w:top w:val="nil"/>
              <w:left w:val="nil"/>
              <w:bottom w:val="nil"/>
              <w:right w:val="nil"/>
            </w:tcBorders>
          </w:tcPr>
          <w:p w14:paraId="29156F8B" w14:textId="77777777" w:rsidR="00A3021A" w:rsidRPr="00701439" w:rsidRDefault="00A3021A">
            <w:pPr>
              <w:jc w:val="right"/>
              <w:rPr>
                <w:rFonts w:asciiTheme="minorHAnsi" w:hAnsiTheme="minorHAnsi" w:cstheme="minorHAnsi"/>
                <w:sz w:val="20"/>
                <w:szCs w:val="20"/>
              </w:rPr>
            </w:pPr>
          </w:p>
          <w:p w14:paraId="3664EFF4"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0.4</w:t>
            </w:r>
          </w:p>
        </w:tc>
        <w:tc>
          <w:tcPr>
            <w:tcW w:w="851" w:type="dxa"/>
            <w:tcBorders>
              <w:top w:val="nil"/>
              <w:left w:val="nil"/>
              <w:bottom w:val="nil"/>
              <w:right w:val="nil"/>
            </w:tcBorders>
          </w:tcPr>
          <w:p w14:paraId="59562FEB" w14:textId="77777777" w:rsidR="00A3021A" w:rsidRPr="00701439" w:rsidRDefault="00A3021A">
            <w:pPr>
              <w:jc w:val="right"/>
              <w:rPr>
                <w:rFonts w:asciiTheme="minorHAnsi" w:hAnsiTheme="minorHAnsi" w:cstheme="minorHAnsi"/>
                <w:sz w:val="20"/>
                <w:szCs w:val="20"/>
              </w:rPr>
            </w:pPr>
          </w:p>
          <w:p w14:paraId="5A7920C3"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(6.1)</w:t>
            </w:r>
          </w:p>
        </w:tc>
      </w:tr>
      <w:tr w:rsidR="00A3021A" w:rsidRPr="00701439" w14:paraId="29B37DE3" w14:textId="77777777" w:rsidTr="0002541E">
        <w:trPr>
          <w:trHeight w:val="468"/>
        </w:trPr>
        <w:tc>
          <w:tcPr>
            <w:tcW w:w="2444" w:type="dxa"/>
            <w:tcBorders>
              <w:top w:val="nil"/>
              <w:left w:val="nil"/>
              <w:bottom w:val="nil"/>
              <w:right w:val="nil"/>
            </w:tcBorders>
            <w:vAlign w:val="bottom"/>
          </w:tcPr>
          <w:p w14:paraId="1050D24E"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 prior year adjustments related to transfer pricing and losses (note (f))</w:t>
            </w:r>
          </w:p>
        </w:tc>
        <w:tc>
          <w:tcPr>
            <w:tcW w:w="992" w:type="dxa"/>
            <w:tcBorders>
              <w:top w:val="nil"/>
              <w:left w:val="nil"/>
              <w:bottom w:val="nil"/>
              <w:right w:val="nil"/>
            </w:tcBorders>
            <w:vAlign w:val="bottom"/>
          </w:tcPr>
          <w:p w14:paraId="07A0B768"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1.0</w:t>
            </w:r>
          </w:p>
        </w:tc>
        <w:tc>
          <w:tcPr>
            <w:tcW w:w="1276" w:type="dxa"/>
            <w:tcBorders>
              <w:top w:val="nil"/>
              <w:left w:val="nil"/>
              <w:bottom w:val="nil"/>
              <w:right w:val="nil"/>
            </w:tcBorders>
          </w:tcPr>
          <w:p w14:paraId="3BA8C5AE" w14:textId="77777777" w:rsidR="00A3021A" w:rsidRPr="00701439" w:rsidRDefault="00A3021A">
            <w:pPr>
              <w:jc w:val="right"/>
              <w:rPr>
                <w:rFonts w:asciiTheme="minorHAnsi" w:hAnsiTheme="minorHAnsi" w:cstheme="minorHAnsi"/>
                <w:sz w:val="20"/>
                <w:szCs w:val="20"/>
              </w:rPr>
            </w:pPr>
          </w:p>
          <w:p w14:paraId="54B48731" w14:textId="77777777" w:rsidR="00A3021A" w:rsidRPr="00701439" w:rsidRDefault="00A3021A">
            <w:pPr>
              <w:jc w:val="right"/>
              <w:rPr>
                <w:rFonts w:asciiTheme="minorHAnsi" w:hAnsiTheme="minorHAnsi" w:cstheme="minorHAnsi"/>
                <w:sz w:val="20"/>
                <w:szCs w:val="20"/>
              </w:rPr>
            </w:pPr>
          </w:p>
          <w:p w14:paraId="2CB33A9E"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w:t>
            </w:r>
          </w:p>
        </w:tc>
        <w:tc>
          <w:tcPr>
            <w:tcW w:w="1417" w:type="dxa"/>
            <w:tcBorders>
              <w:top w:val="nil"/>
              <w:left w:val="nil"/>
              <w:bottom w:val="nil"/>
              <w:right w:val="nil"/>
            </w:tcBorders>
          </w:tcPr>
          <w:p w14:paraId="72DC94BD" w14:textId="77777777" w:rsidR="00A3021A" w:rsidRPr="00701439" w:rsidRDefault="00A3021A">
            <w:pPr>
              <w:jc w:val="right"/>
              <w:rPr>
                <w:rFonts w:asciiTheme="minorHAnsi" w:hAnsiTheme="minorHAnsi" w:cstheme="minorHAnsi"/>
                <w:sz w:val="20"/>
                <w:szCs w:val="20"/>
              </w:rPr>
            </w:pPr>
          </w:p>
          <w:p w14:paraId="13431298" w14:textId="77777777" w:rsidR="00A3021A" w:rsidRPr="00701439" w:rsidRDefault="00A3021A">
            <w:pPr>
              <w:jc w:val="right"/>
              <w:rPr>
                <w:rFonts w:asciiTheme="minorHAnsi" w:hAnsiTheme="minorHAnsi" w:cstheme="minorHAnsi"/>
                <w:sz w:val="20"/>
                <w:szCs w:val="20"/>
              </w:rPr>
            </w:pPr>
          </w:p>
          <w:p w14:paraId="0F2D157B"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w:t>
            </w:r>
          </w:p>
        </w:tc>
        <w:tc>
          <w:tcPr>
            <w:tcW w:w="709" w:type="dxa"/>
            <w:tcBorders>
              <w:top w:val="nil"/>
              <w:left w:val="nil"/>
              <w:bottom w:val="nil"/>
              <w:right w:val="nil"/>
            </w:tcBorders>
            <w:vAlign w:val="bottom"/>
          </w:tcPr>
          <w:p w14:paraId="4F9DD55E"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1.0</w:t>
            </w:r>
          </w:p>
        </w:tc>
        <w:tc>
          <w:tcPr>
            <w:tcW w:w="992" w:type="dxa"/>
            <w:tcBorders>
              <w:top w:val="nil"/>
              <w:left w:val="nil"/>
              <w:bottom w:val="nil"/>
              <w:right w:val="nil"/>
            </w:tcBorders>
          </w:tcPr>
          <w:p w14:paraId="750F4E23" w14:textId="77777777" w:rsidR="00A3021A" w:rsidRPr="00701439" w:rsidRDefault="00A3021A">
            <w:pPr>
              <w:jc w:val="right"/>
              <w:rPr>
                <w:rFonts w:asciiTheme="minorHAnsi" w:hAnsiTheme="minorHAnsi" w:cstheme="minorHAnsi"/>
                <w:sz w:val="20"/>
                <w:szCs w:val="20"/>
              </w:rPr>
            </w:pPr>
          </w:p>
          <w:p w14:paraId="6735907F" w14:textId="77777777" w:rsidR="00A3021A" w:rsidRPr="00701439" w:rsidRDefault="00A3021A">
            <w:pPr>
              <w:rPr>
                <w:rFonts w:asciiTheme="minorHAnsi" w:hAnsiTheme="minorHAnsi" w:cstheme="minorHAnsi"/>
                <w:sz w:val="20"/>
                <w:szCs w:val="20"/>
              </w:rPr>
            </w:pPr>
          </w:p>
          <w:p w14:paraId="0CF534AD"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(1.0)</w:t>
            </w:r>
          </w:p>
        </w:tc>
        <w:tc>
          <w:tcPr>
            <w:tcW w:w="1276" w:type="dxa"/>
            <w:tcBorders>
              <w:top w:val="nil"/>
              <w:left w:val="nil"/>
              <w:bottom w:val="nil"/>
              <w:right w:val="nil"/>
            </w:tcBorders>
          </w:tcPr>
          <w:p w14:paraId="35F290D6" w14:textId="77777777" w:rsidR="00A3021A" w:rsidRPr="00701439" w:rsidRDefault="00A3021A">
            <w:pPr>
              <w:jc w:val="right"/>
              <w:rPr>
                <w:rFonts w:asciiTheme="minorHAnsi" w:hAnsiTheme="minorHAnsi" w:cstheme="minorHAnsi"/>
                <w:sz w:val="20"/>
                <w:szCs w:val="20"/>
              </w:rPr>
            </w:pPr>
          </w:p>
          <w:p w14:paraId="35AB403A" w14:textId="77777777" w:rsidR="00A3021A" w:rsidRPr="00701439" w:rsidRDefault="00A3021A">
            <w:pPr>
              <w:jc w:val="right"/>
              <w:rPr>
                <w:rFonts w:asciiTheme="minorHAnsi" w:hAnsiTheme="minorHAnsi" w:cstheme="minorHAnsi"/>
                <w:sz w:val="20"/>
                <w:szCs w:val="20"/>
              </w:rPr>
            </w:pPr>
          </w:p>
          <w:p w14:paraId="05CBCCC9"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w:t>
            </w:r>
          </w:p>
        </w:tc>
        <w:tc>
          <w:tcPr>
            <w:tcW w:w="851" w:type="dxa"/>
            <w:tcBorders>
              <w:top w:val="nil"/>
              <w:left w:val="nil"/>
              <w:bottom w:val="nil"/>
              <w:right w:val="nil"/>
            </w:tcBorders>
          </w:tcPr>
          <w:p w14:paraId="767BFB15" w14:textId="77777777" w:rsidR="00A3021A" w:rsidRPr="00701439" w:rsidRDefault="00A3021A">
            <w:pPr>
              <w:jc w:val="right"/>
              <w:rPr>
                <w:rFonts w:asciiTheme="minorHAnsi" w:hAnsiTheme="minorHAnsi" w:cstheme="minorHAnsi"/>
                <w:sz w:val="20"/>
                <w:szCs w:val="20"/>
              </w:rPr>
            </w:pPr>
          </w:p>
          <w:p w14:paraId="0D5C3A16" w14:textId="77777777" w:rsidR="00A3021A" w:rsidRPr="00701439" w:rsidRDefault="00A3021A">
            <w:pPr>
              <w:jc w:val="right"/>
              <w:rPr>
                <w:rFonts w:asciiTheme="minorHAnsi" w:hAnsiTheme="minorHAnsi" w:cstheme="minorHAnsi"/>
                <w:sz w:val="20"/>
                <w:szCs w:val="20"/>
              </w:rPr>
            </w:pPr>
          </w:p>
          <w:p w14:paraId="262D0F5F"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(1.0)</w:t>
            </w:r>
          </w:p>
        </w:tc>
      </w:tr>
      <w:tr w:rsidR="00A3021A" w:rsidRPr="00701439" w14:paraId="60D57CC1" w14:textId="77777777" w:rsidTr="0002541E">
        <w:trPr>
          <w:trHeight w:val="468"/>
        </w:trPr>
        <w:tc>
          <w:tcPr>
            <w:tcW w:w="2444" w:type="dxa"/>
            <w:tcBorders>
              <w:top w:val="nil"/>
              <w:left w:val="nil"/>
              <w:bottom w:val="nil"/>
              <w:right w:val="nil"/>
            </w:tcBorders>
            <w:vAlign w:val="bottom"/>
          </w:tcPr>
          <w:p w14:paraId="65F14727" w14:textId="77777777" w:rsidR="00A3021A" w:rsidRPr="00701439" w:rsidRDefault="00A3021A">
            <w:pPr>
              <w:rPr>
                <w:rFonts w:asciiTheme="minorHAnsi" w:hAnsiTheme="minorHAnsi" w:cs="Poppins-Light"/>
                <w:sz w:val="20"/>
                <w:szCs w:val="20"/>
              </w:rPr>
            </w:pPr>
            <w:r w:rsidRPr="00701439">
              <w:rPr>
                <w:rFonts w:asciiTheme="minorHAnsi" w:hAnsiTheme="minorHAnsi" w:cs="Arial"/>
                <w:sz w:val="20"/>
                <w:szCs w:val="20"/>
              </w:rPr>
              <w:t xml:space="preserve">– </w:t>
            </w:r>
            <w:r w:rsidRPr="00701439">
              <w:rPr>
                <w:rFonts w:asciiTheme="minorHAnsi" w:hAnsiTheme="minorHAnsi" w:cs="Poppins-Light"/>
                <w:sz w:val="20"/>
                <w:szCs w:val="20"/>
              </w:rPr>
              <w:t>transfer pricing adjustments (note (g))</w:t>
            </w:r>
          </w:p>
        </w:tc>
        <w:tc>
          <w:tcPr>
            <w:tcW w:w="992" w:type="dxa"/>
            <w:tcBorders>
              <w:top w:val="nil"/>
              <w:left w:val="nil"/>
              <w:bottom w:val="nil"/>
              <w:right w:val="nil"/>
            </w:tcBorders>
            <w:vAlign w:val="bottom"/>
          </w:tcPr>
          <w:p w14:paraId="74438D43"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w:t>
            </w:r>
          </w:p>
        </w:tc>
        <w:tc>
          <w:tcPr>
            <w:tcW w:w="1276" w:type="dxa"/>
            <w:tcBorders>
              <w:top w:val="nil"/>
              <w:left w:val="nil"/>
              <w:bottom w:val="nil"/>
              <w:right w:val="nil"/>
            </w:tcBorders>
          </w:tcPr>
          <w:p w14:paraId="5E8F4B55" w14:textId="77777777" w:rsidR="00A3021A" w:rsidRPr="00701439" w:rsidRDefault="00A3021A">
            <w:pPr>
              <w:jc w:val="right"/>
              <w:rPr>
                <w:rFonts w:asciiTheme="minorHAnsi" w:hAnsiTheme="minorHAnsi" w:cstheme="minorHAnsi"/>
                <w:sz w:val="20"/>
                <w:szCs w:val="20"/>
              </w:rPr>
            </w:pPr>
          </w:p>
          <w:p w14:paraId="3A49EFCB"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w:t>
            </w:r>
          </w:p>
        </w:tc>
        <w:tc>
          <w:tcPr>
            <w:tcW w:w="1417" w:type="dxa"/>
            <w:tcBorders>
              <w:top w:val="nil"/>
              <w:left w:val="nil"/>
              <w:bottom w:val="nil"/>
              <w:right w:val="nil"/>
            </w:tcBorders>
          </w:tcPr>
          <w:p w14:paraId="41811883" w14:textId="77777777" w:rsidR="00A3021A" w:rsidRPr="00701439" w:rsidRDefault="00A3021A">
            <w:pPr>
              <w:jc w:val="right"/>
              <w:rPr>
                <w:rFonts w:asciiTheme="minorHAnsi" w:hAnsiTheme="minorHAnsi" w:cstheme="minorHAnsi"/>
                <w:sz w:val="20"/>
                <w:szCs w:val="20"/>
              </w:rPr>
            </w:pPr>
          </w:p>
          <w:p w14:paraId="1096244C"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w:t>
            </w:r>
          </w:p>
        </w:tc>
        <w:tc>
          <w:tcPr>
            <w:tcW w:w="709" w:type="dxa"/>
            <w:tcBorders>
              <w:top w:val="nil"/>
              <w:left w:val="nil"/>
              <w:bottom w:val="nil"/>
              <w:right w:val="nil"/>
            </w:tcBorders>
            <w:vAlign w:val="bottom"/>
          </w:tcPr>
          <w:p w14:paraId="6AFB2EC1"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w:t>
            </w:r>
          </w:p>
        </w:tc>
        <w:tc>
          <w:tcPr>
            <w:tcW w:w="992" w:type="dxa"/>
            <w:tcBorders>
              <w:top w:val="nil"/>
              <w:left w:val="nil"/>
              <w:bottom w:val="nil"/>
              <w:right w:val="nil"/>
            </w:tcBorders>
          </w:tcPr>
          <w:p w14:paraId="413D9654" w14:textId="77777777" w:rsidR="00A3021A" w:rsidRPr="00701439" w:rsidRDefault="00A3021A">
            <w:pPr>
              <w:jc w:val="right"/>
              <w:rPr>
                <w:rFonts w:asciiTheme="minorHAnsi" w:hAnsiTheme="minorHAnsi" w:cstheme="minorHAnsi"/>
                <w:sz w:val="20"/>
                <w:szCs w:val="20"/>
              </w:rPr>
            </w:pPr>
          </w:p>
          <w:p w14:paraId="72BCE3DD"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w:t>
            </w:r>
          </w:p>
        </w:tc>
        <w:tc>
          <w:tcPr>
            <w:tcW w:w="1276" w:type="dxa"/>
            <w:tcBorders>
              <w:top w:val="nil"/>
              <w:left w:val="nil"/>
              <w:bottom w:val="nil"/>
              <w:right w:val="nil"/>
            </w:tcBorders>
          </w:tcPr>
          <w:p w14:paraId="537E7CD6" w14:textId="77777777" w:rsidR="00A3021A" w:rsidRPr="00701439" w:rsidRDefault="00A3021A">
            <w:pPr>
              <w:jc w:val="right"/>
              <w:rPr>
                <w:rFonts w:asciiTheme="minorHAnsi" w:hAnsiTheme="minorHAnsi" w:cstheme="minorHAnsi"/>
                <w:sz w:val="20"/>
                <w:szCs w:val="20"/>
              </w:rPr>
            </w:pPr>
          </w:p>
          <w:p w14:paraId="3687F8C8"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w:t>
            </w:r>
          </w:p>
        </w:tc>
        <w:tc>
          <w:tcPr>
            <w:tcW w:w="851" w:type="dxa"/>
            <w:tcBorders>
              <w:top w:val="nil"/>
              <w:left w:val="nil"/>
              <w:bottom w:val="nil"/>
              <w:right w:val="nil"/>
            </w:tcBorders>
          </w:tcPr>
          <w:p w14:paraId="195FDEBC" w14:textId="77777777" w:rsidR="00A3021A" w:rsidRPr="00701439" w:rsidRDefault="00A3021A">
            <w:pPr>
              <w:jc w:val="right"/>
              <w:rPr>
                <w:rFonts w:asciiTheme="minorHAnsi" w:hAnsiTheme="minorHAnsi" w:cstheme="minorHAnsi"/>
                <w:sz w:val="20"/>
                <w:szCs w:val="20"/>
              </w:rPr>
            </w:pPr>
          </w:p>
          <w:p w14:paraId="0DF0901E"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w:t>
            </w:r>
          </w:p>
        </w:tc>
      </w:tr>
      <w:tr w:rsidR="00A3021A" w:rsidRPr="00701439" w14:paraId="0C9D2FE8" w14:textId="77777777" w:rsidTr="0002541E">
        <w:trPr>
          <w:trHeight w:val="468"/>
        </w:trPr>
        <w:tc>
          <w:tcPr>
            <w:tcW w:w="2444" w:type="dxa"/>
            <w:tcBorders>
              <w:top w:val="nil"/>
              <w:left w:val="nil"/>
              <w:bottom w:val="nil"/>
              <w:right w:val="nil"/>
            </w:tcBorders>
            <w:vAlign w:val="bottom"/>
          </w:tcPr>
          <w:p w14:paraId="791FD83E"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 discount on payment for losses of discontinued operations (note (h))</w:t>
            </w:r>
          </w:p>
        </w:tc>
        <w:tc>
          <w:tcPr>
            <w:tcW w:w="992" w:type="dxa"/>
            <w:tcBorders>
              <w:top w:val="nil"/>
              <w:left w:val="nil"/>
              <w:bottom w:val="nil"/>
              <w:right w:val="nil"/>
            </w:tcBorders>
            <w:vAlign w:val="bottom"/>
          </w:tcPr>
          <w:p w14:paraId="55B7C473"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(3.3)</w:t>
            </w:r>
          </w:p>
        </w:tc>
        <w:tc>
          <w:tcPr>
            <w:tcW w:w="1276" w:type="dxa"/>
            <w:tcBorders>
              <w:top w:val="nil"/>
              <w:left w:val="nil"/>
              <w:bottom w:val="nil"/>
              <w:right w:val="nil"/>
            </w:tcBorders>
          </w:tcPr>
          <w:p w14:paraId="05F8486C" w14:textId="77777777" w:rsidR="00A3021A" w:rsidRPr="00701439" w:rsidRDefault="00A3021A">
            <w:pPr>
              <w:jc w:val="right"/>
              <w:rPr>
                <w:rFonts w:asciiTheme="minorHAnsi" w:hAnsiTheme="minorHAnsi" w:cstheme="minorHAnsi"/>
                <w:sz w:val="20"/>
                <w:szCs w:val="20"/>
              </w:rPr>
            </w:pPr>
          </w:p>
          <w:p w14:paraId="20FF0624" w14:textId="77777777" w:rsidR="00A3021A" w:rsidRPr="00701439" w:rsidRDefault="00A3021A">
            <w:pPr>
              <w:jc w:val="right"/>
              <w:rPr>
                <w:rFonts w:asciiTheme="minorHAnsi" w:hAnsiTheme="minorHAnsi" w:cstheme="minorHAnsi"/>
                <w:sz w:val="20"/>
                <w:szCs w:val="20"/>
              </w:rPr>
            </w:pPr>
          </w:p>
          <w:p w14:paraId="729B61AD"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w:t>
            </w:r>
          </w:p>
        </w:tc>
        <w:tc>
          <w:tcPr>
            <w:tcW w:w="1417" w:type="dxa"/>
            <w:tcBorders>
              <w:top w:val="nil"/>
              <w:left w:val="nil"/>
              <w:bottom w:val="nil"/>
              <w:right w:val="nil"/>
            </w:tcBorders>
          </w:tcPr>
          <w:p w14:paraId="4DFF1871" w14:textId="77777777" w:rsidR="00A3021A" w:rsidRPr="00701439" w:rsidRDefault="00A3021A">
            <w:pPr>
              <w:jc w:val="right"/>
              <w:rPr>
                <w:rFonts w:asciiTheme="minorHAnsi" w:hAnsiTheme="minorHAnsi" w:cstheme="minorHAnsi"/>
                <w:sz w:val="20"/>
                <w:szCs w:val="20"/>
              </w:rPr>
            </w:pPr>
          </w:p>
          <w:p w14:paraId="4E5984C9" w14:textId="77777777" w:rsidR="00A3021A" w:rsidRPr="00701439" w:rsidRDefault="00A3021A">
            <w:pPr>
              <w:jc w:val="right"/>
              <w:rPr>
                <w:rFonts w:asciiTheme="minorHAnsi" w:hAnsiTheme="minorHAnsi" w:cstheme="minorHAnsi"/>
                <w:sz w:val="20"/>
                <w:szCs w:val="20"/>
              </w:rPr>
            </w:pPr>
          </w:p>
          <w:p w14:paraId="5B47F5C6"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w:t>
            </w:r>
          </w:p>
        </w:tc>
        <w:tc>
          <w:tcPr>
            <w:tcW w:w="709" w:type="dxa"/>
            <w:tcBorders>
              <w:top w:val="nil"/>
              <w:left w:val="nil"/>
              <w:bottom w:val="nil"/>
              <w:right w:val="nil"/>
            </w:tcBorders>
            <w:vAlign w:val="bottom"/>
          </w:tcPr>
          <w:p w14:paraId="72AC9633"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(3.3)</w:t>
            </w:r>
          </w:p>
        </w:tc>
        <w:tc>
          <w:tcPr>
            <w:tcW w:w="992" w:type="dxa"/>
            <w:tcBorders>
              <w:top w:val="nil"/>
              <w:left w:val="nil"/>
              <w:bottom w:val="nil"/>
              <w:right w:val="nil"/>
            </w:tcBorders>
          </w:tcPr>
          <w:p w14:paraId="620B2A98" w14:textId="77777777" w:rsidR="00A3021A" w:rsidRPr="00701439" w:rsidRDefault="00A3021A">
            <w:pPr>
              <w:jc w:val="right"/>
              <w:rPr>
                <w:rFonts w:asciiTheme="minorHAnsi" w:hAnsiTheme="minorHAnsi" w:cstheme="minorHAnsi"/>
                <w:sz w:val="20"/>
                <w:szCs w:val="20"/>
              </w:rPr>
            </w:pPr>
          </w:p>
          <w:p w14:paraId="616E0406" w14:textId="77777777" w:rsidR="00A3021A" w:rsidRPr="00701439" w:rsidRDefault="00A3021A">
            <w:pPr>
              <w:jc w:val="right"/>
              <w:rPr>
                <w:rFonts w:asciiTheme="minorHAnsi" w:hAnsiTheme="minorHAnsi" w:cstheme="minorHAnsi"/>
                <w:sz w:val="20"/>
                <w:szCs w:val="20"/>
              </w:rPr>
            </w:pPr>
          </w:p>
          <w:p w14:paraId="549D4F37"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3.3</w:t>
            </w:r>
          </w:p>
        </w:tc>
        <w:tc>
          <w:tcPr>
            <w:tcW w:w="1276" w:type="dxa"/>
            <w:tcBorders>
              <w:top w:val="nil"/>
              <w:left w:val="nil"/>
              <w:bottom w:val="nil"/>
              <w:right w:val="nil"/>
            </w:tcBorders>
          </w:tcPr>
          <w:p w14:paraId="31F4E68B" w14:textId="77777777" w:rsidR="00A3021A" w:rsidRPr="00701439" w:rsidRDefault="00A3021A">
            <w:pPr>
              <w:jc w:val="right"/>
              <w:rPr>
                <w:rFonts w:asciiTheme="minorHAnsi" w:hAnsiTheme="minorHAnsi" w:cstheme="minorHAnsi"/>
                <w:sz w:val="20"/>
                <w:szCs w:val="20"/>
              </w:rPr>
            </w:pPr>
          </w:p>
          <w:p w14:paraId="1B3D3C1D" w14:textId="77777777" w:rsidR="00A3021A" w:rsidRPr="00701439" w:rsidRDefault="00A3021A">
            <w:pPr>
              <w:jc w:val="right"/>
              <w:rPr>
                <w:rFonts w:asciiTheme="minorHAnsi" w:hAnsiTheme="minorHAnsi" w:cstheme="minorHAnsi"/>
                <w:sz w:val="20"/>
                <w:szCs w:val="20"/>
              </w:rPr>
            </w:pPr>
          </w:p>
          <w:p w14:paraId="1737E14E"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w:t>
            </w:r>
          </w:p>
        </w:tc>
        <w:tc>
          <w:tcPr>
            <w:tcW w:w="851" w:type="dxa"/>
            <w:tcBorders>
              <w:top w:val="nil"/>
              <w:left w:val="nil"/>
              <w:bottom w:val="nil"/>
              <w:right w:val="nil"/>
            </w:tcBorders>
          </w:tcPr>
          <w:p w14:paraId="55CB2CB9" w14:textId="77777777" w:rsidR="00A3021A" w:rsidRPr="00701439" w:rsidRDefault="00A3021A">
            <w:pPr>
              <w:jc w:val="right"/>
              <w:rPr>
                <w:rFonts w:asciiTheme="minorHAnsi" w:hAnsiTheme="minorHAnsi" w:cstheme="minorHAnsi"/>
                <w:sz w:val="20"/>
                <w:szCs w:val="20"/>
              </w:rPr>
            </w:pPr>
          </w:p>
          <w:p w14:paraId="6E7FA8AB" w14:textId="77777777" w:rsidR="00A3021A" w:rsidRPr="00701439" w:rsidRDefault="00A3021A">
            <w:pPr>
              <w:jc w:val="right"/>
              <w:rPr>
                <w:rFonts w:asciiTheme="minorHAnsi" w:hAnsiTheme="minorHAnsi" w:cstheme="minorHAnsi"/>
                <w:sz w:val="20"/>
                <w:szCs w:val="20"/>
              </w:rPr>
            </w:pPr>
          </w:p>
          <w:p w14:paraId="3276A4CE"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3.3</w:t>
            </w:r>
          </w:p>
        </w:tc>
      </w:tr>
      <w:tr w:rsidR="00A3021A" w:rsidRPr="00701439" w14:paraId="565F9B9E" w14:textId="77777777" w:rsidTr="0002541E">
        <w:trPr>
          <w:trHeight w:val="64"/>
        </w:trPr>
        <w:tc>
          <w:tcPr>
            <w:tcW w:w="2444" w:type="dxa"/>
            <w:tcBorders>
              <w:top w:val="nil"/>
              <w:left w:val="nil"/>
              <w:bottom w:val="nil"/>
              <w:right w:val="nil"/>
            </w:tcBorders>
            <w:vAlign w:val="bottom"/>
          </w:tcPr>
          <w:p w14:paraId="05438C2F"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 xml:space="preserve">– </w:t>
            </w:r>
            <w:r w:rsidRPr="00701439">
              <w:rPr>
                <w:rFonts w:asciiTheme="minorHAnsi" w:hAnsiTheme="minorHAnsi" w:cs="Poppins-Light"/>
                <w:sz w:val="20"/>
                <w:szCs w:val="20"/>
              </w:rPr>
              <w:t>non-deductible general expenses (</w:t>
            </w:r>
            <w:proofErr w:type="spellStart"/>
            <w:r w:rsidRPr="00701439">
              <w:rPr>
                <w:rFonts w:asciiTheme="minorHAnsi" w:hAnsiTheme="minorHAnsi" w:cs="Poppins-Light"/>
                <w:sz w:val="20"/>
                <w:szCs w:val="20"/>
              </w:rPr>
              <w:t>i</w:t>
            </w:r>
            <w:proofErr w:type="spellEnd"/>
            <w:r w:rsidRPr="00701439">
              <w:rPr>
                <w:rFonts w:asciiTheme="minorHAnsi" w:hAnsiTheme="minorHAnsi" w:cs="Poppins-Light"/>
                <w:sz w:val="20"/>
                <w:szCs w:val="20"/>
              </w:rPr>
              <w:t>)</w:t>
            </w:r>
          </w:p>
        </w:tc>
        <w:tc>
          <w:tcPr>
            <w:tcW w:w="992" w:type="dxa"/>
            <w:tcBorders>
              <w:top w:val="nil"/>
              <w:left w:val="nil"/>
              <w:bottom w:val="nil"/>
              <w:right w:val="nil"/>
            </w:tcBorders>
            <w:vAlign w:val="bottom"/>
          </w:tcPr>
          <w:p w14:paraId="0B65A3B2"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0.2</w:t>
            </w:r>
          </w:p>
        </w:tc>
        <w:tc>
          <w:tcPr>
            <w:tcW w:w="1276" w:type="dxa"/>
            <w:tcBorders>
              <w:top w:val="nil"/>
              <w:left w:val="nil"/>
              <w:bottom w:val="nil"/>
              <w:right w:val="nil"/>
            </w:tcBorders>
          </w:tcPr>
          <w:p w14:paraId="5545951E" w14:textId="77777777" w:rsidR="00A3021A" w:rsidRPr="00701439" w:rsidRDefault="00A3021A">
            <w:pPr>
              <w:jc w:val="right"/>
              <w:rPr>
                <w:rFonts w:asciiTheme="minorHAnsi" w:hAnsiTheme="minorHAnsi" w:cstheme="minorHAnsi"/>
                <w:sz w:val="20"/>
                <w:szCs w:val="20"/>
              </w:rPr>
            </w:pPr>
          </w:p>
          <w:p w14:paraId="6976753D"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0.7</w:t>
            </w:r>
          </w:p>
        </w:tc>
        <w:tc>
          <w:tcPr>
            <w:tcW w:w="1417" w:type="dxa"/>
            <w:tcBorders>
              <w:top w:val="nil"/>
              <w:left w:val="nil"/>
              <w:bottom w:val="nil"/>
              <w:right w:val="nil"/>
            </w:tcBorders>
          </w:tcPr>
          <w:p w14:paraId="007CA119" w14:textId="77777777" w:rsidR="00A3021A" w:rsidRPr="00701439" w:rsidRDefault="00A3021A">
            <w:pPr>
              <w:jc w:val="right"/>
              <w:rPr>
                <w:rFonts w:asciiTheme="minorHAnsi" w:hAnsiTheme="minorHAnsi" w:cstheme="minorHAnsi"/>
                <w:sz w:val="20"/>
                <w:szCs w:val="20"/>
              </w:rPr>
            </w:pPr>
          </w:p>
          <w:p w14:paraId="483CD9D4"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w:t>
            </w:r>
          </w:p>
        </w:tc>
        <w:tc>
          <w:tcPr>
            <w:tcW w:w="709" w:type="dxa"/>
            <w:tcBorders>
              <w:top w:val="nil"/>
              <w:left w:val="nil"/>
              <w:bottom w:val="nil"/>
              <w:right w:val="nil"/>
            </w:tcBorders>
            <w:vAlign w:val="bottom"/>
          </w:tcPr>
          <w:p w14:paraId="617D7820"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0.9</w:t>
            </w:r>
          </w:p>
        </w:tc>
        <w:tc>
          <w:tcPr>
            <w:tcW w:w="992" w:type="dxa"/>
            <w:tcBorders>
              <w:top w:val="nil"/>
              <w:left w:val="nil"/>
              <w:bottom w:val="nil"/>
              <w:right w:val="nil"/>
            </w:tcBorders>
          </w:tcPr>
          <w:p w14:paraId="25764E53" w14:textId="77777777" w:rsidR="00A3021A" w:rsidRPr="00701439" w:rsidRDefault="00A3021A">
            <w:pPr>
              <w:jc w:val="right"/>
              <w:rPr>
                <w:rFonts w:asciiTheme="minorHAnsi" w:hAnsiTheme="minorHAnsi" w:cstheme="minorHAnsi"/>
                <w:sz w:val="20"/>
                <w:szCs w:val="20"/>
              </w:rPr>
            </w:pPr>
          </w:p>
          <w:p w14:paraId="46A792CE"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0.6</w:t>
            </w:r>
          </w:p>
        </w:tc>
        <w:tc>
          <w:tcPr>
            <w:tcW w:w="1276" w:type="dxa"/>
            <w:tcBorders>
              <w:top w:val="nil"/>
              <w:left w:val="nil"/>
              <w:bottom w:val="nil"/>
              <w:right w:val="nil"/>
            </w:tcBorders>
          </w:tcPr>
          <w:p w14:paraId="25B7BBB5" w14:textId="77777777" w:rsidR="00A3021A" w:rsidRPr="00701439" w:rsidRDefault="00A3021A">
            <w:pPr>
              <w:jc w:val="right"/>
              <w:rPr>
                <w:rFonts w:asciiTheme="minorHAnsi" w:hAnsiTheme="minorHAnsi" w:cstheme="minorHAnsi"/>
                <w:sz w:val="20"/>
                <w:szCs w:val="20"/>
              </w:rPr>
            </w:pPr>
          </w:p>
          <w:p w14:paraId="14A8E48D"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(0.4)</w:t>
            </w:r>
          </w:p>
        </w:tc>
        <w:tc>
          <w:tcPr>
            <w:tcW w:w="851" w:type="dxa"/>
            <w:tcBorders>
              <w:top w:val="nil"/>
              <w:left w:val="nil"/>
              <w:bottom w:val="nil"/>
              <w:right w:val="nil"/>
            </w:tcBorders>
          </w:tcPr>
          <w:p w14:paraId="2E54A7E0" w14:textId="77777777" w:rsidR="00A3021A" w:rsidRPr="00701439" w:rsidRDefault="00A3021A">
            <w:pPr>
              <w:jc w:val="right"/>
              <w:rPr>
                <w:rFonts w:asciiTheme="minorHAnsi" w:hAnsiTheme="minorHAnsi" w:cstheme="minorHAnsi"/>
                <w:sz w:val="20"/>
                <w:szCs w:val="20"/>
              </w:rPr>
            </w:pPr>
          </w:p>
          <w:p w14:paraId="00B90E20"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0.2</w:t>
            </w:r>
          </w:p>
        </w:tc>
      </w:tr>
      <w:tr w:rsidR="00A3021A" w:rsidRPr="00701439" w14:paraId="33A14056" w14:textId="77777777" w:rsidTr="0002541E">
        <w:trPr>
          <w:trHeight w:val="217"/>
        </w:trPr>
        <w:tc>
          <w:tcPr>
            <w:tcW w:w="2444" w:type="dxa"/>
            <w:tcBorders>
              <w:top w:val="nil"/>
              <w:left w:val="nil"/>
              <w:bottom w:val="nil"/>
              <w:right w:val="nil"/>
            </w:tcBorders>
            <w:vAlign w:val="bottom"/>
          </w:tcPr>
          <w:p w14:paraId="2CE1ECDE" w14:textId="77777777" w:rsidR="00A3021A" w:rsidRPr="00701439" w:rsidRDefault="00A3021A">
            <w:pPr>
              <w:rPr>
                <w:rFonts w:asciiTheme="minorHAnsi" w:hAnsiTheme="minorHAnsi" w:cs="Arial"/>
                <w:b/>
                <w:sz w:val="20"/>
                <w:szCs w:val="20"/>
              </w:rPr>
            </w:pPr>
          </w:p>
        </w:tc>
        <w:tc>
          <w:tcPr>
            <w:tcW w:w="992" w:type="dxa"/>
            <w:tcBorders>
              <w:top w:val="single" w:sz="4" w:space="0" w:color="auto"/>
              <w:left w:val="nil"/>
              <w:bottom w:val="single" w:sz="12" w:space="0" w:color="auto"/>
              <w:right w:val="nil"/>
            </w:tcBorders>
            <w:vAlign w:val="bottom"/>
          </w:tcPr>
          <w:p w14:paraId="7248D83D"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29.4</w:t>
            </w:r>
          </w:p>
        </w:tc>
        <w:tc>
          <w:tcPr>
            <w:tcW w:w="1276" w:type="dxa"/>
            <w:tcBorders>
              <w:top w:val="single" w:sz="4" w:space="0" w:color="auto"/>
              <w:left w:val="nil"/>
              <w:bottom w:val="single" w:sz="12" w:space="0" w:color="auto"/>
              <w:right w:val="nil"/>
            </w:tcBorders>
          </w:tcPr>
          <w:p w14:paraId="6F9C82F6"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(0.2)</w:t>
            </w:r>
          </w:p>
        </w:tc>
        <w:tc>
          <w:tcPr>
            <w:tcW w:w="1417" w:type="dxa"/>
            <w:tcBorders>
              <w:top w:val="single" w:sz="4" w:space="0" w:color="auto"/>
              <w:left w:val="nil"/>
              <w:bottom w:val="single" w:sz="12" w:space="0" w:color="auto"/>
              <w:right w:val="nil"/>
            </w:tcBorders>
          </w:tcPr>
          <w:p w14:paraId="6258F94C"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(1.4)</w:t>
            </w:r>
          </w:p>
        </w:tc>
        <w:tc>
          <w:tcPr>
            <w:tcW w:w="709" w:type="dxa"/>
            <w:tcBorders>
              <w:top w:val="single" w:sz="4" w:space="0" w:color="auto"/>
              <w:left w:val="nil"/>
              <w:bottom w:val="single" w:sz="12" w:space="0" w:color="auto"/>
              <w:right w:val="nil"/>
            </w:tcBorders>
            <w:vAlign w:val="bottom"/>
          </w:tcPr>
          <w:p w14:paraId="0A60C209"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27.8</w:t>
            </w:r>
          </w:p>
        </w:tc>
        <w:tc>
          <w:tcPr>
            <w:tcW w:w="992" w:type="dxa"/>
            <w:tcBorders>
              <w:top w:val="single" w:sz="4" w:space="0" w:color="auto"/>
              <w:left w:val="nil"/>
              <w:bottom w:val="single" w:sz="12" w:space="0" w:color="auto"/>
              <w:right w:val="nil"/>
            </w:tcBorders>
          </w:tcPr>
          <w:p w14:paraId="3D009C8D"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(6.6)</w:t>
            </w:r>
          </w:p>
        </w:tc>
        <w:tc>
          <w:tcPr>
            <w:tcW w:w="1276" w:type="dxa"/>
            <w:tcBorders>
              <w:top w:val="single" w:sz="4" w:space="0" w:color="auto"/>
              <w:left w:val="nil"/>
              <w:bottom w:val="single" w:sz="12" w:space="0" w:color="auto"/>
              <w:right w:val="nil"/>
            </w:tcBorders>
          </w:tcPr>
          <w:p w14:paraId="5B82996C"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0.8</w:t>
            </w:r>
          </w:p>
        </w:tc>
        <w:tc>
          <w:tcPr>
            <w:tcW w:w="851" w:type="dxa"/>
            <w:tcBorders>
              <w:top w:val="single" w:sz="4" w:space="0" w:color="auto"/>
              <w:left w:val="nil"/>
              <w:bottom w:val="single" w:sz="12" w:space="0" w:color="auto"/>
              <w:right w:val="nil"/>
            </w:tcBorders>
          </w:tcPr>
          <w:p w14:paraId="3C44BA06"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(5.8)</w:t>
            </w:r>
          </w:p>
        </w:tc>
      </w:tr>
    </w:tbl>
    <w:p w14:paraId="5B1BBF0F" w14:textId="77777777" w:rsidR="009B4C3C" w:rsidRPr="00701439" w:rsidRDefault="009B4C3C" w:rsidP="00A3021A">
      <w:pPr>
        <w:autoSpaceDE w:val="0"/>
        <w:autoSpaceDN w:val="0"/>
        <w:adjustRightInd w:val="0"/>
        <w:jc w:val="both"/>
        <w:rPr>
          <w:rFonts w:asciiTheme="minorHAnsi" w:hAnsiTheme="minorHAnsi" w:cs="Poppins-Light"/>
          <w:sz w:val="20"/>
          <w:szCs w:val="20"/>
        </w:rPr>
      </w:pPr>
    </w:p>
    <w:p w14:paraId="762D072C" w14:textId="77777777" w:rsidR="009B4C3C" w:rsidRPr="00701439" w:rsidRDefault="009B4C3C" w:rsidP="00A3021A">
      <w:pPr>
        <w:autoSpaceDE w:val="0"/>
        <w:autoSpaceDN w:val="0"/>
        <w:adjustRightInd w:val="0"/>
        <w:jc w:val="both"/>
        <w:rPr>
          <w:rFonts w:asciiTheme="minorHAnsi" w:hAnsiTheme="minorHAnsi" w:cs="Poppins-Light"/>
          <w:sz w:val="20"/>
          <w:szCs w:val="20"/>
        </w:rPr>
      </w:pPr>
    </w:p>
    <w:p w14:paraId="55C159C6" w14:textId="77777777" w:rsidR="009B4C3C" w:rsidRPr="00701439" w:rsidRDefault="009B4C3C" w:rsidP="00A3021A">
      <w:pPr>
        <w:autoSpaceDE w:val="0"/>
        <w:autoSpaceDN w:val="0"/>
        <w:adjustRightInd w:val="0"/>
        <w:jc w:val="both"/>
        <w:rPr>
          <w:rFonts w:asciiTheme="minorHAnsi" w:hAnsiTheme="minorHAnsi" w:cs="Poppins-Light"/>
          <w:sz w:val="20"/>
          <w:szCs w:val="20"/>
        </w:rPr>
      </w:pPr>
    </w:p>
    <w:p w14:paraId="1B7653BE" w14:textId="77777777" w:rsidR="009B4C3C" w:rsidRPr="00701439" w:rsidRDefault="009B4C3C" w:rsidP="00A3021A">
      <w:pPr>
        <w:autoSpaceDE w:val="0"/>
        <w:autoSpaceDN w:val="0"/>
        <w:adjustRightInd w:val="0"/>
        <w:jc w:val="both"/>
        <w:rPr>
          <w:rFonts w:asciiTheme="minorHAnsi" w:hAnsiTheme="minorHAnsi" w:cs="Poppins-Light"/>
          <w:sz w:val="20"/>
          <w:szCs w:val="20"/>
        </w:rPr>
      </w:pPr>
    </w:p>
    <w:p w14:paraId="6AAFF648" w14:textId="77777777" w:rsidR="00A3021A" w:rsidRPr="00701439" w:rsidRDefault="00A3021A" w:rsidP="00A3021A">
      <w:pPr>
        <w:ind w:left="567" w:hanging="567"/>
        <w:jc w:val="both"/>
        <w:rPr>
          <w:rStyle w:val="bodycopynumber"/>
          <w:rFonts w:asciiTheme="minorHAnsi" w:hAnsiTheme="minorHAnsi" w:cs="Arial"/>
          <w:b/>
          <w:bCs/>
          <w:color w:val="4747FF"/>
          <w:sz w:val="22"/>
          <w:szCs w:val="22"/>
        </w:rPr>
      </w:pPr>
    </w:p>
    <w:p w14:paraId="3378A8EC" w14:textId="77777777" w:rsidR="00351CEF" w:rsidRPr="00701439" w:rsidRDefault="00351CEF" w:rsidP="00A3021A">
      <w:pPr>
        <w:ind w:left="567" w:hanging="567"/>
        <w:jc w:val="both"/>
        <w:rPr>
          <w:rStyle w:val="bodycopynumber"/>
          <w:rFonts w:asciiTheme="minorHAnsi" w:hAnsiTheme="minorHAnsi" w:cs="Arial"/>
          <w:b/>
          <w:bCs/>
          <w:color w:val="4747FF"/>
          <w:sz w:val="22"/>
          <w:szCs w:val="22"/>
        </w:rPr>
      </w:pPr>
    </w:p>
    <w:p w14:paraId="7B8808F6" w14:textId="77777777" w:rsidR="00A3021A" w:rsidRPr="00701439" w:rsidRDefault="00A3021A" w:rsidP="00A3021A">
      <w:pPr>
        <w:ind w:left="567" w:hanging="567"/>
        <w:jc w:val="both"/>
        <w:rPr>
          <w:rStyle w:val="bodycopynumber"/>
          <w:rFonts w:asciiTheme="minorHAnsi" w:hAnsiTheme="minorHAnsi" w:cs="Arial"/>
          <w:b/>
          <w:color w:val="4747FF"/>
          <w:sz w:val="22"/>
          <w:szCs w:val="22"/>
        </w:rPr>
      </w:pPr>
      <w:r w:rsidRPr="00701439">
        <w:rPr>
          <w:rStyle w:val="bodycopynumber"/>
          <w:rFonts w:asciiTheme="minorHAnsi" w:hAnsiTheme="minorHAnsi" w:cs="Arial"/>
          <w:b/>
          <w:color w:val="4747FF"/>
          <w:sz w:val="22"/>
          <w:szCs w:val="22"/>
        </w:rPr>
        <w:lastRenderedPageBreak/>
        <w:t>5.</w:t>
      </w:r>
      <w:r w:rsidRPr="00701439">
        <w:rPr>
          <w:rStyle w:val="bodycopynumber"/>
          <w:rFonts w:asciiTheme="minorHAnsi" w:hAnsiTheme="minorHAnsi" w:cs="Arial"/>
          <w:b/>
          <w:color w:val="4747FF"/>
          <w:sz w:val="22"/>
          <w:szCs w:val="22"/>
        </w:rPr>
        <w:tab/>
        <w:t>Tax charge (continued)</w:t>
      </w:r>
    </w:p>
    <w:p w14:paraId="2CCCB948" w14:textId="77777777" w:rsidR="00A3021A" w:rsidRPr="00701439" w:rsidRDefault="00A3021A" w:rsidP="00A3021A">
      <w:pPr>
        <w:jc w:val="both"/>
        <w:rPr>
          <w:rFonts w:asciiTheme="minorHAnsi" w:hAnsiTheme="minorHAnsi"/>
          <w:sz w:val="20"/>
          <w:szCs w:val="20"/>
        </w:rPr>
      </w:pPr>
    </w:p>
    <w:tbl>
      <w:tblPr>
        <w:tblW w:w="9957" w:type="dxa"/>
        <w:tblInd w:w="108" w:type="dxa"/>
        <w:tblLayout w:type="fixed"/>
        <w:tblLook w:val="0000" w:firstRow="0" w:lastRow="0" w:firstColumn="0" w:lastColumn="0" w:noHBand="0" w:noVBand="0"/>
      </w:tblPr>
      <w:tblGrid>
        <w:gridCol w:w="2444"/>
        <w:gridCol w:w="992"/>
        <w:gridCol w:w="1276"/>
        <w:gridCol w:w="1417"/>
        <w:gridCol w:w="709"/>
        <w:gridCol w:w="992"/>
        <w:gridCol w:w="1276"/>
        <w:gridCol w:w="851"/>
      </w:tblGrid>
      <w:tr w:rsidR="00A3021A" w:rsidRPr="00701439" w14:paraId="31403017" w14:textId="77777777">
        <w:trPr>
          <w:trHeight w:val="228"/>
        </w:trPr>
        <w:tc>
          <w:tcPr>
            <w:tcW w:w="2444" w:type="dxa"/>
            <w:tcBorders>
              <w:top w:val="nil"/>
              <w:left w:val="nil"/>
              <w:bottom w:val="nil"/>
              <w:right w:val="nil"/>
            </w:tcBorders>
            <w:vAlign w:val="bottom"/>
          </w:tcPr>
          <w:p w14:paraId="44ECD8FF" w14:textId="77777777" w:rsidR="00A3021A" w:rsidRPr="00701439" w:rsidRDefault="00A3021A">
            <w:pPr>
              <w:rPr>
                <w:rFonts w:asciiTheme="minorHAnsi" w:hAnsiTheme="minorHAnsi" w:cs="Arial"/>
                <w:sz w:val="20"/>
                <w:szCs w:val="20"/>
              </w:rPr>
            </w:pPr>
          </w:p>
        </w:tc>
        <w:tc>
          <w:tcPr>
            <w:tcW w:w="7513" w:type="dxa"/>
            <w:gridSpan w:val="7"/>
            <w:tcBorders>
              <w:top w:val="nil"/>
              <w:left w:val="nil"/>
              <w:bottom w:val="single" w:sz="4" w:space="0" w:color="auto"/>
              <w:right w:val="nil"/>
            </w:tcBorders>
            <w:vAlign w:val="bottom"/>
          </w:tcPr>
          <w:p w14:paraId="4D4D804F" w14:textId="77777777" w:rsidR="00A3021A" w:rsidRPr="00701439" w:rsidRDefault="00A3021A">
            <w:pPr>
              <w:jc w:val="center"/>
              <w:rPr>
                <w:rFonts w:asciiTheme="minorHAnsi" w:hAnsiTheme="minorHAnsi" w:cs="Arial"/>
                <w:sz w:val="20"/>
                <w:szCs w:val="20"/>
              </w:rPr>
            </w:pPr>
            <w:r w:rsidRPr="00701439">
              <w:rPr>
                <w:rFonts w:asciiTheme="minorHAnsi" w:hAnsiTheme="minorHAnsi" w:cs="Arial"/>
                <w:sz w:val="20"/>
                <w:szCs w:val="20"/>
              </w:rPr>
              <w:t>2021</w:t>
            </w:r>
          </w:p>
        </w:tc>
      </w:tr>
      <w:tr w:rsidR="00A3021A" w:rsidRPr="00701439" w14:paraId="47BE6926" w14:textId="77777777">
        <w:trPr>
          <w:trHeight w:val="240"/>
        </w:trPr>
        <w:tc>
          <w:tcPr>
            <w:tcW w:w="2444" w:type="dxa"/>
            <w:tcBorders>
              <w:top w:val="nil"/>
              <w:left w:val="nil"/>
              <w:bottom w:val="nil"/>
              <w:right w:val="nil"/>
            </w:tcBorders>
            <w:vAlign w:val="bottom"/>
          </w:tcPr>
          <w:p w14:paraId="0681B096" w14:textId="77777777" w:rsidR="00A3021A" w:rsidRPr="00701439" w:rsidRDefault="00A3021A">
            <w:pPr>
              <w:rPr>
                <w:rFonts w:asciiTheme="minorHAnsi" w:hAnsiTheme="minorHAnsi" w:cs="Arial"/>
                <w:sz w:val="20"/>
                <w:szCs w:val="20"/>
              </w:rPr>
            </w:pPr>
          </w:p>
        </w:tc>
        <w:tc>
          <w:tcPr>
            <w:tcW w:w="4394" w:type="dxa"/>
            <w:gridSpan w:val="4"/>
            <w:tcBorders>
              <w:top w:val="nil"/>
              <w:left w:val="nil"/>
              <w:bottom w:val="single" w:sz="4" w:space="0" w:color="auto"/>
              <w:right w:val="nil"/>
            </w:tcBorders>
            <w:vAlign w:val="bottom"/>
          </w:tcPr>
          <w:p w14:paraId="38600FE2" w14:textId="77777777" w:rsidR="00A3021A" w:rsidRPr="00701439" w:rsidRDefault="00A3021A">
            <w:pPr>
              <w:jc w:val="center"/>
              <w:rPr>
                <w:rFonts w:asciiTheme="minorHAnsi" w:hAnsiTheme="minorHAnsi" w:cs="Arial"/>
                <w:sz w:val="20"/>
                <w:szCs w:val="20"/>
              </w:rPr>
            </w:pPr>
            <w:r w:rsidRPr="00701439">
              <w:rPr>
                <w:rFonts w:asciiTheme="minorHAnsi" w:hAnsiTheme="minorHAnsi" w:cs="Arial"/>
                <w:sz w:val="20"/>
                <w:szCs w:val="20"/>
              </w:rPr>
              <w:t>Continuing operations</w:t>
            </w:r>
          </w:p>
        </w:tc>
        <w:tc>
          <w:tcPr>
            <w:tcW w:w="3119" w:type="dxa"/>
            <w:gridSpan w:val="3"/>
            <w:tcBorders>
              <w:top w:val="nil"/>
              <w:left w:val="nil"/>
              <w:bottom w:val="single" w:sz="4" w:space="0" w:color="auto"/>
              <w:right w:val="nil"/>
            </w:tcBorders>
          </w:tcPr>
          <w:p w14:paraId="584E1D14" w14:textId="77777777" w:rsidR="00A3021A" w:rsidRPr="00701439" w:rsidRDefault="00A3021A">
            <w:pPr>
              <w:jc w:val="center"/>
              <w:rPr>
                <w:rFonts w:asciiTheme="minorHAnsi" w:hAnsiTheme="minorHAnsi" w:cs="Arial"/>
                <w:sz w:val="20"/>
                <w:szCs w:val="20"/>
              </w:rPr>
            </w:pPr>
            <w:r w:rsidRPr="00701439">
              <w:rPr>
                <w:rFonts w:asciiTheme="minorHAnsi" w:hAnsiTheme="minorHAnsi" w:cs="Arial"/>
                <w:sz w:val="20"/>
                <w:szCs w:val="20"/>
              </w:rPr>
              <w:t>Discontinued operations</w:t>
            </w:r>
          </w:p>
        </w:tc>
      </w:tr>
      <w:tr w:rsidR="00A3021A" w:rsidRPr="00701439" w14:paraId="7CF9AAD6" w14:textId="77777777">
        <w:trPr>
          <w:trHeight w:val="457"/>
        </w:trPr>
        <w:tc>
          <w:tcPr>
            <w:tcW w:w="2444" w:type="dxa"/>
            <w:tcBorders>
              <w:top w:val="nil"/>
              <w:left w:val="nil"/>
              <w:bottom w:val="nil"/>
              <w:right w:val="nil"/>
            </w:tcBorders>
            <w:vAlign w:val="bottom"/>
          </w:tcPr>
          <w:p w14:paraId="6ED4AB52" w14:textId="77777777" w:rsidR="00A3021A" w:rsidRPr="00701439" w:rsidRDefault="00A3021A">
            <w:pPr>
              <w:rPr>
                <w:rFonts w:asciiTheme="minorHAnsi" w:hAnsiTheme="minorHAnsi" w:cs="Arial"/>
                <w:sz w:val="20"/>
                <w:szCs w:val="20"/>
              </w:rPr>
            </w:pPr>
          </w:p>
        </w:tc>
        <w:tc>
          <w:tcPr>
            <w:tcW w:w="992" w:type="dxa"/>
            <w:tcBorders>
              <w:top w:val="single" w:sz="4" w:space="0" w:color="auto"/>
              <w:left w:val="nil"/>
              <w:bottom w:val="nil"/>
              <w:right w:val="nil"/>
            </w:tcBorders>
            <w:vAlign w:val="bottom"/>
          </w:tcPr>
          <w:p w14:paraId="6FBD64CB"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Adjusted PBT </w:t>
            </w:r>
          </w:p>
        </w:tc>
        <w:tc>
          <w:tcPr>
            <w:tcW w:w="1276" w:type="dxa"/>
            <w:tcBorders>
              <w:top w:val="single" w:sz="4" w:space="0" w:color="auto"/>
              <w:left w:val="nil"/>
              <w:bottom w:val="nil"/>
              <w:right w:val="nil"/>
            </w:tcBorders>
          </w:tcPr>
          <w:p w14:paraId="4FD0B143"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Exceptional items</w:t>
            </w:r>
          </w:p>
        </w:tc>
        <w:tc>
          <w:tcPr>
            <w:tcW w:w="1417" w:type="dxa"/>
            <w:tcBorders>
              <w:top w:val="single" w:sz="4" w:space="0" w:color="auto"/>
              <w:left w:val="nil"/>
              <w:bottom w:val="nil"/>
              <w:right w:val="nil"/>
            </w:tcBorders>
          </w:tcPr>
          <w:p w14:paraId="142D3860" w14:textId="77777777" w:rsidR="00A3021A" w:rsidRPr="00701439" w:rsidRDefault="00A3021A">
            <w:pPr>
              <w:jc w:val="right"/>
              <w:rPr>
                <w:rFonts w:asciiTheme="minorHAnsi" w:hAnsiTheme="minorHAnsi" w:cs="Arial"/>
                <w:sz w:val="20"/>
                <w:szCs w:val="20"/>
              </w:rPr>
            </w:pPr>
          </w:p>
          <w:p w14:paraId="25D876F8"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Amortisation</w:t>
            </w:r>
          </w:p>
        </w:tc>
        <w:tc>
          <w:tcPr>
            <w:tcW w:w="709" w:type="dxa"/>
            <w:tcBorders>
              <w:top w:val="single" w:sz="4" w:space="0" w:color="auto"/>
              <w:left w:val="nil"/>
              <w:bottom w:val="nil"/>
              <w:right w:val="nil"/>
            </w:tcBorders>
            <w:vAlign w:val="bottom"/>
          </w:tcPr>
          <w:p w14:paraId="7C58D57E"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Total</w:t>
            </w:r>
          </w:p>
        </w:tc>
        <w:tc>
          <w:tcPr>
            <w:tcW w:w="992" w:type="dxa"/>
            <w:tcBorders>
              <w:top w:val="single" w:sz="4" w:space="0" w:color="auto"/>
              <w:left w:val="nil"/>
              <w:bottom w:val="nil"/>
              <w:right w:val="nil"/>
            </w:tcBorders>
          </w:tcPr>
          <w:p w14:paraId="770334F6"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 xml:space="preserve">Adjusted PBT </w:t>
            </w:r>
          </w:p>
        </w:tc>
        <w:tc>
          <w:tcPr>
            <w:tcW w:w="1276" w:type="dxa"/>
            <w:tcBorders>
              <w:top w:val="single" w:sz="4" w:space="0" w:color="auto"/>
              <w:left w:val="nil"/>
              <w:bottom w:val="nil"/>
              <w:right w:val="nil"/>
            </w:tcBorders>
          </w:tcPr>
          <w:p w14:paraId="5113BAAD"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Exceptional items</w:t>
            </w:r>
          </w:p>
        </w:tc>
        <w:tc>
          <w:tcPr>
            <w:tcW w:w="851" w:type="dxa"/>
            <w:tcBorders>
              <w:top w:val="single" w:sz="4" w:space="0" w:color="auto"/>
              <w:left w:val="nil"/>
              <w:bottom w:val="nil"/>
              <w:right w:val="nil"/>
            </w:tcBorders>
          </w:tcPr>
          <w:p w14:paraId="7CED5BAE" w14:textId="77777777" w:rsidR="00A3021A" w:rsidRPr="00701439" w:rsidRDefault="00A3021A">
            <w:pPr>
              <w:jc w:val="right"/>
              <w:rPr>
                <w:rFonts w:asciiTheme="minorHAnsi" w:hAnsiTheme="minorHAnsi" w:cs="Arial"/>
                <w:sz w:val="20"/>
                <w:szCs w:val="20"/>
              </w:rPr>
            </w:pPr>
          </w:p>
          <w:p w14:paraId="38E32470"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Total</w:t>
            </w:r>
          </w:p>
        </w:tc>
      </w:tr>
      <w:tr w:rsidR="00A3021A" w:rsidRPr="00701439" w14:paraId="1174E218" w14:textId="77777777">
        <w:trPr>
          <w:trHeight w:val="228"/>
        </w:trPr>
        <w:tc>
          <w:tcPr>
            <w:tcW w:w="2444" w:type="dxa"/>
            <w:tcBorders>
              <w:top w:val="nil"/>
              <w:left w:val="nil"/>
              <w:bottom w:val="nil"/>
              <w:right w:val="nil"/>
            </w:tcBorders>
            <w:vAlign w:val="bottom"/>
          </w:tcPr>
          <w:p w14:paraId="111BBEE5" w14:textId="77777777" w:rsidR="00A3021A" w:rsidRPr="00701439" w:rsidRDefault="00A3021A">
            <w:pPr>
              <w:rPr>
                <w:rFonts w:asciiTheme="minorHAnsi" w:hAnsiTheme="minorHAnsi" w:cs="Arial"/>
                <w:sz w:val="20"/>
                <w:szCs w:val="20"/>
              </w:rPr>
            </w:pPr>
          </w:p>
        </w:tc>
        <w:tc>
          <w:tcPr>
            <w:tcW w:w="992" w:type="dxa"/>
            <w:tcBorders>
              <w:top w:val="nil"/>
              <w:left w:val="nil"/>
              <w:bottom w:val="single" w:sz="4" w:space="0" w:color="auto"/>
              <w:right w:val="nil"/>
            </w:tcBorders>
            <w:vAlign w:val="bottom"/>
          </w:tcPr>
          <w:p w14:paraId="70770113"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£m </w:t>
            </w:r>
          </w:p>
        </w:tc>
        <w:tc>
          <w:tcPr>
            <w:tcW w:w="1276" w:type="dxa"/>
            <w:tcBorders>
              <w:top w:val="nil"/>
              <w:left w:val="nil"/>
              <w:bottom w:val="single" w:sz="4" w:space="0" w:color="auto"/>
              <w:right w:val="nil"/>
            </w:tcBorders>
          </w:tcPr>
          <w:p w14:paraId="20712459"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£m</w:t>
            </w:r>
          </w:p>
        </w:tc>
        <w:tc>
          <w:tcPr>
            <w:tcW w:w="1417" w:type="dxa"/>
            <w:tcBorders>
              <w:top w:val="nil"/>
              <w:left w:val="nil"/>
              <w:bottom w:val="single" w:sz="4" w:space="0" w:color="auto"/>
              <w:right w:val="nil"/>
            </w:tcBorders>
          </w:tcPr>
          <w:p w14:paraId="2F8C3A48"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£m</w:t>
            </w:r>
          </w:p>
        </w:tc>
        <w:tc>
          <w:tcPr>
            <w:tcW w:w="709" w:type="dxa"/>
            <w:tcBorders>
              <w:top w:val="nil"/>
              <w:left w:val="nil"/>
              <w:bottom w:val="single" w:sz="4" w:space="0" w:color="auto"/>
              <w:right w:val="nil"/>
            </w:tcBorders>
            <w:vAlign w:val="bottom"/>
          </w:tcPr>
          <w:p w14:paraId="31A4AEBA"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£m </w:t>
            </w:r>
          </w:p>
        </w:tc>
        <w:tc>
          <w:tcPr>
            <w:tcW w:w="992" w:type="dxa"/>
            <w:tcBorders>
              <w:top w:val="nil"/>
              <w:left w:val="nil"/>
              <w:bottom w:val="single" w:sz="4" w:space="0" w:color="auto"/>
              <w:right w:val="nil"/>
            </w:tcBorders>
          </w:tcPr>
          <w:p w14:paraId="15CFF5DB"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£m</w:t>
            </w:r>
          </w:p>
        </w:tc>
        <w:tc>
          <w:tcPr>
            <w:tcW w:w="1276" w:type="dxa"/>
            <w:tcBorders>
              <w:top w:val="nil"/>
              <w:left w:val="nil"/>
              <w:bottom w:val="single" w:sz="4" w:space="0" w:color="auto"/>
              <w:right w:val="nil"/>
            </w:tcBorders>
          </w:tcPr>
          <w:p w14:paraId="661795B1"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£m</w:t>
            </w:r>
          </w:p>
        </w:tc>
        <w:tc>
          <w:tcPr>
            <w:tcW w:w="851" w:type="dxa"/>
            <w:tcBorders>
              <w:top w:val="nil"/>
              <w:left w:val="nil"/>
              <w:bottom w:val="single" w:sz="4" w:space="0" w:color="auto"/>
              <w:right w:val="nil"/>
            </w:tcBorders>
          </w:tcPr>
          <w:p w14:paraId="31D69DEA"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£m</w:t>
            </w:r>
          </w:p>
        </w:tc>
      </w:tr>
      <w:tr w:rsidR="00A3021A" w:rsidRPr="00701439" w14:paraId="40BFD528" w14:textId="77777777">
        <w:trPr>
          <w:trHeight w:val="240"/>
        </w:trPr>
        <w:tc>
          <w:tcPr>
            <w:tcW w:w="2444" w:type="dxa"/>
            <w:tcBorders>
              <w:top w:val="nil"/>
              <w:left w:val="nil"/>
              <w:bottom w:val="nil"/>
              <w:right w:val="nil"/>
            </w:tcBorders>
            <w:vAlign w:val="bottom"/>
          </w:tcPr>
          <w:p w14:paraId="4C125C27" w14:textId="77777777" w:rsidR="00A3021A" w:rsidRPr="00701439" w:rsidRDefault="00A3021A">
            <w:pPr>
              <w:rPr>
                <w:rFonts w:asciiTheme="minorHAnsi" w:hAnsiTheme="minorHAnsi" w:cs="Arial"/>
                <w:b/>
                <w:sz w:val="20"/>
                <w:szCs w:val="20"/>
              </w:rPr>
            </w:pPr>
            <w:r w:rsidRPr="00701439">
              <w:rPr>
                <w:rFonts w:asciiTheme="minorHAnsi" w:hAnsiTheme="minorHAnsi" w:cs="Arial"/>
                <w:b/>
                <w:sz w:val="20"/>
                <w:szCs w:val="20"/>
              </w:rPr>
              <w:t xml:space="preserve">Profit/(loss) before taxation </w:t>
            </w:r>
          </w:p>
        </w:tc>
        <w:tc>
          <w:tcPr>
            <w:tcW w:w="992" w:type="dxa"/>
            <w:tcBorders>
              <w:top w:val="single" w:sz="4" w:space="0" w:color="auto"/>
              <w:left w:val="nil"/>
              <w:bottom w:val="single" w:sz="4" w:space="0" w:color="auto"/>
              <w:right w:val="nil"/>
            </w:tcBorders>
            <w:vAlign w:val="bottom"/>
          </w:tcPr>
          <w:p w14:paraId="77662F2A"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167.8</w:t>
            </w:r>
          </w:p>
        </w:tc>
        <w:tc>
          <w:tcPr>
            <w:tcW w:w="1276" w:type="dxa"/>
            <w:tcBorders>
              <w:top w:val="single" w:sz="4" w:space="0" w:color="auto"/>
              <w:left w:val="nil"/>
              <w:bottom w:val="single" w:sz="4" w:space="0" w:color="auto"/>
              <w:right w:val="nil"/>
            </w:tcBorders>
          </w:tcPr>
          <w:p w14:paraId="262C46C9" w14:textId="77777777" w:rsidR="00A3021A" w:rsidRPr="00701439" w:rsidRDefault="00A3021A">
            <w:pPr>
              <w:jc w:val="right"/>
              <w:rPr>
                <w:rFonts w:asciiTheme="minorHAnsi" w:hAnsiTheme="minorHAnsi" w:cstheme="minorHAnsi"/>
                <w:sz w:val="20"/>
                <w:szCs w:val="20"/>
              </w:rPr>
            </w:pPr>
          </w:p>
          <w:p w14:paraId="0BA44F7C"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(18.1)</w:t>
            </w:r>
          </w:p>
        </w:tc>
        <w:tc>
          <w:tcPr>
            <w:tcW w:w="1417" w:type="dxa"/>
            <w:tcBorders>
              <w:top w:val="single" w:sz="4" w:space="0" w:color="auto"/>
              <w:left w:val="nil"/>
              <w:bottom w:val="single" w:sz="4" w:space="0" w:color="auto"/>
              <w:right w:val="nil"/>
            </w:tcBorders>
          </w:tcPr>
          <w:p w14:paraId="3989FFF2" w14:textId="77777777" w:rsidR="00A3021A" w:rsidRPr="00701439" w:rsidRDefault="00A3021A">
            <w:pPr>
              <w:jc w:val="right"/>
              <w:rPr>
                <w:rFonts w:asciiTheme="minorHAnsi" w:hAnsiTheme="minorHAnsi" w:cstheme="minorHAnsi"/>
                <w:sz w:val="20"/>
                <w:szCs w:val="20"/>
              </w:rPr>
            </w:pPr>
          </w:p>
          <w:p w14:paraId="7E2CADB8"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(7.5)</w:t>
            </w:r>
          </w:p>
        </w:tc>
        <w:tc>
          <w:tcPr>
            <w:tcW w:w="709" w:type="dxa"/>
            <w:tcBorders>
              <w:top w:val="single" w:sz="4" w:space="0" w:color="auto"/>
              <w:left w:val="nil"/>
              <w:bottom w:val="single" w:sz="4" w:space="0" w:color="auto"/>
              <w:right w:val="nil"/>
            </w:tcBorders>
            <w:vAlign w:val="bottom"/>
          </w:tcPr>
          <w:p w14:paraId="13115EA3"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142.2</w:t>
            </w:r>
          </w:p>
        </w:tc>
        <w:tc>
          <w:tcPr>
            <w:tcW w:w="992" w:type="dxa"/>
            <w:tcBorders>
              <w:top w:val="single" w:sz="4" w:space="0" w:color="auto"/>
              <w:left w:val="nil"/>
              <w:bottom w:val="single" w:sz="4" w:space="0" w:color="auto"/>
              <w:right w:val="nil"/>
            </w:tcBorders>
          </w:tcPr>
          <w:p w14:paraId="1C68512F" w14:textId="77777777" w:rsidR="00A3021A" w:rsidRPr="00701439" w:rsidRDefault="00A3021A">
            <w:pPr>
              <w:jc w:val="right"/>
              <w:rPr>
                <w:rFonts w:asciiTheme="minorHAnsi" w:hAnsiTheme="minorHAnsi" w:cstheme="minorHAnsi"/>
                <w:sz w:val="20"/>
                <w:szCs w:val="20"/>
              </w:rPr>
            </w:pPr>
          </w:p>
          <w:p w14:paraId="68FF33DD"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(95.5)</w:t>
            </w:r>
          </w:p>
        </w:tc>
        <w:tc>
          <w:tcPr>
            <w:tcW w:w="1276" w:type="dxa"/>
            <w:tcBorders>
              <w:top w:val="single" w:sz="4" w:space="0" w:color="auto"/>
              <w:left w:val="nil"/>
              <w:bottom w:val="single" w:sz="4" w:space="0" w:color="auto"/>
              <w:right w:val="nil"/>
            </w:tcBorders>
          </w:tcPr>
          <w:p w14:paraId="2175A38B" w14:textId="77777777" w:rsidR="00A3021A" w:rsidRPr="00701439" w:rsidRDefault="00A3021A">
            <w:pPr>
              <w:jc w:val="right"/>
              <w:rPr>
                <w:rFonts w:asciiTheme="minorHAnsi" w:hAnsiTheme="minorHAnsi" w:cstheme="minorHAnsi"/>
                <w:sz w:val="20"/>
                <w:szCs w:val="20"/>
              </w:rPr>
            </w:pPr>
          </w:p>
          <w:p w14:paraId="390FC172"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(42.6)</w:t>
            </w:r>
          </w:p>
        </w:tc>
        <w:tc>
          <w:tcPr>
            <w:tcW w:w="851" w:type="dxa"/>
            <w:tcBorders>
              <w:top w:val="single" w:sz="4" w:space="0" w:color="auto"/>
              <w:left w:val="nil"/>
              <w:bottom w:val="single" w:sz="4" w:space="0" w:color="auto"/>
              <w:right w:val="nil"/>
            </w:tcBorders>
          </w:tcPr>
          <w:p w14:paraId="2C7D03DD" w14:textId="77777777" w:rsidR="00A3021A" w:rsidRPr="00701439" w:rsidRDefault="00A3021A">
            <w:pPr>
              <w:jc w:val="right"/>
              <w:rPr>
                <w:rFonts w:asciiTheme="minorHAnsi" w:hAnsiTheme="minorHAnsi" w:cstheme="minorHAnsi"/>
                <w:sz w:val="20"/>
                <w:szCs w:val="20"/>
              </w:rPr>
            </w:pPr>
          </w:p>
          <w:p w14:paraId="5309F9C5"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(138.1)</w:t>
            </w:r>
          </w:p>
        </w:tc>
      </w:tr>
      <w:tr w:rsidR="00A3021A" w:rsidRPr="00701439" w14:paraId="3AEB04BD" w14:textId="77777777">
        <w:trPr>
          <w:trHeight w:val="685"/>
        </w:trPr>
        <w:tc>
          <w:tcPr>
            <w:tcW w:w="2444" w:type="dxa"/>
            <w:tcBorders>
              <w:top w:val="nil"/>
              <w:left w:val="nil"/>
              <w:bottom w:val="nil"/>
              <w:right w:val="nil"/>
            </w:tcBorders>
            <w:vAlign w:val="bottom"/>
          </w:tcPr>
          <w:p w14:paraId="1A612A2A"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Profit/(loss) before tax multiplied by standard rate of corporation tax in the UK of 19%</w:t>
            </w:r>
          </w:p>
        </w:tc>
        <w:tc>
          <w:tcPr>
            <w:tcW w:w="992" w:type="dxa"/>
            <w:tcBorders>
              <w:top w:val="single" w:sz="4" w:space="0" w:color="auto"/>
              <w:left w:val="nil"/>
              <w:bottom w:val="nil"/>
              <w:right w:val="nil"/>
            </w:tcBorders>
            <w:vAlign w:val="bottom"/>
          </w:tcPr>
          <w:p w14:paraId="1C9B3D70"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31.8</w:t>
            </w:r>
          </w:p>
        </w:tc>
        <w:tc>
          <w:tcPr>
            <w:tcW w:w="1276" w:type="dxa"/>
            <w:tcBorders>
              <w:top w:val="single" w:sz="4" w:space="0" w:color="auto"/>
              <w:left w:val="nil"/>
              <w:bottom w:val="nil"/>
              <w:right w:val="nil"/>
            </w:tcBorders>
          </w:tcPr>
          <w:p w14:paraId="0A90C3AA" w14:textId="77777777" w:rsidR="00A3021A" w:rsidRPr="00701439" w:rsidRDefault="00A3021A">
            <w:pPr>
              <w:jc w:val="right"/>
              <w:rPr>
                <w:rFonts w:asciiTheme="minorHAnsi" w:hAnsiTheme="minorHAnsi" w:cstheme="minorHAnsi"/>
                <w:sz w:val="20"/>
                <w:szCs w:val="20"/>
              </w:rPr>
            </w:pPr>
          </w:p>
          <w:p w14:paraId="6EAEF94B" w14:textId="77777777" w:rsidR="00A3021A" w:rsidRPr="00701439" w:rsidRDefault="00A3021A">
            <w:pPr>
              <w:jc w:val="right"/>
              <w:rPr>
                <w:rFonts w:asciiTheme="minorHAnsi" w:hAnsiTheme="minorHAnsi" w:cstheme="minorHAnsi"/>
                <w:sz w:val="20"/>
                <w:szCs w:val="20"/>
              </w:rPr>
            </w:pPr>
          </w:p>
          <w:p w14:paraId="499E965A" w14:textId="77777777" w:rsidR="00A3021A" w:rsidRPr="00701439" w:rsidRDefault="00A3021A">
            <w:pPr>
              <w:jc w:val="right"/>
              <w:rPr>
                <w:rFonts w:asciiTheme="minorHAnsi" w:hAnsiTheme="minorHAnsi" w:cstheme="minorHAnsi"/>
                <w:sz w:val="20"/>
                <w:szCs w:val="20"/>
              </w:rPr>
            </w:pPr>
          </w:p>
          <w:p w14:paraId="63FAC7F2"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(3.4)</w:t>
            </w:r>
          </w:p>
        </w:tc>
        <w:tc>
          <w:tcPr>
            <w:tcW w:w="1417" w:type="dxa"/>
            <w:tcBorders>
              <w:top w:val="single" w:sz="4" w:space="0" w:color="auto"/>
              <w:left w:val="nil"/>
              <w:bottom w:val="nil"/>
              <w:right w:val="nil"/>
            </w:tcBorders>
          </w:tcPr>
          <w:p w14:paraId="26D5732C" w14:textId="77777777" w:rsidR="00A3021A" w:rsidRPr="00701439" w:rsidRDefault="00A3021A">
            <w:pPr>
              <w:jc w:val="right"/>
              <w:rPr>
                <w:rFonts w:asciiTheme="minorHAnsi" w:hAnsiTheme="minorHAnsi" w:cstheme="minorHAnsi"/>
                <w:sz w:val="20"/>
                <w:szCs w:val="20"/>
              </w:rPr>
            </w:pPr>
          </w:p>
          <w:p w14:paraId="65B013CF" w14:textId="77777777" w:rsidR="00A3021A" w:rsidRPr="00701439" w:rsidRDefault="00A3021A">
            <w:pPr>
              <w:jc w:val="right"/>
              <w:rPr>
                <w:rFonts w:asciiTheme="minorHAnsi" w:hAnsiTheme="minorHAnsi" w:cstheme="minorHAnsi"/>
                <w:sz w:val="20"/>
                <w:szCs w:val="20"/>
              </w:rPr>
            </w:pPr>
          </w:p>
          <w:p w14:paraId="2EF4C836" w14:textId="77777777" w:rsidR="00A3021A" w:rsidRPr="00701439" w:rsidRDefault="00A3021A">
            <w:pPr>
              <w:jc w:val="right"/>
              <w:rPr>
                <w:rFonts w:asciiTheme="minorHAnsi" w:hAnsiTheme="minorHAnsi" w:cstheme="minorHAnsi"/>
                <w:sz w:val="20"/>
                <w:szCs w:val="20"/>
              </w:rPr>
            </w:pPr>
          </w:p>
          <w:p w14:paraId="7FB19B8D"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(1.4)</w:t>
            </w:r>
          </w:p>
        </w:tc>
        <w:tc>
          <w:tcPr>
            <w:tcW w:w="709" w:type="dxa"/>
            <w:tcBorders>
              <w:top w:val="single" w:sz="4" w:space="0" w:color="auto"/>
              <w:left w:val="nil"/>
              <w:bottom w:val="nil"/>
              <w:right w:val="nil"/>
            </w:tcBorders>
            <w:vAlign w:val="bottom"/>
          </w:tcPr>
          <w:p w14:paraId="5BA96B8E"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27.0</w:t>
            </w:r>
          </w:p>
        </w:tc>
        <w:tc>
          <w:tcPr>
            <w:tcW w:w="992" w:type="dxa"/>
            <w:tcBorders>
              <w:top w:val="single" w:sz="4" w:space="0" w:color="auto"/>
              <w:left w:val="nil"/>
              <w:bottom w:val="nil"/>
              <w:right w:val="nil"/>
            </w:tcBorders>
          </w:tcPr>
          <w:p w14:paraId="0D8FFFD4" w14:textId="77777777" w:rsidR="00A3021A" w:rsidRPr="00701439" w:rsidRDefault="00A3021A">
            <w:pPr>
              <w:jc w:val="right"/>
              <w:rPr>
                <w:rFonts w:asciiTheme="minorHAnsi" w:hAnsiTheme="minorHAnsi" w:cstheme="minorHAnsi"/>
                <w:sz w:val="20"/>
                <w:szCs w:val="20"/>
              </w:rPr>
            </w:pPr>
          </w:p>
          <w:p w14:paraId="6856284D" w14:textId="77777777" w:rsidR="00A3021A" w:rsidRPr="00701439" w:rsidRDefault="00A3021A">
            <w:pPr>
              <w:jc w:val="right"/>
              <w:rPr>
                <w:rFonts w:asciiTheme="minorHAnsi" w:hAnsiTheme="minorHAnsi" w:cstheme="minorHAnsi"/>
                <w:sz w:val="20"/>
                <w:szCs w:val="20"/>
              </w:rPr>
            </w:pPr>
          </w:p>
          <w:p w14:paraId="4C550C55" w14:textId="77777777" w:rsidR="00A3021A" w:rsidRPr="00701439" w:rsidRDefault="00A3021A">
            <w:pPr>
              <w:jc w:val="right"/>
              <w:rPr>
                <w:rFonts w:asciiTheme="minorHAnsi" w:hAnsiTheme="minorHAnsi" w:cstheme="minorHAnsi"/>
                <w:sz w:val="20"/>
                <w:szCs w:val="20"/>
              </w:rPr>
            </w:pPr>
          </w:p>
          <w:p w14:paraId="75C6E41B"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(18.1)</w:t>
            </w:r>
          </w:p>
        </w:tc>
        <w:tc>
          <w:tcPr>
            <w:tcW w:w="1276" w:type="dxa"/>
            <w:tcBorders>
              <w:top w:val="single" w:sz="4" w:space="0" w:color="auto"/>
              <w:left w:val="nil"/>
              <w:bottom w:val="nil"/>
              <w:right w:val="nil"/>
            </w:tcBorders>
          </w:tcPr>
          <w:p w14:paraId="6A29C7BB" w14:textId="77777777" w:rsidR="00A3021A" w:rsidRPr="00701439" w:rsidRDefault="00A3021A">
            <w:pPr>
              <w:jc w:val="right"/>
              <w:rPr>
                <w:rFonts w:asciiTheme="minorHAnsi" w:hAnsiTheme="minorHAnsi" w:cstheme="minorHAnsi"/>
                <w:sz w:val="20"/>
                <w:szCs w:val="20"/>
              </w:rPr>
            </w:pPr>
          </w:p>
          <w:p w14:paraId="5FE04EBD" w14:textId="77777777" w:rsidR="00A3021A" w:rsidRPr="00701439" w:rsidRDefault="00A3021A">
            <w:pPr>
              <w:jc w:val="right"/>
              <w:rPr>
                <w:rFonts w:asciiTheme="minorHAnsi" w:hAnsiTheme="minorHAnsi" w:cstheme="minorHAnsi"/>
                <w:sz w:val="20"/>
                <w:szCs w:val="20"/>
              </w:rPr>
            </w:pPr>
          </w:p>
          <w:p w14:paraId="3B398187" w14:textId="77777777" w:rsidR="00A3021A" w:rsidRPr="00701439" w:rsidRDefault="00A3021A">
            <w:pPr>
              <w:jc w:val="right"/>
              <w:rPr>
                <w:rFonts w:asciiTheme="minorHAnsi" w:hAnsiTheme="minorHAnsi" w:cstheme="minorHAnsi"/>
                <w:sz w:val="20"/>
                <w:szCs w:val="20"/>
              </w:rPr>
            </w:pPr>
          </w:p>
          <w:p w14:paraId="282ADBDB"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(8.1)</w:t>
            </w:r>
          </w:p>
        </w:tc>
        <w:tc>
          <w:tcPr>
            <w:tcW w:w="851" w:type="dxa"/>
            <w:tcBorders>
              <w:top w:val="single" w:sz="4" w:space="0" w:color="auto"/>
              <w:left w:val="nil"/>
              <w:bottom w:val="nil"/>
              <w:right w:val="nil"/>
            </w:tcBorders>
          </w:tcPr>
          <w:p w14:paraId="0F4122CC" w14:textId="77777777" w:rsidR="00A3021A" w:rsidRPr="00701439" w:rsidRDefault="00A3021A">
            <w:pPr>
              <w:jc w:val="right"/>
              <w:rPr>
                <w:rFonts w:asciiTheme="minorHAnsi" w:hAnsiTheme="minorHAnsi" w:cstheme="minorHAnsi"/>
                <w:sz w:val="20"/>
                <w:szCs w:val="20"/>
              </w:rPr>
            </w:pPr>
          </w:p>
          <w:p w14:paraId="50E0B577" w14:textId="77777777" w:rsidR="00A3021A" w:rsidRPr="00701439" w:rsidRDefault="00A3021A">
            <w:pPr>
              <w:jc w:val="right"/>
              <w:rPr>
                <w:rFonts w:asciiTheme="minorHAnsi" w:hAnsiTheme="minorHAnsi" w:cstheme="minorHAnsi"/>
                <w:sz w:val="20"/>
                <w:szCs w:val="20"/>
              </w:rPr>
            </w:pPr>
          </w:p>
          <w:p w14:paraId="579E6966" w14:textId="77777777" w:rsidR="00A3021A" w:rsidRPr="00701439" w:rsidRDefault="00A3021A">
            <w:pPr>
              <w:jc w:val="right"/>
              <w:rPr>
                <w:rFonts w:asciiTheme="minorHAnsi" w:hAnsiTheme="minorHAnsi" w:cstheme="minorHAnsi"/>
                <w:sz w:val="20"/>
                <w:szCs w:val="20"/>
              </w:rPr>
            </w:pPr>
          </w:p>
          <w:p w14:paraId="733E5FB8"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(26.2)</w:t>
            </w:r>
          </w:p>
        </w:tc>
      </w:tr>
      <w:tr w:rsidR="00A3021A" w:rsidRPr="00701439" w14:paraId="542DB6B7" w14:textId="77777777">
        <w:trPr>
          <w:trHeight w:val="240"/>
        </w:trPr>
        <w:tc>
          <w:tcPr>
            <w:tcW w:w="2444" w:type="dxa"/>
            <w:tcBorders>
              <w:top w:val="nil"/>
              <w:left w:val="nil"/>
              <w:bottom w:val="nil"/>
              <w:right w:val="nil"/>
            </w:tcBorders>
            <w:vAlign w:val="bottom"/>
          </w:tcPr>
          <w:p w14:paraId="652199E7"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Effects of:</w:t>
            </w:r>
          </w:p>
        </w:tc>
        <w:tc>
          <w:tcPr>
            <w:tcW w:w="992" w:type="dxa"/>
            <w:tcBorders>
              <w:top w:val="nil"/>
              <w:left w:val="nil"/>
              <w:bottom w:val="nil"/>
              <w:right w:val="nil"/>
            </w:tcBorders>
            <w:vAlign w:val="bottom"/>
          </w:tcPr>
          <w:p w14:paraId="551A2B8D" w14:textId="77777777" w:rsidR="00A3021A" w:rsidRPr="00701439" w:rsidRDefault="00A3021A">
            <w:pPr>
              <w:jc w:val="right"/>
              <w:rPr>
                <w:rFonts w:asciiTheme="minorHAnsi" w:hAnsiTheme="minorHAnsi" w:cstheme="minorHAnsi"/>
                <w:sz w:val="20"/>
                <w:szCs w:val="20"/>
              </w:rPr>
            </w:pPr>
          </w:p>
        </w:tc>
        <w:tc>
          <w:tcPr>
            <w:tcW w:w="1276" w:type="dxa"/>
            <w:tcBorders>
              <w:top w:val="nil"/>
              <w:left w:val="nil"/>
              <w:bottom w:val="nil"/>
              <w:right w:val="nil"/>
            </w:tcBorders>
          </w:tcPr>
          <w:p w14:paraId="6805AAFE" w14:textId="77777777" w:rsidR="00A3021A" w:rsidRPr="00701439" w:rsidRDefault="00A3021A">
            <w:pPr>
              <w:jc w:val="right"/>
              <w:rPr>
                <w:rFonts w:asciiTheme="minorHAnsi" w:hAnsiTheme="minorHAnsi" w:cstheme="minorHAnsi"/>
                <w:sz w:val="20"/>
                <w:szCs w:val="20"/>
              </w:rPr>
            </w:pPr>
          </w:p>
        </w:tc>
        <w:tc>
          <w:tcPr>
            <w:tcW w:w="1417" w:type="dxa"/>
            <w:tcBorders>
              <w:top w:val="nil"/>
              <w:left w:val="nil"/>
              <w:bottom w:val="nil"/>
              <w:right w:val="nil"/>
            </w:tcBorders>
          </w:tcPr>
          <w:p w14:paraId="3C7DCC42" w14:textId="77777777" w:rsidR="00A3021A" w:rsidRPr="00701439" w:rsidRDefault="00A3021A">
            <w:pPr>
              <w:jc w:val="right"/>
              <w:rPr>
                <w:rFonts w:asciiTheme="minorHAnsi" w:hAnsiTheme="minorHAnsi" w:cstheme="minorHAnsi"/>
                <w:sz w:val="20"/>
                <w:szCs w:val="20"/>
              </w:rPr>
            </w:pPr>
          </w:p>
        </w:tc>
        <w:tc>
          <w:tcPr>
            <w:tcW w:w="709" w:type="dxa"/>
            <w:tcBorders>
              <w:top w:val="nil"/>
              <w:left w:val="nil"/>
              <w:bottom w:val="nil"/>
              <w:right w:val="nil"/>
            </w:tcBorders>
            <w:vAlign w:val="bottom"/>
          </w:tcPr>
          <w:p w14:paraId="4111CEBA" w14:textId="77777777" w:rsidR="00A3021A" w:rsidRPr="00701439" w:rsidRDefault="00A3021A">
            <w:pPr>
              <w:jc w:val="right"/>
              <w:rPr>
                <w:rFonts w:asciiTheme="minorHAnsi" w:hAnsiTheme="minorHAnsi" w:cstheme="minorHAnsi"/>
                <w:sz w:val="20"/>
                <w:szCs w:val="20"/>
              </w:rPr>
            </w:pPr>
          </w:p>
        </w:tc>
        <w:tc>
          <w:tcPr>
            <w:tcW w:w="992" w:type="dxa"/>
            <w:tcBorders>
              <w:top w:val="nil"/>
              <w:left w:val="nil"/>
              <w:bottom w:val="nil"/>
              <w:right w:val="nil"/>
            </w:tcBorders>
          </w:tcPr>
          <w:p w14:paraId="63348BBC" w14:textId="77777777" w:rsidR="00A3021A" w:rsidRPr="00701439" w:rsidRDefault="00A3021A">
            <w:pPr>
              <w:jc w:val="right"/>
              <w:rPr>
                <w:rFonts w:asciiTheme="minorHAnsi" w:hAnsiTheme="minorHAnsi" w:cstheme="minorHAnsi"/>
                <w:sz w:val="20"/>
                <w:szCs w:val="20"/>
              </w:rPr>
            </w:pPr>
          </w:p>
        </w:tc>
        <w:tc>
          <w:tcPr>
            <w:tcW w:w="1276" w:type="dxa"/>
            <w:tcBorders>
              <w:top w:val="nil"/>
              <w:left w:val="nil"/>
              <w:bottom w:val="nil"/>
              <w:right w:val="nil"/>
            </w:tcBorders>
          </w:tcPr>
          <w:p w14:paraId="71E1A727" w14:textId="77777777" w:rsidR="00A3021A" w:rsidRPr="00701439" w:rsidRDefault="00A3021A">
            <w:pPr>
              <w:jc w:val="right"/>
              <w:rPr>
                <w:rFonts w:asciiTheme="minorHAnsi" w:hAnsiTheme="minorHAnsi" w:cstheme="minorHAnsi"/>
                <w:sz w:val="20"/>
                <w:szCs w:val="20"/>
              </w:rPr>
            </w:pPr>
          </w:p>
        </w:tc>
        <w:tc>
          <w:tcPr>
            <w:tcW w:w="851" w:type="dxa"/>
            <w:tcBorders>
              <w:top w:val="nil"/>
              <w:left w:val="nil"/>
              <w:bottom w:val="nil"/>
              <w:right w:val="nil"/>
            </w:tcBorders>
          </w:tcPr>
          <w:p w14:paraId="78D666AB" w14:textId="77777777" w:rsidR="00A3021A" w:rsidRPr="00701439" w:rsidRDefault="00A3021A">
            <w:pPr>
              <w:jc w:val="right"/>
              <w:rPr>
                <w:rFonts w:asciiTheme="minorHAnsi" w:hAnsiTheme="minorHAnsi" w:cstheme="minorHAnsi"/>
                <w:sz w:val="20"/>
                <w:szCs w:val="20"/>
              </w:rPr>
            </w:pPr>
          </w:p>
        </w:tc>
      </w:tr>
      <w:tr w:rsidR="00A3021A" w:rsidRPr="00701439" w14:paraId="2CB752E8" w14:textId="77777777">
        <w:trPr>
          <w:trHeight w:val="457"/>
        </w:trPr>
        <w:tc>
          <w:tcPr>
            <w:tcW w:w="2444" w:type="dxa"/>
            <w:tcBorders>
              <w:top w:val="nil"/>
              <w:left w:val="nil"/>
              <w:bottom w:val="nil"/>
              <w:right w:val="nil"/>
            </w:tcBorders>
            <w:vAlign w:val="bottom"/>
          </w:tcPr>
          <w:p w14:paraId="78C76969"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 impact of change in UK tax rate (note (a))</w:t>
            </w:r>
          </w:p>
        </w:tc>
        <w:tc>
          <w:tcPr>
            <w:tcW w:w="992" w:type="dxa"/>
            <w:tcBorders>
              <w:top w:val="nil"/>
              <w:left w:val="nil"/>
              <w:bottom w:val="nil"/>
              <w:right w:val="nil"/>
            </w:tcBorders>
            <w:vAlign w:val="bottom"/>
          </w:tcPr>
          <w:p w14:paraId="1523E6AB"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(5.8)</w:t>
            </w:r>
          </w:p>
        </w:tc>
        <w:tc>
          <w:tcPr>
            <w:tcW w:w="1276" w:type="dxa"/>
            <w:tcBorders>
              <w:top w:val="nil"/>
              <w:left w:val="nil"/>
              <w:bottom w:val="nil"/>
              <w:right w:val="nil"/>
            </w:tcBorders>
          </w:tcPr>
          <w:p w14:paraId="1D54FBF9" w14:textId="77777777" w:rsidR="00A3021A" w:rsidRPr="00701439" w:rsidRDefault="00A3021A">
            <w:pPr>
              <w:jc w:val="right"/>
              <w:rPr>
                <w:rFonts w:asciiTheme="minorHAnsi" w:hAnsiTheme="minorHAnsi" w:cstheme="minorHAnsi"/>
                <w:sz w:val="20"/>
                <w:szCs w:val="20"/>
              </w:rPr>
            </w:pPr>
          </w:p>
          <w:p w14:paraId="60534EBB"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0.2</w:t>
            </w:r>
          </w:p>
        </w:tc>
        <w:tc>
          <w:tcPr>
            <w:tcW w:w="1417" w:type="dxa"/>
            <w:tcBorders>
              <w:top w:val="nil"/>
              <w:left w:val="nil"/>
              <w:bottom w:val="nil"/>
              <w:right w:val="nil"/>
            </w:tcBorders>
          </w:tcPr>
          <w:p w14:paraId="77003C83" w14:textId="77777777" w:rsidR="00A3021A" w:rsidRPr="00701439" w:rsidRDefault="00A3021A">
            <w:pPr>
              <w:jc w:val="right"/>
              <w:rPr>
                <w:rFonts w:asciiTheme="minorHAnsi" w:hAnsiTheme="minorHAnsi" w:cstheme="minorHAnsi"/>
                <w:sz w:val="20"/>
                <w:szCs w:val="20"/>
              </w:rPr>
            </w:pPr>
          </w:p>
          <w:p w14:paraId="5F1E72F6"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0.6</w:t>
            </w:r>
          </w:p>
        </w:tc>
        <w:tc>
          <w:tcPr>
            <w:tcW w:w="709" w:type="dxa"/>
            <w:tcBorders>
              <w:top w:val="nil"/>
              <w:left w:val="nil"/>
              <w:bottom w:val="nil"/>
              <w:right w:val="nil"/>
            </w:tcBorders>
            <w:vAlign w:val="bottom"/>
          </w:tcPr>
          <w:p w14:paraId="2E2D2D7F"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(5.0)</w:t>
            </w:r>
          </w:p>
        </w:tc>
        <w:tc>
          <w:tcPr>
            <w:tcW w:w="992" w:type="dxa"/>
            <w:tcBorders>
              <w:top w:val="nil"/>
              <w:left w:val="nil"/>
              <w:bottom w:val="nil"/>
              <w:right w:val="nil"/>
            </w:tcBorders>
          </w:tcPr>
          <w:p w14:paraId="16372AB8" w14:textId="77777777" w:rsidR="00A3021A" w:rsidRPr="00701439" w:rsidRDefault="00A3021A">
            <w:pPr>
              <w:jc w:val="right"/>
              <w:rPr>
                <w:rFonts w:asciiTheme="minorHAnsi" w:hAnsiTheme="minorHAnsi" w:cstheme="minorHAnsi"/>
                <w:sz w:val="20"/>
                <w:szCs w:val="20"/>
              </w:rPr>
            </w:pPr>
          </w:p>
          <w:p w14:paraId="5D6E968E"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w:t>
            </w:r>
          </w:p>
        </w:tc>
        <w:tc>
          <w:tcPr>
            <w:tcW w:w="1276" w:type="dxa"/>
            <w:tcBorders>
              <w:top w:val="nil"/>
              <w:left w:val="nil"/>
              <w:bottom w:val="nil"/>
              <w:right w:val="nil"/>
            </w:tcBorders>
          </w:tcPr>
          <w:p w14:paraId="7692AAE3" w14:textId="77777777" w:rsidR="00A3021A" w:rsidRPr="00701439" w:rsidRDefault="00A3021A">
            <w:pPr>
              <w:jc w:val="right"/>
              <w:rPr>
                <w:rFonts w:asciiTheme="minorHAnsi" w:hAnsiTheme="minorHAnsi" w:cstheme="minorHAnsi"/>
                <w:sz w:val="20"/>
                <w:szCs w:val="20"/>
              </w:rPr>
            </w:pPr>
          </w:p>
          <w:p w14:paraId="73B2B67B"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w:t>
            </w:r>
          </w:p>
        </w:tc>
        <w:tc>
          <w:tcPr>
            <w:tcW w:w="851" w:type="dxa"/>
            <w:tcBorders>
              <w:top w:val="nil"/>
              <w:left w:val="nil"/>
              <w:bottom w:val="nil"/>
              <w:right w:val="nil"/>
            </w:tcBorders>
          </w:tcPr>
          <w:p w14:paraId="2A0F7BCE" w14:textId="77777777" w:rsidR="00A3021A" w:rsidRPr="00701439" w:rsidRDefault="00A3021A">
            <w:pPr>
              <w:jc w:val="right"/>
              <w:rPr>
                <w:rFonts w:asciiTheme="minorHAnsi" w:hAnsiTheme="minorHAnsi" w:cstheme="minorHAnsi"/>
                <w:sz w:val="20"/>
                <w:szCs w:val="20"/>
              </w:rPr>
            </w:pPr>
          </w:p>
          <w:p w14:paraId="2F0D4FB3"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w:t>
            </w:r>
          </w:p>
        </w:tc>
      </w:tr>
      <w:tr w:rsidR="00A3021A" w:rsidRPr="00701439" w14:paraId="34FB4BD6" w14:textId="77777777">
        <w:trPr>
          <w:trHeight w:val="468"/>
        </w:trPr>
        <w:tc>
          <w:tcPr>
            <w:tcW w:w="2444" w:type="dxa"/>
            <w:tcBorders>
              <w:top w:val="nil"/>
              <w:left w:val="nil"/>
              <w:bottom w:val="nil"/>
              <w:right w:val="nil"/>
            </w:tcBorders>
            <w:vAlign w:val="bottom"/>
          </w:tcPr>
          <w:p w14:paraId="0FF44FB2"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 impact of bank corporation tax surcharge (note (b))</w:t>
            </w:r>
          </w:p>
        </w:tc>
        <w:tc>
          <w:tcPr>
            <w:tcW w:w="992" w:type="dxa"/>
            <w:tcBorders>
              <w:top w:val="nil"/>
              <w:left w:val="nil"/>
              <w:bottom w:val="nil"/>
              <w:right w:val="nil"/>
            </w:tcBorders>
            <w:vAlign w:val="bottom"/>
          </w:tcPr>
          <w:p w14:paraId="2AA22918"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12.3</w:t>
            </w:r>
          </w:p>
        </w:tc>
        <w:tc>
          <w:tcPr>
            <w:tcW w:w="1276" w:type="dxa"/>
            <w:tcBorders>
              <w:top w:val="nil"/>
              <w:left w:val="nil"/>
              <w:bottom w:val="nil"/>
              <w:right w:val="nil"/>
            </w:tcBorders>
          </w:tcPr>
          <w:p w14:paraId="2A0F57DC" w14:textId="77777777" w:rsidR="00A3021A" w:rsidRPr="00701439" w:rsidRDefault="00A3021A">
            <w:pPr>
              <w:jc w:val="right"/>
              <w:rPr>
                <w:rFonts w:asciiTheme="minorHAnsi" w:hAnsiTheme="minorHAnsi" w:cstheme="minorHAnsi"/>
                <w:sz w:val="20"/>
                <w:szCs w:val="20"/>
              </w:rPr>
            </w:pPr>
          </w:p>
          <w:p w14:paraId="29AA5A1B" w14:textId="77777777" w:rsidR="00A3021A" w:rsidRPr="00701439" w:rsidRDefault="00A3021A">
            <w:pPr>
              <w:jc w:val="right"/>
              <w:rPr>
                <w:rFonts w:asciiTheme="minorHAnsi" w:hAnsiTheme="minorHAnsi" w:cstheme="minorHAnsi"/>
                <w:sz w:val="20"/>
                <w:szCs w:val="20"/>
              </w:rPr>
            </w:pPr>
          </w:p>
          <w:p w14:paraId="074F86B8"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(0.1)</w:t>
            </w:r>
          </w:p>
        </w:tc>
        <w:tc>
          <w:tcPr>
            <w:tcW w:w="1417" w:type="dxa"/>
            <w:tcBorders>
              <w:top w:val="nil"/>
              <w:left w:val="nil"/>
              <w:bottom w:val="nil"/>
              <w:right w:val="nil"/>
            </w:tcBorders>
          </w:tcPr>
          <w:p w14:paraId="10EFEA35" w14:textId="77777777" w:rsidR="00A3021A" w:rsidRPr="00701439" w:rsidRDefault="00A3021A">
            <w:pPr>
              <w:jc w:val="right"/>
              <w:rPr>
                <w:rFonts w:asciiTheme="minorHAnsi" w:hAnsiTheme="minorHAnsi" w:cstheme="minorHAnsi"/>
                <w:sz w:val="20"/>
                <w:szCs w:val="20"/>
              </w:rPr>
            </w:pPr>
          </w:p>
          <w:p w14:paraId="5EF8B0EB" w14:textId="77777777" w:rsidR="00A3021A" w:rsidRPr="00701439" w:rsidRDefault="00A3021A">
            <w:pPr>
              <w:jc w:val="right"/>
              <w:rPr>
                <w:rFonts w:asciiTheme="minorHAnsi" w:hAnsiTheme="minorHAnsi" w:cstheme="minorHAnsi"/>
                <w:sz w:val="20"/>
                <w:szCs w:val="20"/>
              </w:rPr>
            </w:pPr>
          </w:p>
          <w:p w14:paraId="05A81405"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w:t>
            </w:r>
          </w:p>
        </w:tc>
        <w:tc>
          <w:tcPr>
            <w:tcW w:w="709" w:type="dxa"/>
            <w:tcBorders>
              <w:top w:val="nil"/>
              <w:left w:val="nil"/>
              <w:bottom w:val="nil"/>
              <w:right w:val="nil"/>
            </w:tcBorders>
            <w:vAlign w:val="bottom"/>
          </w:tcPr>
          <w:p w14:paraId="1C14C5D5"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12.2</w:t>
            </w:r>
          </w:p>
        </w:tc>
        <w:tc>
          <w:tcPr>
            <w:tcW w:w="992" w:type="dxa"/>
            <w:tcBorders>
              <w:top w:val="nil"/>
              <w:left w:val="nil"/>
              <w:bottom w:val="nil"/>
              <w:right w:val="nil"/>
            </w:tcBorders>
          </w:tcPr>
          <w:p w14:paraId="63F630D4" w14:textId="77777777" w:rsidR="00A3021A" w:rsidRPr="00701439" w:rsidRDefault="00A3021A">
            <w:pPr>
              <w:jc w:val="right"/>
              <w:rPr>
                <w:rFonts w:asciiTheme="minorHAnsi" w:hAnsiTheme="minorHAnsi" w:cstheme="minorHAnsi"/>
                <w:sz w:val="20"/>
                <w:szCs w:val="20"/>
              </w:rPr>
            </w:pPr>
          </w:p>
          <w:p w14:paraId="76BC148C" w14:textId="77777777" w:rsidR="00A3021A" w:rsidRPr="00701439" w:rsidRDefault="00A3021A">
            <w:pPr>
              <w:jc w:val="right"/>
              <w:rPr>
                <w:rFonts w:asciiTheme="minorHAnsi" w:hAnsiTheme="minorHAnsi" w:cstheme="minorHAnsi"/>
                <w:sz w:val="20"/>
                <w:szCs w:val="20"/>
              </w:rPr>
            </w:pPr>
          </w:p>
          <w:p w14:paraId="286D2F67"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w:t>
            </w:r>
          </w:p>
        </w:tc>
        <w:tc>
          <w:tcPr>
            <w:tcW w:w="1276" w:type="dxa"/>
            <w:tcBorders>
              <w:top w:val="nil"/>
              <w:left w:val="nil"/>
              <w:bottom w:val="nil"/>
              <w:right w:val="nil"/>
            </w:tcBorders>
          </w:tcPr>
          <w:p w14:paraId="7FC055A9" w14:textId="77777777" w:rsidR="00A3021A" w:rsidRPr="00701439" w:rsidRDefault="00A3021A">
            <w:pPr>
              <w:jc w:val="right"/>
              <w:rPr>
                <w:rFonts w:asciiTheme="minorHAnsi" w:hAnsiTheme="minorHAnsi" w:cstheme="minorHAnsi"/>
                <w:sz w:val="20"/>
                <w:szCs w:val="20"/>
              </w:rPr>
            </w:pPr>
          </w:p>
          <w:p w14:paraId="10A32D08" w14:textId="77777777" w:rsidR="00A3021A" w:rsidRPr="00701439" w:rsidRDefault="00A3021A">
            <w:pPr>
              <w:jc w:val="right"/>
              <w:rPr>
                <w:rFonts w:asciiTheme="minorHAnsi" w:hAnsiTheme="minorHAnsi" w:cstheme="minorHAnsi"/>
                <w:sz w:val="20"/>
                <w:szCs w:val="20"/>
              </w:rPr>
            </w:pPr>
          </w:p>
          <w:p w14:paraId="5F035077"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w:t>
            </w:r>
          </w:p>
        </w:tc>
        <w:tc>
          <w:tcPr>
            <w:tcW w:w="851" w:type="dxa"/>
            <w:tcBorders>
              <w:top w:val="nil"/>
              <w:left w:val="nil"/>
              <w:bottom w:val="nil"/>
              <w:right w:val="nil"/>
            </w:tcBorders>
          </w:tcPr>
          <w:p w14:paraId="1D32C6CA" w14:textId="77777777" w:rsidR="00A3021A" w:rsidRPr="00701439" w:rsidRDefault="00A3021A">
            <w:pPr>
              <w:jc w:val="right"/>
              <w:rPr>
                <w:rFonts w:asciiTheme="minorHAnsi" w:hAnsiTheme="minorHAnsi" w:cstheme="minorHAnsi"/>
                <w:sz w:val="20"/>
                <w:szCs w:val="20"/>
              </w:rPr>
            </w:pPr>
          </w:p>
          <w:p w14:paraId="4000F9E4" w14:textId="77777777" w:rsidR="00A3021A" w:rsidRPr="00701439" w:rsidRDefault="00A3021A">
            <w:pPr>
              <w:jc w:val="right"/>
              <w:rPr>
                <w:rFonts w:asciiTheme="minorHAnsi" w:hAnsiTheme="minorHAnsi" w:cstheme="minorHAnsi"/>
                <w:sz w:val="20"/>
                <w:szCs w:val="20"/>
              </w:rPr>
            </w:pPr>
          </w:p>
          <w:p w14:paraId="007F76C0"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w:t>
            </w:r>
          </w:p>
        </w:tc>
      </w:tr>
      <w:tr w:rsidR="00A3021A" w:rsidRPr="00701439" w14:paraId="76C4BB6D" w14:textId="77777777">
        <w:trPr>
          <w:trHeight w:val="468"/>
        </w:trPr>
        <w:tc>
          <w:tcPr>
            <w:tcW w:w="2444" w:type="dxa"/>
            <w:tcBorders>
              <w:top w:val="nil"/>
              <w:left w:val="nil"/>
              <w:right w:val="nil"/>
            </w:tcBorders>
            <w:vAlign w:val="bottom"/>
          </w:tcPr>
          <w:p w14:paraId="27993167"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 impact of lower tax rates and losses overseas (note (c))</w:t>
            </w:r>
          </w:p>
        </w:tc>
        <w:tc>
          <w:tcPr>
            <w:tcW w:w="992" w:type="dxa"/>
            <w:tcBorders>
              <w:top w:val="nil"/>
              <w:left w:val="nil"/>
              <w:right w:val="nil"/>
            </w:tcBorders>
            <w:vAlign w:val="bottom"/>
          </w:tcPr>
          <w:p w14:paraId="3B090789"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w:t>
            </w:r>
          </w:p>
        </w:tc>
        <w:tc>
          <w:tcPr>
            <w:tcW w:w="1276" w:type="dxa"/>
            <w:tcBorders>
              <w:top w:val="nil"/>
              <w:left w:val="nil"/>
              <w:right w:val="nil"/>
            </w:tcBorders>
          </w:tcPr>
          <w:p w14:paraId="6472DD0F" w14:textId="77777777" w:rsidR="00A3021A" w:rsidRPr="00701439" w:rsidRDefault="00A3021A">
            <w:pPr>
              <w:jc w:val="right"/>
              <w:rPr>
                <w:rFonts w:asciiTheme="minorHAnsi" w:hAnsiTheme="minorHAnsi" w:cstheme="minorHAnsi"/>
                <w:sz w:val="20"/>
                <w:szCs w:val="20"/>
              </w:rPr>
            </w:pPr>
          </w:p>
          <w:p w14:paraId="57FC3B68" w14:textId="77777777" w:rsidR="009B4C3C" w:rsidRPr="00701439" w:rsidRDefault="009B4C3C">
            <w:pPr>
              <w:jc w:val="right"/>
              <w:rPr>
                <w:rFonts w:asciiTheme="minorHAnsi" w:hAnsiTheme="minorHAnsi" w:cstheme="minorHAnsi"/>
                <w:sz w:val="20"/>
                <w:szCs w:val="20"/>
              </w:rPr>
            </w:pPr>
          </w:p>
          <w:p w14:paraId="25977925" w14:textId="00304CBA"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w:t>
            </w:r>
          </w:p>
        </w:tc>
        <w:tc>
          <w:tcPr>
            <w:tcW w:w="1417" w:type="dxa"/>
            <w:tcBorders>
              <w:top w:val="nil"/>
              <w:left w:val="nil"/>
              <w:right w:val="nil"/>
            </w:tcBorders>
          </w:tcPr>
          <w:p w14:paraId="3F0F3B1C" w14:textId="77777777" w:rsidR="00A3021A" w:rsidRPr="00701439" w:rsidRDefault="00A3021A">
            <w:pPr>
              <w:jc w:val="right"/>
              <w:rPr>
                <w:rFonts w:asciiTheme="minorHAnsi" w:hAnsiTheme="minorHAnsi" w:cstheme="minorHAnsi"/>
                <w:sz w:val="20"/>
                <w:szCs w:val="20"/>
              </w:rPr>
            </w:pPr>
          </w:p>
          <w:p w14:paraId="30064B5A" w14:textId="77777777" w:rsidR="009B4C3C" w:rsidRPr="00701439" w:rsidRDefault="009B4C3C">
            <w:pPr>
              <w:jc w:val="right"/>
              <w:rPr>
                <w:rFonts w:asciiTheme="minorHAnsi" w:hAnsiTheme="minorHAnsi" w:cstheme="minorHAnsi"/>
                <w:sz w:val="20"/>
                <w:szCs w:val="20"/>
              </w:rPr>
            </w:pPr>
          </w:p>
          <w:p w14:paraId="465B83A1" w14:textId="4A4ABB75"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w:t>
            </w:r>
          </w:p>
        </w:tc>
        <w:tc>
          <w:tcPr>
            <w:tcW w:w="709" w:type="dxa"/>
            <w:tcBorders>
              <w:top w:val="nil"/>
              <w:left w:val="nil"/>
              <w:right w:val="nil"/>
            </w:tcBorders>
            <w:vAlign w:val="bottom"/>
          </w:tcPr>
          <w:p w14:paraId="3FD584E4"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w:t>
            </w:r>
          </w:p>
        </w:tc>
        <w:tc>
          <w:tcPr>
            <w:tcW w:w="992" w:type="dxa"/>
            <w:tcBorders>
              <w:top w:val="nil"/>
              <w:left w:val="nil"/>
              <w:right w:val="nil"/>
            </w:tcBorders>
          </w:tcPr>
          <w:p w14:paraId="7D57EAA7" w14:textId="77777777" w:rsidR="00A3021A" w:rsidRPr="00701439" w:rsidRDefault="00A3021A">
            <w:pPr>
              <w:jc w:val="right"/>
              <w:rPr>
                <w:rFonts w:asciiTheme="minorHAnsi" w:hAnsiTheme="minorHAnsi" w:cstheme="minorHAnsi"/>
                <w:sz w:val="20"/>
                <w:szCs w:val="20"/>
              </w:rPr>
            </w:pPr>
          </w:p>
          <w:p w14:paraId="17914E1F" w14:textId="77777777" w:rsidR="009B4C3C" w:rsidRPr="00701439" w:rsidRDefault="009B4C3C">
            <w:pPr>
              <w:jc w:val="right"/>
              <w:rPr>
                <w:rFonts w:asciiTheme="minorHAnsi" w:hAnsiTheme="minorHAnsi" w:cstheme="minorHAnsi"/>
                <w:sz w:val="20"/>
                <w:szCs w:val="20"/>
              </w:rPr>
            </w:pPr>
          </w:p>
          <w:p w14:paraId="30D201FA" w14:textId="188DEB8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2.7</w:t>
            </w:r>
          </w:p>
        </w:tc>
        <w:tc>
          <w:tcPr>
            <w:tcW w:w="1276" w:type="dxa"/>
            <w:tcBorders>
              <w:top w:val="nil"/>
              <w:left w:val="nil"/>
              <w:right w:val="nil"/>
            </w:tcBorders>
          </w:tcPr>
          <w:p w14:paraId="03A2B0A9" w14:textId="77777777" w:rsidR="00A3021A" w:rsidRPr="00701439" w:rsidRDefault="00A3021A">
            <w:pPr>
              <w:jc w:val="right"/>
              <w:rPr>
                <w:rFonts w:asciiTheme="minorHAnsi" w:hAnsiTheme="minorHAnsi" w:cstheme="minorHAnsi"/>
                <w:sz w:val="20"/>
                <w:szCs w:val="20"/>
              </w:rPr>
            </w:pPr>
          </w:p>
          <w:p w14:paraId="445D45D6" w14:textId="77777777" w:rsidR="009B4C3C" w:rsidRPr="00701439" w:rsidRDefault="009B4C3C">
            <w:pPr>
              <w:jc w:val="right"/>
              <w:rPr>
                <w:rFonts w:asciiTheme="minorHAnsi" w:hAnsiTheme="minorHAnsi" w:cstheme="minorHAnsi"/>
                <w:sz w:val="20"/>
                <w:szCs w:val="20"/>
              </w:rPr>
            </w:pPr>
          </w:p>
          <w:p w14:paraId="135FF8E5" w14:textId="75D34079"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0.8</w:t>
            </w:r>
          </w:p>
        </w:tc>
        <w:tc>
          <w:tcPr>
            <w:tcW w:w="851" w:type="dxa"/>
            <w:tcBorders>
              <w:top w:val="nil"/>
              <w:left w:val="nil"/>
              <w:right w:val="nil"/>
            </w:tcBorders>
          </w:tcPr>
          <w:p w14:paraId="63DC3731" w14:textId="77777777" w:rsidR="00A3021A" w:rsidRPr="00701439" w:rsidRDefault="00A3021A">
            <w:pPr>
              <w:jc w:val="right"/>
              <w:rPr>
                <w:rFonts w:asciiTheme="minorHAnsi" w:hAnsiTheme="minorHAnsi" w:cstheme="minorHAnsi"/>
                <w:sz w:val="20"/>
                <w:szCs w:val="20"/>
              </w:rPr>
            </w:pPr>
          </w:p>
          <w:p w14:paraId="3A5079CA" w14:textId="77777777" w:rsidR="009B4C3C" w:rsidRPr="00701439" w:rsidRDefault="009B4C3C">
            <w:pPr>
              <w:jc w:val="right"/>
              <w:rPr>
                <w:rFonts w:asciiTheme="minorHAnsi" w:hAnsiTheme="minorHAnsi" w:cstheme="minorHAnsi"/>
                <w:sz w:val="20"/>
                <w:szCs w:val="20"/>
              </w:rPr>
            </w:pPr>
          </w:p>
          <w:p w14:paraId="123E3004" w14:textId="767D2710"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3.5</w:t>
            </w:r>
          </w:p>
        </w:tc>
      </w:tr>
      <w:tr w:rsidR="00A3021A" w:rsidRPr="00701439" w14:paraId="3B548888" w14:textId="77777777">
        <w:trPr>
          <w:trHeight w:val="468"/>
        </w:trPr>
        <w:tc>
          <w:tcPr>
            <w:tcW w:w="2444" w:type="dxa"/>
            <w:tcBorders>
              <w:top w:val="nil"/>
              <w:left w:val="nil"/>
              <w:right w:val="nil"/>
            </w:tcBorders>
            <w:vAlign w:val="bottom"/>
          </w:tcPr>
          <w:p w14:paraId="74574AB7"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 xml:space="preserve">– write </w:t>
            </w:r>
            <w:proofErr w:type="gramStart"/>
            <w:r w:rsidRPr="00701439">
              <w:rPr>
                <w:rFonts w:asciiTheme="minorHAnsi" w:hAnsiTheme="minorHAnsi" w:cs="Arial"/>
                <w:sz w:val="20"/>
                <w:szCs w:val="20"/>
              </w:rPr>
              <w:t>off of</w:t>
            </w:r>
            <w:proofErr w:type="gramEnd"/>
            <w:r w:rsidRPr="00701439">
              <w:rPr>
                <w:rFonts w:asciiTheme="minorHAnsi" w:hAnsiTheme="minorHAnsi" w:cs="Arial"/>
                <w:sz w:val="20"/>
                <w:szCs w:val="20"/>
              </w:rPr>
              <w:t xml:space="preserve"> deferred tax assets (note (d))</w:t>
            </w:r>
          </w:p>
        </w:tc>
        <w:tc>
          <w:tcPr>
            <w:tcW w:w="992" w:type="dxa"/>
            <w:tcBorders>
              <w:top w:val="nil"/>
              <w:left w:val="nil"/>
              <w:right w:val="nil"/>
            </w:tcBorders>
            <w:vAlign w:val="bottom"/>
          </w:tcPr>
          <w:p w14:paraId="53DA5414"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(0.3)</w:t>
            </w:r>
          </w:p>
        </w:tc>
        <w:tc>
          <w:tcPr>
            <w:tcW w:w="1276" w:type="dxa"/>
            <w:tcBorders>
              <w:top w:val="nil"/>
              <w:left w:val="nil"/>
              <w:right w:val="nil"/>
            </w:tcBorders>
          </w:tcPr>
          <w:p w14:paraId="79D85802" w14:textId="77777777" w:rsidR="00A3021A" w:rsidRPr="00701439" w:rsidRDefault="00A3021A">
            <w:pPr>
              <w:rPr>
                <w:rFonts w:asciiTheme="minorHAnsi" w:hAnsiTheme="minorHAnsi" w:cstheme="minorHAnsi"/>
                <w:sz w:val="20"/>
                <w:szCs w:val="20"/>
              </w:rPr>
            </w:pPr>
          </w:p>
          <w:p w14:paraId="7BB52F45"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w:t>
            </w:r>
          </w:p>
        </w:tc>
        <w:tc>
          <w:tcPr>
            <w:tcW w:w="1417" w:type="dxa"/>
            <w:tcBorders>
              <w:top w:val="nil"/>
              <w:left w:val="nil"/>
              <w:right w:val="nil"/>
            </w:tcBorders>
          </w:tcPr>
          <w:p w14:paraId="70E375A8" w14:textId="77777777" w:rsidR="00A3021A" w:rsidRPr="00701439" w:rsidRDefault="00A3021A">
            <w:pPr>
              <w:jc w:val="right"/>
              <w:rPr>
                <w:rFonts w:asciiTheme="minorHAnsi" w:hAnsiTheme="minorHAnsi" w:cstheme="minorHAnsi"/>
                <w:sz w:val="20"/>
                <w:szCs w:val="20"/>
              </w:rPr>
            </w:pPr>
          </w:p>
          <w:p w14:paraId="61259727"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w:t>
            </w:r>
          </w:p>
        </w:tc>
        <w:tc>
          <w:tcPr>
            <w:tcW w:w="709" w:type="dxa"/>
            <w:tcBorders>
              <w:top w:val="nil"/>
              <w:left w:val="nil"/>
              <w:right w:val="nil"/>
            </w:tcBorders>
            <w:vAlign w:val="bottom"/>
          </w:tcPr>
          <w:p w14:paraId="7A24AD5F"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(0.3)</w:t>
            </w:r>
          </w:p>
        </w:tc>
        <w:tc>
          <w:tcPr>
            <w:tcW w:w="992" w:type="dxa"/>
            <w:tcBorders>
              <w:top w:val="nil"/>
              <w:left w:val="nil"/>
              <w:right w:val="nil"/>
            </w:tcBorders>
          </w:tcPr>
          <w:p w14:paraId="6C1C1F87" w14:textId="77777777" w:rsidR="00A3021A" w:rsidRPr="00701439" w:rsidRDefault="00A3021A">
            <w:pPr>
              <w:jc w:val="right"/>
              <w:rPr>
                <w:rFonts w:asciiTheme="minorHAnsi" w:hAnsiTheme="minorHAnsi" w:cstheme="minorHAnsi"/>
                <w:sz w:val="20"/>
                <w:szCs w:val="20"/>
              </w:rPr>
            </w:pPr>
          </w:p>
          <w:p w14:paraId="0DF26E5D"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23.4</w:t>
            </w:r>
          </w:p>
        </w:tc>
        <w:tc>
          <w:tcPr>
            <w:tcW w:w="1276" w:type="dxa"/>
            <w:tcBorders>
              <w:top w:val="nil"/>
              <w:left w:val="nil"/>
              <w:right w:val="nil"/>
            </w:tcBorders>
          </w:tcPr>
          <w:p w14:paraId="2880A40D" w14:textId="77777777" w:rsidR="00A3021A" w:rsidRPr="00701439" w:rsidRDefault="00A3021A">
            <w:pPr>
              <w:jc w:val="right"/>
              <w:rPr>
                <w:rFonts w:asciiTheme="minorHAnsi" w:hAnsiTheme="minorHAnsi" w:cstheme="minorHAnsi"/>
                <w:sz w:val="20"/>
                <w:szCs w:val="20"/>
              </w:rPr>
            </w:pPr>
          </w:p>
          <w:p w14:paraId="6A225E63"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w:t>
            </w:r>
          </w:p>
        </w:tc>
        <w:tc>
          <w:tcPr>
            <w:tcW w:w="851" w:type="dxa"/>
            <w:tcBorders>
              <w:top w:val="nil"/>
              <w:left w:val="nil"/>
              <w:right w:val="nil"/>
            </w:tcBorders>
          </w:tcPr>
          <w:p w14:paraId="438BE9BC" w14:textId="77777777" w:rsidR="00A3021A" w:rsidRPr="00701439" w:rsidRDefault="00A3021A">
            <w:pPr>
              <w:jc w:val="right"/>
              <w:rPr>
                <w:rFonts w:asciiTheme="minorHAnsi" w:hAnsiTheme="minorHAnsi" w:cstheme="minorHAnsi"/>
                <w:sz w:val="20"/>
                <w:szCs w:val="20"/>
              </w:rPr>
            </w:pPr>
          </w:p>
          <w:p w14:paraId="6992AF1B"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23.4</w:t>
            </w:r>
          </w:p>
        </w:tc>
      </w:tr>
      <w:tr w:rsidR="00A3021A" w:rsidRPr="00701439" w14:paraId="5B01FA04" w14:textId="77777777">
        <w:trPr>
          <w:trHeight w:val="457"/>
        </w:trPr>
        <w:tc>
          <w:tcPr>
            <w:tcW w:w="2444" w:type="dxa"/>
            <w:tcBorders>
              <w:top w:val="nil"/>
              <w:left w:val="nil"/>
              <w:bottom w:val="nil"/>
              <w:right w:val="nil"/>
            </w:tcBorders>
            <w:vAlign w:val="bottom"/>
          </w:tcPr>
          <w:p w14:paraId="3506AE8F"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 adjustments in respect of prior years (note (e))</w:t>
            </w:r>
          </w:p>
        </w:tc>
        <w:tc>
          <w:tcPr>
            <w:tcW w:w="992" w:type="dxa"/>
            <w:tcBorders>
              <w:top w:val="nil"/>
              <w:left w:val="nil"/>
              <w:bottom w:val="nil"/>
              <w:right w:val="nil"/>
            </w:tcBorders>
            <w:vAlign w:val="bottom"/>
          </w:tcPr>
          <w:p w14:paraId="5C638607"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0.5</w:t>
            </w:r>
          </w:p>
        </w:tc>
        <w:tc>
          <w:tcPr>
            <w:tcW w:w="1276" w:type="dxa"/>
            <w:tcBorders>
              <w:top w:val="nil"/>
              <w:left w:val="nil"/>
              <w:bottom w:val="nil"/>
              <w:right w:val="nil"/>
            </w:tcBorders>
          </w:tcPr>
          <w:p w14:paraId="7119B1D3" w14:textId="77777777" w:rsidR="00A3021A" w:rsidRPr="00701439" w:rsidRDefault="00A3021A">
            <w:pPr>
              <w:jc w:val="right"/>
              <w:rPr>
                <w:rFonts w:asciiTheme="minorHAnsi" w:hAnsiTheme="minorHAnsi" w:cstheme="minorHAnsi"/>
                <w:sz w:val="20"/>
                <w:szCs w:val="20"/>
              </w:rPr>
            </w:pPr>
          </w:p>
          <w:p w14:paraId="01C7F274"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w:t>
            </w:r>
          </w:p>
        </w:tc>
        <w:tc>
          <w:tcPr>
            <w:tcW w:w="1417" w:type="dxa"/>
            <w:tcBorders>
              <w:top w:val="nil"/>
              <w:left w:val="nil"/>
              <w:bottom w:val="nil"/>
              <w:right w:val="nil"/>
            </w:tcBorders>
          </w:tcPr>
          <w:p w14:paraId="6EACF6EC" w14:textId="77777777" w:rsidR="00A3021A" w:rsidRPr="00701439" w:rsidRDefault="00A3021A">
            <w:pPr>
              <w:jc w:val="right"/>
              <w:rPr>
                <w:rFonts w:asciiTheme="minorHAnsi" w:hAnsiTheme="minorHAnsi" w:cstheme="minorHAnsi"/>
                <w:sz w:val="20"/>
                <w:szCs w:val="20"/>
              </w:rPr>
            </w:pPr>
          </w:p>
          <w:p w14:paraId="7C89B112"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w:t>
            </w:r>
          </w:p>
        </w:tc>
        <w:tc>
          <w:tcPr>
            <w:tcW w:w="709" w:type="dxa"/>
            <w:tcBorders>
              <w:top w:val="nil"/>
              <w:left w:val="nil"/>
              <w:bottom w:val="nil"/>
              <w:right w:val="nil"/>
            </w:tcBorders>
            <w:vAlign w:val="bottom"/>
          </w:tcPr>
          <w:p w14:paraId="495B01B0"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0.5</w:t>
            </w:r>
          </w:p>
        </w:tc>
        <w:tc>
          <w:tcPr>
            <w:tcW w:w="992" w:type="dxa"/>
            <w:tcBorders>
              <w:top w:val="nil"/>
              <w:left w:val="nil"/>
              <w:bottom w:val="nil"/>
              <w:right w:val="nil"/>
            </w:tcBorders>
          </w:tcPr>
          <w:p w14:paraId="435CAA68" w14:textId="77777777" w:rsidR="00A3021A" w:rsidRPr="00701439" w:rsidRDefault="00A3021A">
            <w:pPr>
              <w:jc w:val="right"/>
              <w:rPr>
                <w:rFonts w:asciiTheme="minorHAnsi" w:hAnsiTheme="minorHAnsi" w:cstheme="minorHAnsi"/>
                <w:sz w:val="20"/>
                <w:szCs w:val="20"/>
              </w:rPr>
            </w:pPr>
          </w:p>
          <w:p w14:paraId="55024015"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0.5</w:t>
            </w:r>
          </w:p>
        </w:tc>
        <w:tc>
          <w:tcPr>
            <w:tcW w:w="1276" w:type="dxa"/>
            <w:tcBorders>
              <w:top w:val="nil"/>
              <w:left w:val="nil"/>
              <w:bottom w:val="nil"/>
              <w:right w:val="nil"/>
            </w:tcBorders>
          </w:tcPr>
          <w:p w14:paraId="52613979" w14:textId="77777777" w:rsidR="00A3021A" w:rsidRPr="00701439" w:rsidRDefault="00A3021A">
            <w:pPr>
              <w:jc w:val="right"/>
              <w:rPr>
                <w:rFonts w:asciiTheme="minorHAnsi" w:hAnsiTheme="minorHAnsi" w:cstheme="minorHAnsi"/>
                <w:sz w:val="20"/>
                <w:szCs w:val="20"/>
              </w:rPr>
            </w:pPr>
          </w:p>
          <w:p w14:paraId="76E6BA9C"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w:t>
            </w:r>
          </w:p>
        </w:tc>
        <w:tc>
          <w:tcPr>
            <w:tcW w:w="851" w:type="dxa"/>
            <w:tcBorders>
              <w:top w:val="nil"/>
              <w:left w:val="nil"/>
              <w:bottom w:val="nil"/>
              <w:right w:val="nil"/>
            </w:tcBorders>
          </w:tcPr>
          <w:p w14:paraId="0C91E2D8" w14:textId="77777777" w:rsidR="00A3021A" w:rsidRPr="00701439" w:rsidRDefault="00A3021A">
            <w:pPr>
              <w:jc w:val="right"/>
              <w:rPr>
                <w:rFonts w:asciiTheme="minorHAnsi" w:hAnsiTheme="minorHAnsi" w:cstheme="minorHAnsi"/>
                <w:sz w:val="20"/>
                <w:szCs w:val="20"/>
              </w:rPr>
            </w:pPr>
          </w:p>
          <w:p w14:paraId="53B828CC"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0.5</w:t>
            </w:r>
          </w:p>
        </w:tc>
      </w:tr>
      <w:tr w:rsidR="00A3021A" w:rsidRPr="00701439" w14:paraId="4911FB3E" w14:textId="77777777">
        <w:trPr>
          <w:trHeight w:val="468"/>
        </w:trPr>
        <w:tc>
          <w:tcPr>
            <w:tcW w:w="2444" w:type="dxa"/>
            <w:tcBorders>
              <w:top w:val="nil"/>
              <w:left w:val="nil"/>
              <w:bottom w:val="nil"/>
              <w:right w:val="nil"/>
            </w:tcBorders>
            <w:vAlign w:val="bottom"/>
          </w:tcPr>
          <w:p w14:paraId="75E15879"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 prior year adjustments related to transfer pricing and losses (note (f))</w:t>
            </w:r>
          </w:p>
        </w:tc>
        <w:tc>
          <w:tcPr>
            <w:tcW w:w="992" w:type="dxa"/>
            <w:tcBorders>
              <w:top w:val="nil"/>
              <w:left w:val="nil"/>
              <w:bottom w:val="nil"/>
              <w:right w:val="nil"/>
            </w:tcBorders>
            <w:vAlign w:val="bottom"/>
          </w:tcPr>
          <w:p w14:paraId="610BFECF"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(7.8)</w:t>
            </w:r>
          </w:p>
        </w:tc>
        <w:tc>
          <w:tcPr>
            <w:tcW w:w="1276" w:type="dxa"/>
            <w:tcBorders>
              <w:top w:val="nil"/>
              <w:left w:val="nil"/>
              <w:bottom w:val="nil"/>
              <w:right w:val="nil"/>
            </w:tcBorders>
          </w:tcPr>
          <w:p w14:paraId="243B37EC" w14:textId="77777777" w:rsidR="00A3021A" w:rsidRPr="00701439" w:rsidRDefault="00A3021A">
            <w:pPr>
              <w:jc w:val="right"/>
              <w:rPr>
                <w:rFonts w:asciiTheme="minorHAnsi" w:hAnsiTheme="minorHAnsi" w:cstheme="minorHAnsi"/>
                <w:sz w:val="20"/>
                <w:szCs w:val="20"/>
              </w:rPr>
            </w:pPr>
          </w:p>
          <w:p w14:paraId="0EDD21B8" w14:textId="77777777" w:rsidR="00A3021A" w:rsidRPr="00701439" w:rsidRDefault="00A3021A">
            <w:pPr>
              <w:jc w:val="right"/>
              <w:rPr>
                <w:rFonts w:asciiTheme="minorHAnsi" w:hAnsiTheme="minorHAnsi" w:cstheme="minorHAnsi"/>
                <w:sz w:val="20"/>
                <w:szCs w:val="20"/>
              </w:rPr>
            </w:pPr>
          </w:p>
          <w:p w14:paraId="5463402C"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w:t>
            </w:r>
          </w:p>
        </w:tc>
        <w:tc>
          <w:tcPr>
            <w:tcW w:w="1417" w:type="dxa"/>
            <w:tcBorders>
              <w:top w:val="nil"/>
              <w:left w:val="nil"/>
              <w:bottom w:val="nil"/>
              <w:right w:val="nil"/>
            </w:tcBorders>
          </w:tcPr>
          <w:p w14:paraId="7EA1B7E4" w14:textId="77777777" w:rsidR="00A3021A" w:rsidRPr="00701439" w:rsidRDefault="00A3021A">
            <w:pPr>
              <w:jc w:val="right"/>
              <w:rPr>
                <w:rFonts w:asciiTheme="minorHAnsi" w:hAnsiTheme="minorHAnsi" w:cstheme="minorHAnsi"/>
                <w:sz w:val="20"/>
                <w:szCs w:val="20"/>
              </w:rPr>
            </w:pPr>
          </w:p>
          <w:p w14:paraId="1D1892DA" w14:textId="77777777" w:rsidR="00A3021A" w:rsidRPr="00701439" w:rsidRDefault="00A3021A">
            <w:pPr>
              <w:jc w:val="right"/>
              <w:rPr>
                <w:rFonts w:asciiTheme="minorHAnsi" w:hAnsiTheme="minorHAnsi" w:cstheme="minorHAnsi"/>
                <w:sz w:val="20"/>
                <w:szCs w:val="20"/>
              </w:rPr>
            </w:pPr>
          </w:p>
          <w:p w14:paraId="52C673C2"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w:t>
            </w:r>
          </w:p>
        </w:tc>
        <w:tc>
          <w:tcPr>
            <w:tcW w:w="709" w:type="dxa"/>
            <w:tcBorders>
              <w:top w:val="nil"/>
              <w:left w:val="nil"/>
              <w:bottom w:val="nil"/>
              <w:right w:val="nil"/>
            </w:tcBorders>
            <w:vAlign w:val="bottom"/>
          </w:tcPr>
          <w:p w14:paraId="2253CD05"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(7.8)</w:t>
            </w:r>
          </w:p>
        </w:tc>
        <w:tc>
          <w:tcPr>
            <w:tcW w:w="992" w:type="dxa"/>
            <w:tcBorders>
              <w:top w:val="nil"/>
              <w:left w:val="nil"/>
              <w:bottom w:val="nil"/>
              <w:right w:val="nil"/>
            </w:tcBorders>
          </w:tcPr>
          <w:p w14:paraId="03ECEFBE" w14:textId="77777777" w:rsidR="00A3021A" w:rsidRPr="00701439" w:rsidRDefault="00A3021A">
            <w:pPr>
              <w:jc w:val="right"/>
              <w:rPr>
                <w:rFonts w:asciiTheme="minorHAnsi" w:hAnsiTheme="minorHAnsi" w:cstheme="minorHAnsi"/>
                <w:sz w:val="20"/>
                <w:szCs w:val="20"/>
              </w:rPr>
            </w:pPr>
          </w:p>
          <w:p w14:paraId="33B604F8" w14:textId="77777777" w:rsidR="00A3021A" w:rsidRPr="00701439" w:rsidRDefault="00A3021A">
            <w:pPr>
              <w:rPr>
                <w:rFonts w:asciiTheme="minorHAnsi" w:hAnsiTheme="minorHAnsi" w:cstheme="minorHAnsi"/>
                <w:sz w:val="20"/>
                <w:szCs w:val="20"/>
              </w:rPr>
            </w:pPr>
          </w:p>
          <w:p w14:paraId="68E979BB"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7.8</w:t>
            </w:r>
          </w:p>
        </w:tc>
        <w:tc>
          <w:tcPr>
            <w:tcW w:w="1276" w:type="dxa"/>
            <w:tcBorders>
              <w:top w:val="nil"/>
              <w:left w:val="nil"/>
              <w:bottom w:val="nil"/>
              <w:right w:val="nil"/>
            </w:tcBorders>
          </w:tcPr>
          <w:p w14:paraId="5FEFDA64" w14:textId="77777777" w:rsidR="00A3021A" w:rsidRPr="00701439" w:rsidRDefault="00A3021A">
            <w:pPr>
              <w:jc w:val="right"/>
              <w:rPr>
                <w:rFonts w:asciiTheme="minorHAnsi" w:hAnsiTheme="minorHAnsi" w:cstheme="minorHAnsi"/>
                <w:sz w:val="20"/>
                <w:szCs w:val="20"/>
              </w:rPr>
            </w:pPr>
          </w:p>
          <w:p w14:paraId="0F9A17E8" w14:textId="77777777" w:rsidR="00A3021A" w:rsidRPr="00701439" w:rsidRDefault="00A3021A">
            <w:pPr>
              <w:jc w:val="right"/>
              <w:rPr>
                <w:rFonts w:asciiTheme="minorHAnsi" w:hAnsiTheme="minorHAnsi" w:cstheme="minorHAnsi"/>
                <w:sz w:val="20"/>
                <w:szCs w:val="20"/>
              </w:rPr>
            </w:pPr>
          </w:p>
          <w:p w14:paraId="2593D023"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w:t>
            </w:r>
          </w:p>
        </w:tc>
        <w:tc>
          <w:tcPr>
            <w:tcW w:w="851" w:type="dxa"/>
            <w:tcBorders>
              <w:top w:val="nil"/>
              <w:left w:val="nil"/>
              <w:bottom w:val="nil"/>
              <w:right w:val="nil"/>
            </w:tcBorders>
          </w:tcPr>
          <w:p w14:paraId="32A492AD" w14:textId="77777777" w:rsidR="00A3021A" w:rsidRPr="00701439" w:rsidRDefault="00A3021A">
            <w:pPr>
              <w:jc w:val="right"/>
              <w:rPr>
                <w:rFonts w:asciiTheme="minorHAnsi" w:hAnsiTheme="minorHAnsi" w:cstheme="minorHAnsi"/>
                <w:sz w:val="20"/>
                <w:szCs w:val="20"/>
              </w:rPr>
            </w:pPr>
          </w:p>
          <w:p w14:paraId="6E9BC705" w14:textId="77777777" w:rsidR="00A3021A" w:rsidRPr="00701439" w:rsidRDefault="00A3021A">
            <w:pPr>
              <w:jc w:val="right"/>
              <w:rPr>
                <w:rFonts w:asciiTheme="minorHAnsi" w:hAnsiTheme="minorHAnsi" w:cstheme="minorHAnsi"/>
                <w:sz w:val="20"/>
                <w:szCs w:val="20"/>
              </w:rPr>
            </w:pPr>
          </w:p>
          <w:p w14:paraId="692EF24A"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7.8</w:t>
            </w:r>
          </w:p>
        </w:tc>
      </w:tr>
      <w:tr w:rsidR="00A3021A" w:rsidRPr="00701439" w14:paraId="11F05D3F" w14:textId="77777777">
        <w:trPr>
          <w:trHeight w:val="228"/>
        </w:trPr>
        <w:tc>
          <w:tcPr>
            <w:tcW w:w="2444" w:type="dxa"/>
            <w:tcBorders>
              <w:top w:val="nil"/>
              <w:left w:val="nil"/>
              <w:bottom w:val="nil"/>
              <w:right w:val="nil"/>
            </w:tcBorders>
            <w:vAlign w:val="bottom"/>
          </w:tcPr>
          <w:p w14:paraId="51E044C0" w14:textId="77777777" w:rsidR="00A3021A" w:rsidRPr="00701439" w:rsidRDefault="00A3021A">
            <w:pPr>
              <w:rPr>
                <w:rFonts w:asciiTheme="minorHAnsi" w:hAnsiTheme="minorHAnsi" w:cs="Poppins-Light"/>
                <w:sz w:val="20"/>
                <w:szCs w:val="20"/>
              </w:rPr>
            </w:pPr>
            <w:r w:rsidRPr="00701439">
              <w:rPr>
                <w:rFonts w:asciiTheme="minorHAnsi" w:hAnsiTheme="minorHAnsi" w:cs="Arial"/>
                <w:sz w:val="20"/>
                <w:szCs w:val="20"/>
              </w:rPr>
              <w:t xml:space="preserve">– </w:t>
            </w:r>
            <w:r w:rsidRPr="00701439">
              <w:rPr>
                <w:rFonts w:asciiTheme="minorHAnsi" w:hAnsiTheme="minorHAnsi" w:cs="Poppins-Light"/>
                <w:sz w:val="20"/>
                <w:szCs w:val="20"/>
              </w:rPr>
              <w:t>non-deductible general expenses</w:t>
            </w:r>
          </w:p>
        </w:tc>
        <w:tc>
          <w:tcPr>
            <w:tcW w:w="992" w:type="dxa"/>
            <w:tcBorders>
              <w:top w:val="nil"/>
              <w:left w:val="nil"/>
              <w:bottom w:val="nil"/>
              <w:right w:val="nil"/>
            </w:tcBorders>
            <w:vAlign w:val="bottom"/>
          </w:tcPr>
          <w:p w14:paraId="23BA61AD"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0.1</w:t>
            </w:r>
          </w:p>
        </w:tc>
        <w:tc>
          <w:tcPr>
            <w:tcW w:w="1276" w:type="dxa"/>
            <w:tcBorders>
              <w:top w:val="nil"/>
              <w:left w:val="nil"/>
              <w:bottom w:val="nil"/>
              <w:right w:val="nil"/>
            </w:tcBorders>
          </w:tcPr>
          <w:p w14:paraId="40420137" w14:textId="77777777" w:rsidR="00A3021A" w:rsidRPr="00701439" w:rsidRDefault="00A3021A">
            <w:pPr>
              <w:jc w:val="right"/>
              <w:rPr>
                <w:rFonts w:asciiTheme="minorHAnsi" w:hAnsiTheme="minorHAnsi" w:cstheme="minorHAnsi"/>
                <w:sz w:val="20"/>
                <w:szCs w:val="20"/>
              </w:rPr>
            </w:pPr>
          </w:p>
          <w:p w14:paraId="3F356CE1"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0.4</w:t>
            </w:r>
          </w:p>
        </w:tc>
        <w:tc>
          <w:tcPr>
            <w:tcW w:w="1417" w:type="dxa"/>
            <w:tcBorders>
              <w:top w:val="nil"/>
              <w:left w:val="nil"/>
              <w:bottom w:val="nil"/>
              <w:right w:val="nil"/>
            </w:tcBorders>
          </w:tcPr>
          <w:p w14:paraId="7F9EBBAA" w14:textId="77777777" w:rsidR="00A3021A" w:rsidRPr="00701439" w:rsidRDefault="00A3021A">
            <w:pPr>
              <w:jc w:val="right"/>
              <w:rPr>
                <w:rFonts w:asciiTheme="minorHAnsi" w:hAnsiTheme="minorHAnsi" w:cstheme="minorHAnsi"/>
                <w:sz w:val="20"/>
                <w:szCs w:val="20"/>
              </w:rPr>
            </w:pPr>
          </w:p>
          <w:p w14:paraId="0792775A"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w:t>
            </w:r>
          </w:p>
        </w:tc>
        <w:tc>
          <w:tcPr>
            <w:tcW w:w="709" w:type="dxa"/>
            <w:tcBorders>
              <w:top w:val="nil"/>
              <w:left w:val="nil"/>
              <w:bottom w:val="nil"/>
              <w:right w:val="nil"/>
            </w:tcBorders>
            <w:vAlign w:val="bottom"/>
          </w:tcPr>
          <w:p w14:paraId="18F95E49"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0.5</w:t>
            </w:r>
          </w:p>
        </w:tc>
        <w:tc>
          <w:tcPr>
            <w:tcW w:w="992" w:type="dxa"/>
            <w:tcBorders>
              <w:top w:val="nil"/>
              <w:left w:val="nil"/>
              <w:bottom w:val="nil"/>
              <w:right w:val="nil"/>
            </w:tcBorders>
          </w:tcPr>
          <w:p w14:paraId="31A2DEE7" w14:textId="77777777" w:rsidR="00A3021A" w:rsidRPr="00701439" w:rsidRDefault="00A3021A">
            <w:pPr>
              <w:jc w:val="right"/>
              <w:rPr>
                <w:rFonts w:asciiTheme="minorHAnsi" w:hAnsiTheme="minorHAnsi" w:cstheme="minorHAnsi"/>
                <w:sz w:val="20"/>
                <w:szCs w:val="20"/>
              </w:rPr>
            </w:pPr>
          </w:p>
          <w:p w14:paraId="504E093A"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0.1</w:t>
            </w:r>
          </w:p>
        </w:tc>
        <w:tc>
          <w:tcPr>
            <w:tcW w:w="1276" w:type="dxa"/>
            <w:tcBorders>
              <w:top w:val="nil"/>
              <w:left w:val="nil"/>
              <w:bottom w:val="nil"/>
              <w:right w:val="nil"/>
            </w:tcBorders>
          </w:tcPr>
          <w:p w14:paraId="5CC4D095" w14:textId="77777777" w:rsidR="00A3021A" w:rsidRPr="00701439" w:rsidRDefault="00A3021A">
            <w:pPr>
              <w:jc w:val="right"/>
              <w:rPr>
                <w:rFonts w:asciiTheme="minorHAnsi" w:hAnsiTheme="minorHAnsi" w:cstheme="minorHAnsi"/>
                <w:sz w:val="20"/>
                <w:szCs w:val="20"/>
              </w:rPr>
            </w:pPr>
          </w:p>
          <w:p w14:paraId="0582CE28"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w:t>
            </w:r>
          </w:p>
        </w:tc>
        <w:tc>
          <w:tcPr>
            <w:tcW w:w="851" w:type="dxa"/>
            <w:tcBorders>
              <w:top w:val="nil"/>
              <w:left w:val="nil"/>
              <w:bottom w:val="nil"/>
              <w:right w:val="nil"/>
            </w:tcBorders>
          </w:tcPr>
          <w:p w14:paraId="062B88D6" w14:textId="77777777" w:rsidR="00A3021A" w:rsidRPr="00701439" w:rsidRDefault="00A3021A">
            <w:pPr>
              <w:jc w:val="right"/>
              <w:rPr>
                <w:rFonts w:asciiTheme="minorHAnsi" w:hAnsiTheme="minorHAnsi" w:cstheme="minorHAnsi"/>
                <w:sz w:val="20"/>
                <w:szCs w:val="20"/>
              </w:rPr>
            </w:pPr>
          </w:p>
          <w:p w14:paraId="4F2D24FA"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0.1</w:t>
            </w:r>
          </w:p>
        </w:tc>
      </w:tr>
      <w:tr w:rsidR="00A3021A" w:rsidRPr="00701439" w14:paraId="359469C9" w14:textId="77777777">
        <w:trPr>
          <w:trHeight w:val="468"/>
        </w:trPr>
        <w:tc>
          <w:tcPr>
            <w:tcW w:w="2444" w:type="dxa"/>
            <w:tcBorders>
              <w:top w:val="nil"/>
              <w:left w:val="nil"/>
              <w:bottom w:val="nil"/>
              <w:right w:val="nil"/>
            </w:tcBorders>
            <w:vAlign w:val="bottom"/>
          </w:tcPr>
          <w:p w14:paraId="4D35E5DF" w14:textId="77777777" w:rsidR="00A3021A" w:rsidRPr="00701439" w:rsidRDefault="00A3021A">
            <w:pPr>
              <w:rPr>
                <w:rFonts w:asciiTheme="minorHAnsi" w:hAnsiTheme="minorHAnsi" w:cs="Poppins-Light"/>
                <w:sz w:val="20"/>
                <w:szCs w:val="20"/>
              </w:rPr>
            </w:pPr>
            <w:r w:rsidRPr="00701439">
              <w:rPr>
                <w:rFonts w:asciiTheme="minorHAnsi" w:hAnsiTheme="minorHAnsi" w:cs="Arial"/>
                <w:sz w:val="20"/>
                <w:szCs w:val="20"/>
              </w:rPr>
              <w:t xml:space="preserve">– </w:t>
            </w:r>
            <w:r w:rsidRPr="00701439">
              <w:rPr>
                <w:rFonts w:asciiTheme="minorHAnsi" w:hAnsiTheme="minorHAnsi" w:cs="Poppins-Light"/>
                <w:sz w:val="20"/>
                <w:szCs w:val="20"/>
              </w:rPr>
              <w:t>transfer pricing adjustments (note (g))</w:t>
            </w:r>
          </w:p>
        </w:tc>
        <w:tc>
          <w:tcPr>
            <w:tcW w:w="992" w:type="dxa"/>
            <w:tcBorders>
              <w:top w:val="nil"/>
              <w:left w:val="nil"/>
              <w:bottom w:val="nil"/>
              <w:right w:val="nil"/>
            </w:tcBorders>
            <w:vAlign w:val="bottom"/>
          </w:tcPr>
          <w:p w14:paraId="27C06764"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(0.6)</w:t>
            </w:r>
          </w:p>
        </w:tc>
        <w:tc>
          <w:tcPr>
            <w:tcW w:w="1276" w:type="dxa"/>
            <w:tcBorders>
              <w:top w:val="nil"/>
              <w:left w:val="nil"/>
              <w:bottom w:val="nil"/>
              <w:right w:val="nil"/>
            </w:tcBorders>
          </w:tcPr>
          <w:p w14:paraId="1B4B36D4" w14:textId="77777777" w:rsidR="00A3021A" w:rsidRPr="00701439" w:rsidRDefault="00A3021A">
            <w:pPr>
              <w:jc w:val="right"/>
              <w:rPr>
                <w:rFonts w:asciiTheme="minorHAnsi" w:hAnsiTheme="minorHAnsi" w:cstheme="minorHAnsi"/>
                <w:sz w:val="20"/>
                <w:szCs w:val="20"/>
              </w:rPr>
            </w:pPr>
          </w:p>
          <w:p w14:paraId="2F833224"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w:t>
            </w:r>
          </w:p>
        </w:tc>
        <w:tc>
          <w:tcPr>
            <w:tcW w:w="1417" w:type="dxa"/>
            <w:tcBorders>
              <w:top w:val="nil"/>
              <w:left w:val="nil"/>
              <w:bottom w:val="nil"/>
              <w:right w:val="nil"/>
            </w:tcBorders>
          </w:tcPr>
          <w:p w14:paraId="572761B9" w14:textId="77777777" w:rsidR="00A3021A" w:rsidRPr="00701439" w:rsidRDefault="00A3021A">
            <w:pPr>
              <w:jc w:val="right"/>
              <w:rPr>
                <w:rFonts w:asciiTheme="minorHAnsi" w:hAnsiTheme="minorHAnsi" w:cstheme="minorHAnsi"/>
                <w:sz w:val="20"/>
                <w:szCs w:val="20"/>
              </w:rPr>
            </w:pPr>
          </w:p>
          <w:p w14:paraId="1CDCDD76"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w:t>
            </w:r>
          </w:p>
        </w:tc>
        <w:tc>
          <w:tcPr>
            <w:tcW w:w="709" w:type="dxa"/>
            <w:tcBorders>
              <w:top w:val="nil"/>
              <w:left w:val="nil"/>
              <w:bottom w:val="nil"/>
              <w:right w:val="nil"/>
            </w:tcBorders>
            <w:vAlign w:val="bottom"/>
          </w:tcPr>
          <w:p w14:paraId="6028B6E1"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(0.6)</w:t>
            </w:r>
          </w:p>
        </w:tc>
        <w:tc>
          <w:tcPr>
            <w:tcW w:w="992" w:type="dxa"/>
            <w:tcBorders>
              <w:top w:val="nil"/>
              <w:left w:val="nil"/>
              <w:bottom w:val="nil"/>
              <w:right w:val="nil"/>
            </w:tcBorders>
          </w:tcPr>
          <w:p w14:paraId="14FCCCBA" w14:textId="77777777" w:rsidR="00A3021A" w:rsidRPr="00701439" w:rsidRDefault="00A3021A">
            <w:pPr>
              <w:jc w:val="right"/>
              <w:rPr>
                <w:rFonts w:asciiTheme="minorHAnsi" w:hAnsiTheme="minorHAnsi" w:cstheme="minorHAnsi"/>
                <w:sz w:val="20"/>
                <w:szCs w:val="20"/>
              </w:rPr>
            </w:pPr>
          </w:p>
          <w:p w14:paraId="4146C021"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0.6</w:t>
            </w:r>
          </w:p>
        </w:tc>
        <w:tc>
          <w:tcPr>
            <w:tcW w:w="1276" w:type="dxa"/>
            <w:tcBorders>
              <w:top w:val="nil"/>
              <w:left w:val="nil"/>
              <w:bottom w:val="nil"/>
              <w:right w:val="nil"/>
            </w:tcBorders>
          </w:tcPr>
          <w:p w14:paraId="5245938B" w14:textId="77777777" w:rsidR="00A3021A" w:rsidRPr="00701439" w:rsidRDefault="00A3021A">
            <w:pPr>
              <w:jc w:val="right"/>
              <w:rPr>
                <w:rFonts w:asciiTheme="minorHAnsi" w:hAnsiTheme="minorHAnsi" w:cstheme="minorHAnsi"/>
                <w:sz w:val="20"/>
                <w:szCs w:val="20"/>
              </w:rPr>
            </w:pPr>
          </w:p>
          <w:p w14:paraId="523A285E"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w:t>
            </w:r>
          </w:p>
        </w:tc>
        <w:tc>
          <w:tcPr>
            <w:tcW w:w="851" w:type="dxa"/>
            <w:tcBorders>
              <w:top w:val="nil"/>
              <w:left w:val="nil"/>
              <w:bottom w:val="nil"/>
              <w:right w:val="nil"/>
            </w:tcBorders>
          </w:tcPr>
          <w:p w14:paraId="1C2B7511" w14:textId="77777777" w:rsidR="00A3021A" w:rsidRPr="00701439" w:rsidRDefault="00A3021A">
            <w:pPr>
              <w:jc w:val="right"/>
              <w:rPr>
                <w:rFonts w:asciiTheme="minorHAnsi" w:hAnsiTheme="minorHAnsi" w:cstheme="minorHAnsi"/>
                <w:sz w:val="20"/>
                <w:szCs w:val="20"/>
              </w:rPr>
            </w:pPr>
          </w:p>
          <w:p w14:paraId="4A36DBA0"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0.6</w:t>
            </w:r>
          </w:p>
        </w:tc>
      </w:tr>
      <w:tr w:rsidR="00A3021A" w:rsidRPr="00701439" w14:paraId="1AD60E38" w14:textId="77777777">
        <w:trPr>
          <w:trHeight w:val="468"/>
        </w:trPr>
        <w:tc>
          <w:tcPr>
            <w:tcW w:w="2444" w:type="dxa"/>
            <w:tcBorders>
              <w:top w:val="nil"/>
              <w:left w:val="nil"/>
              <w:bottom w:val="nil"/>
              <w:right w:val="nil"/>
            </w:tcBorders>
            <w:vAlign w:val="bottom"/>
          </w:tcPr>
          <w:p w14:paraId="19AB03A3"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 discount on payment for losses of discontinued operations (note (h))</w:t>
            </w:r>
          </w:p>
        </w:tc>
        <w:tc>
          <w:tcPr>
            <w:tcW w:w="992" w:type="dxa"/>
            <w:tcBorders>
              <w:top w:val="nil"/>
              <w:left w:val="nil"/>
              <w:bottom w:val="nil"/>
              <w:right w:val="nil"/>
            </w:tcBorders>
            <w:vAlign w:val="bottom"/>
          </w:tcPr>
          <w:p w14:paraId="50B73FDB"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(6.5)</w:t>
            </w:r>
          </w:p>
        </w:tc>
        <w:tc>
          <w:tcPr>
            <w:tcW w:w="1276" w:type="dxa"/>
            <w:tcBorders>
              <w:top w:val="nil"/>
              <w:left w:val="nil"/>
              <w:bottom w:val="nil"/>
              <w:right w:val="nil"/>
            </w:tcBorders>
          </w:tcPr>
          <w:p w14:paraId="2119A4E1" w14:textId="77777777" w:rsidR="00A3021A" w:rsidRPr="00701439" w:rsidRDefault="00A3021A">
            <w:pPr>
              <w:jc w:val="right"/>
              <w:rPr>
                <w:rFonts w:asciiTheme="minorHAnsi" w:hAnsiTheme="minorHAnsi" w:cstheme="minorHAnsi"/>
                <w:sz w:val="20"/>
                <w:szCs w:val="20"/>
              </w:rPr>
            </w:pPr>
          </w:p>
          <w:p w14:paraId="6FD709ED" w14:textId="77777777" w:rsidR="00A3021A" w:rsidRPr="00701439" w:rsidRDefault="00A3021A">
            <w:pPr>
              <w:jc w:val="right"/>
              <w:rPr>
                <w:rFonts w:asciiTheme="minorHAnsi" w:hAnsiTheme="minorHAnsi" w:cstheme="minorHAnsi"/>
                <w:sz w:val="20"/>
                <w:szCs w:val="20"/>
              </w:rPr>
            </w:pPr>
          </w:p>
          <w:p w14:paraId="27A4C029"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w:t>
            </w:r>
          </w:p>
        </w:tc>
        <w:tc>
          <w:tcPr>
            <w:tcW w:w="1417" w:type="dxa"/>
            <w:tcBorders>
              <w:top w:val="nil"/>
              <w:left w:val="nil"/>
              <w:bottom w:val="nil"/>
              <w:right w:val="nil"/>
            </w:tcBorders>
          </w:tcPr>
          <w:p w14:paraId="766CB07F" w14:textId="77777777" w:rsidR="00A3021A" w:rsidRPr="00701439" w:rsidRDefault="00A3021A">
            <w:pPr>
              <w:jc w:val="right"/>
              <w:rPr>
                <w:rFonts w:asciiTheme="minorHAnsi" w:hAnsiTheme="minorHAnsi" w:cstheme="minorHAnsi"/>
                <w:sz w:val="20"/>
                <w:szCs w:val="20"/>
              </w:rPr>
            </w:pPr>
          </w:p>
          <w:p w14:paraId="42BBDC8A" w14:textId="77777777" w:rsidR="00A3021A" w:rsidRPr="00701439" w:rsidRDefault="00A3021A">
            <w:pPr>
              <w:jc w:val="right"/>
              <w:rPr>
                <w:rFonts w:asciiTheme="minorHAnsi" w:hAnsiTheme="minorHAnsi" w:cstheme="minorHAnsi"/>
                <w:sz w:val="20"/>
                <w:szCs w:val="20"/>
              </w:rPr>
            </w:pPr>
          </w:p>
          <w:p w14:paraId="3C088342"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w:t>
            </w:r>
          </w:p>
        </w:tc>
        <w:tc>
          <w:tcPr>
            <w:tcW w:w="709" w:type="dxa"/>
            <w:tcBorders>
              <w:top w:val="nil"/>
              <w:left w:val="nil"/>
              <w:bottom w:val="nil"/>
              <w:right w:val="nil"/>
            </w:tcBorders>
            <w:vAlign w:val="bottom"/>
          </w:tcPr>
          <w:p w14:paraId="2DA04EBF"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(6.5)</w:t>
            </w:r>
          </w:p>
        </w:tc>
        <w:tc>
          <w:tcPr>
            <w:tcW w:w="992" w:type="dxa"/>
            <w:tcBorders>
              <w:top w:val="nil"/>
              <w:left w:val="nil"/>
              <w:bottom w:val="nil"/>
              <w:right w:val="nil"/>
            </w:tcBorders>
          </w:tcPr>
          <w:p w14:paraId="79F9D212" w14:textId="77777777" w:rsidR="00A3021A" w:rsidRPr="00701439" w:rsidRDefault="00A3021A">
            <w:pPr>
              <w:jc w:val="right"/>
              <w:rPr>
                <w:rFonts w:asciiTheme="minorHAnsi" w:hAnsiTheme="minorHAnsi" w:cstheme="minorHAnsi"/>
                <w:sz w:val="20"/>
                <w:szCs w:val="20"/>
              </w:rPr>
            </w:pPr>
          </w:p>
          <w:p w14:paraId="7FFCF0D3" w14:textId="77777777" w:rsidR="00A3021A" w:rsidRPr="00701439" w:rsidRDefault="00A3021A">
            <w:pPr>
              <w:jc w:val="right"/>
              <w:rPr>
                <w:rFonts w:asciiTheme="minorHAnsi" w:hAnsiTheme="minorHAnsi" w:cstheme="minorHAnsi"/>
                <w:sz w:val="20"/>
                <w:szCs w:val="20"/>
              </w:rPr>
            </w:pPr>
          </w:p>
          <w:p w14:paraId="25AFCB43"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6.5</w:t>
            </w:r>
          </w:p>
        </w:tc>
        <w:tc>
          <w:tcPr>
            <w:tcW w:w="1276" w:type="dxa"/>
            <w:tcBorders>
              <w:top w:val="nil"/>
              <w:left w:val="nil"/>
              <w:bottom w:val="nil"/>
              <w:right w:val="nil"/>
            </w:tcBorders>
          </w:tcPr>
          <w:p w14:paraId="64157F83" w14:textId="77777777" w:rsidR="00A3021A" w:rsidRPr="00701439" w:rsidRDefault="00A3021A">
            <w:pPr>
              <w:jc w:val="right"/>
              <w:rPr>
                <w:rFonts w:asciiTheme="minorHAnsi" w:hAnsiTheme="minorHAnsi" w:cstheme="minorHAnsi"/>
                <w:sz w:val="20"/>
                <w:szCs w:val="20"/>
              </w:rPr>
            </w:pPr>
          </w:p>
          <w:p w14:paraId="27C9AAF2" w14:textId="77777777" w:rsidR="00A3021A" w:rsidRPr="00701439" w:rsidRDefault="00A3021A">
            <w:pPr>
              <w:jc w:val="right"/>
              <w:rPr>
                <w:rFonts w:asciiTheme="minorHAnsi" w:hAnsiTheme="minorHAnsi" w:cstheme="minorHAnsi"/>
                <w:sz w:val="20"/>
                <w:szCs w:val="20"/>
              </w:rPr>
            </w:pPr>
          </w:p>
          <w:p w14:paraId="7EAFBE08"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w:t>
            </w:r>
          </w:p>
        </w:tc>
        <w:tc>
          <w:tcPr>
            <w:tcW w:w="851" w:type="dxa"/>
            <w:tcBorders>
              <w:top w:val="nil"/>
              <w:left w:val="nil"/>
              <w:bottom w:val="nil"/>
              <w:right w:val="nil"/>
            </w:tcBorders>
          </w:tcPr>
          <w:p w14:paraId="371A3AFC" w14:textId="77777777" w:rsidR="00A3021A" w:rsidRPr="00701439" w:rsidRDefault="00A3021A">
            <w:pPr>
              <w:jc w:val="right"/>
              <w:rPr>
                <w:rFonts w:asciiTheme="minorHAnsi" w:hAnsiTheme="minorHAnsi" w:cstheme="minorHAnsi"/>
                <w:sz w:val="20"/>
                <w:szCs w:val="20"/>
              </w:rPr>
            </w:pPr>
          </w:p>
          <w:p w14:paraId="0455959D" w14:textId="77777777" w:rsidR="00A3021A" w:rsidRPr="00701439" w:rsidRDefault="00A3021A">
            <w:pPr>
              <w:jc w:val="right"/>
              <w:rPr>
                <w:rFonts w:asciiTheme="minorHAnsi" w:hAnsiTheme="minorHAnsi" w:cstheme="minorHAnsi"/>
                <w:sz w:val="20"/>
                <w:szCs w:val="20"/>
              </w:rPr>
            </w:pPr>
          </w:p>
          <w:p w14:paraId="6259671F"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6.5</w:t>
            </w:r>
          </w:p>
        </w:tc>
      </w:tr>
      <w:tr w:rsidR="00A3021A" w:rsidRPr="00701439" w14:paraId="3E1BAC14" w14:textId="77777777">
        <w:trPr>
          <w:trHeight w:val="64"/>
        </w:trPr>
        <w:tc>
          <w:tcPr>
            <w:tcW w:w="2444" w:type="dxa"/>
            <w:tcBorders>
              <w:top w:val="nil"/>
              <w:left w:val="nil"/>
              <w:bottom w:val="nil"/>
              <w:right w:val="nil"/>
            </w:tcBorders>
            <w:vAlign w:val="bottom"/>
          </w:tcPr>
          <w:p w14:paraId="20EC3AC9"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 benefit of capital losses offset against capital gain (note (</w:t>
            </w:r>
            <w:proofErr w:type="spellStart"/>
            <w:r w:rsidRPr="00701439">
              <w:rPr>
                <w:rFonts w:asciiTheme="minorHAnsi" w:hAnsiTheme="minorHAnsi" w:cs="Arial"/>
                <w:sz w:val="20"/>
                <w:szCs w:val="20"/>
              </w:rPr>
              <w:t>i</w:t>
            </w:r>
            <w:proofErr w:type="spellEnd"/>
            <w:r w:rsidRPr="00701439">
              <w:rPr>
                <w:rFonts w:asciiTheme="minorHAnsi" w:hAnsiTheme="minorHAnsi" w:cs="Arial"/>
                <w:sz w:val="20"/>
                <w:szCs w:val="20"/>
              </w:rPr>
              <w:t>))</w:t>
            </w:r>
          </w:p>
        </w:tc>
        <w:tc>
          <w:tcPr>
            <w:tcW w:w="992" w:type="dxa"/>
            <w:tcBorders>
              <w:top w:val="nil"/>
              <w:left w:val="nil"/>
              <w:bottom w:val="nil"/>
              <w:right w:val="nil"/>
            </w:tcBorders>
            <w:vAlign w:val="bottom"/>
          </w:tcPr>
          <w:p w14:paraId="2197EC97"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w:t>
            </w:r>
          </w:p>
        </w:tc>
        <w:tc>
          <w:tcPr>
            <w:tcW w:w="1276" w:type="dxa"/>
            <w:tcBorders>
              <w:top w:val="nil"/>
              <w:left w:val="nil"/>
              <w:bottom w:val="nil"/>
              <w:right w:val="nil"/>
            </w:tcBorders>
          </w:tcPr>
          <w:p w14:paraId="5C5C1FD7" w14:textId="77777777" w:rsidR="00A3021A" w:rsidRPr="00701439" w:rsidRDefault="00A3021A">
            <w:pPr>
              <w:jc w:val="right"/>
              <w:rPr>
                <w:rFonts w:asciiTheme="minorHAnsi" w:hAnsiTheme="minorHAnsi" w:cstheme="minorHAnsi"/>
                <w:sz w:val="20"/>
                <w:szCs w:val="20"/>
              </w:rPr>
            </w:pPr>
          </w:p>
          <w:p w14:paraId="553E63C8" w14:textId="77777777" w:rsidR="00A3021A" w:rsidRPr="00701439" w:rsidRDefault="00A3021A">
            <w:pPr>
              <w:jc w:val="right"/>
              <w:rPr>
                <w:rFonts w:asciiTheme="minorHAnsi" w:hAnsiTheme="minorHAnsi" w:cstheme="minorHAnsi"/>
                <w:sz w:val="20"/>
                <w:szCs w:val="20"/>
              </w:rPr>
            </w:pPr>
          </w:p>
          <w:p w14:paraId="5586BFFA"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w:t>
            </w:r>
          </w:p>
        </w:tc>
        <w:tc>
          <w:tcPr>
            <w:tcW w:w="1417" w:type="dxa"/>
            <w:tcBorders>
              <w:top w:val="nil"/>
              <w:left w:val="nil"/>
              <w:bottom w:val="nil"/>
              <w:right w:val="nil"/>
            </w:tcBorders>
          </w:tcPr>
          <w:p w14:paraId="2D7FCF3C" w14:textId="77777777" w:rsidR="00A3021A" w:rsidRPr="00701439" w:rsidRDefault="00A3021A">
            <w:pPr>
              <w:jc w:val="right"/>
              <w:rPr>
                <w:rFonts w:asciiTheme="minorHAnsi" w:hAnsiTheme="minorHAnsi" w:cstheme="minorHAnsi"/>
                <w:sz w:val="20"/>
                <w:szCs w:val="20"/>
              </w:rPr>
            </w:pPr>
          </w:p>
          <w:p w14:paraId="1B3DFC7A" w14:textId="77777777" w:rsidR="00A3021A" w:rsidRPr="00701439" w:rsidRDefault="00A3021A">
            <w:pPr>
              <w:jc w:val="right"/>
              <w:rPr>
                <w:rFonts w:asciiTheme="minorHAnsi" w:hAnsiTheme="minorHAnsi" w:cstheme="minorHAnsi"/>
                <w:sz w:val="20"/>
                <w:szCs w:val="20"/>
              </w:rPr>
            </w:pPr>
          </w:p>
          <w:p w14:paraId="340B9955"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w:t>
            </w:r>
          </w:p>
        </w:tc>
        <w:tc>
          <w:tcPr>
            <w:tcW w:w="709" w:type="dxa"/>
            <w:tcBorders>
              <w:top w:val="nil"/>
              <w:left w:val="nil"/>
              <w:bottom w:val="nil"/>
              <w:right w:val="nil"/>
            </w:tcBorders>
            <w:vAlign w:val="bottom"/>
          </w:tcPr>
          <w:p w14:paraId="3C061085"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w:t>
            </w:r>
          </w:p>
        </w:tc>
        <w:tc>
          <w:tcPr>
            <w:tcW w:w="992" w:type="dxa"/>
            <w:tcBorders>
              <w:top w:val="nil"/>
              <w:left w:val="nil"/>
              <w:bottom w:val="nil"/>
              <w:right w:val="nil"/>
            </w:tcBorders>
          </w:tcPr>
          <w:p w14:paraId="4FB49276" w14:textId="77777777" w:rsidR="00A3021A" w:rsidRPr="00701439" w:rsidRDefault="00A3021A">
            <w:pPr>
              <w:jc w:val="right"/>
              <w:rPr>
                <w:rFonts w:asciiTheme="minorHAnsi" w:hAnsiTheme="minorHAnsi" w:cstheme="minorHAnsi"/>
                <w:sz w:val="20"/>
                <w:szCs w:val="20"/>
              </w:rPr>
            </w:pPr>
          </w:p>
          <w:p w14:paraId="5D639208" w14:textId="77777777" w:rsidR="00A3021A" w:rsidRPr="00701439" w:rsidRDefault="00A3021A">
            <w:pPr>
              <w:jc w:val="right"/>
              <w:rPr>
                <w:rFonts w:asciiTheme="minorHAnsi" w:hAnsiTheme="minorHAnsi" w:cstheme="minorHAnsi"/>
                <w:sz w:val="20"/>
                <w:szCs w:val="20"/>
              </w:rPr>
            </w:pPr>
          </w:p>
          <w:p w14:paraId="4FE61C97"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w:t>
            </w:r>
          </w:p>
        </w:tc>
        <w:tc>
          <w:tcPr>
            <w:tcW w:w="1276" w:type="dxa"/>
            <w:tcBorders>
              <w:top w:val="nil"/>
              <w:left w:val="nil"/>
              <w:bottom w:val="nil"/>
              <w:right w:val="nil"/>
            </w:tcBorders>
          </w:tcPr>
          <w:p w14:paraId="49E3A4F9" w14:textId="77777777" w:rsidR="00A3021A" w:rsidRPr="00701439" w:rsidRDefault="00A3021A">
            <w:pPr>
              <w:jc w:val="right"/>
              <w:rPr>
                <w:rFonts w:asciiTheme="minorHAnsi" w:hAnsiTheme="minorHAnsi" w:cstheme="minorHAnsi"/>
                <w:sz w:val="20"/>
                <w:szCs w:val="20"/>
              </w:rPr>
            </w:pPr>
          </w:p>
          <w:p w14:paraId="3D3CAF50" w14:textId="77777777" w:rsidR="00A3021A" w:rsidRPr="00701439" w:rsidRDefault="00A3021A">
            <w:pPr>
              <w:jc w:val="right"/>
              <w:rPr>
                <w:rFonts w:asciiTheme="minorHAnsi" w:hAnsiTheme="minorHAnsi" w:cstheme="minorHAnsi"/>
                <w:sz w:val="20"/>
                <w:szCs w:val="20"/>
              </w:rPr>
            </w:pPr>
          </w:p>
          <w:p w14:paraId="5C1E5525"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w:t>
            </w:r>
          </w:p>
        </w:tc>
        <w:tc>
          <w:tcPr>
            <w:tcW w:w="851" w:type="dxa"/>
            <w:tcBorders>
              <w:top w:val="nil"/>
              <w:left w:val="nil"/>
              <w:bottom w:val="nil"/>
              <w:right w:val="nil"/>
            </w:tcBorders>
          </w:tcPr>
          <w:p w14:paraId="12B5586B" w14:textId="77777777" w:rsidR="00A3021A" w:rsidRPr="00701439" w:rsidRDefault="00A3021A">
            <w:pPr>
              <w:jc w:val="right"/>
              <w:rPr>
                <w:rFonts w:asciiTheme="minorHAnsi" w:hAnsiTheme="minorHAnsi" w:cstheme="minorHAnsi"/>
                <w:sz w:val="20"/>
                <w:szCs w:val="20"/>
              </w:rPr>
            </w:pPr>
          </w:p>
          <w:p w14:paraId="520DAA88" w14:textId="77777777" w:rsidR="00A3021A" w:rsidRPr="00701439" w:rsidRDefault="00A3021A">
            <w:pPr>
              <w:jc w:val="right"/>
              <w:rPr>
                <w:rFonts w:asciiTheme="minorHAnsi" w:hAnsiTheme="minorHAnsi" w:cstheme="minorHAnsi"/>
                <w:sz w:val="20"/>
                <w:szCs w:val="20"/>
              </w:rPr>
            </w:pPr>
          </w:p>
          <w:p w14:paraId="7153FCF1"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w:t>
            </w:r>
          </w:p>
        </w:tc>
      </w:tr>
      <w:tr w:rsidR="00A3021A" w:rsidRPr="00701439" w14:paraId="683CE978" w14:textId="77777777">
        <w:trPr>
          <w:trHeight w:val="240"/>
        </w:trPr>
        <w:tc>
          <w:tcPr>
            <w:tcW w:w="2444" w:type="dxa"/>
            <w:tcBorders>
              <w:top w:val="nil"/>
              <w:left w:val="nil"/>
              <w:bottom w:val="nil"/>
              <w:right w:val="nil"/>
            </w:tcBorders>
            <w:vAlign w:val="bottom"/>
          </w:tcPr>
          <w:p w14:paraId="46A53EED"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 reversal of exceptional complaints provision (note (j))</w:t>
            </w:r>
          </w:p>
        </w:tc>
        <w:tc>
          <w:tcPr>
            <w:tcW w:w="992" w:type="dxa"/>
            <w:tcBorders>
              <w:top w:val="nil"/>
              <w:left w:val="nil"/>
              <w:bottom w:val="nil"/>
              <w:right w:val="nil"/>
            </w:tcBorders>
            <w:vAlign w:val="bottom"/>
          </w:tcPr>
          <w:p w14:paraId="4C6BE4C3"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w:t>
            </w:r>
          </w:p>
        </w:tc>
        <w:tc>
          <w:tcPr>
            <w:tcW w:w="1276" w:type="dxa"/>
            <w:tcBorders>
              <w:top w:val="nil"/>
              <w:left w:val="nil"/>
              <w:bottom w:val="nil"/>
              <w:right w:val="nil"/>
            </w:tcBorders>
          </w:tcPr>
          <w:p w14:paraId="6233DE6F" w14:textId="77777777" w:rsidR="00A3021A" w:rsidRPr="00701439" w:rsidRDefault="00A3021A">
            <w:pPr>
              <w:jc w:val="right"/>
              <w:rPr>
                <w:rFonts w:asciiTheme="minorHAnsi" w:hAnsiTheme="minorHAnsi" w:cstheme="minorHAnsi"/>
                <w:sz w:val="20"/>
                <w:szCs w:val="20"/>
              </w:rPr>
            </w:pPr>
          </w:p>
          <w:p w14:paraId="7AE9411B" w14:textId="77777777" w:rsidR="00A3021A" w:rsidRPr="00701439" w:rsidRDefault="00A3021A">
            <w:pPr>
              <w:jc w:val="right"/>
              <w:rPr>
                <w:rFonts w:asciiTheme="minorHAnsi" w:hAnsiTheme="minorHAnsi" w:cstheme="minorHAnsi"/>
                <w:sz w:val="20"/>
                <w:szCs w:val="20"/>
              </w:rPr>
            </w:pPr>
          </w:p>
          <w:p w14:paraId="6173A184"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(12.4)</w:t>
            </w:r>
          </w:p>
        </w:tc>
        <w:tc>
          <w:tcPr>
            <w:tcW w:w="1417" w:type="dxa"/>
            <w:tcBorders>
              <w:top w:val="nil"/>
              <w:left w:val="nil"/>
              <w:bottom w:val="nil"/>
              <w:right w:val="nil"/>
            </w:tcBorders>
          </w:tcPr>
          <w:p w14:paraId="2C0836C5" w14:textId="77777777" w:rsidR="00A3021A" w:rsidRPr="00701439" w:rsidRDefault="00A3021A">
            <w:pPr>
              <w:jc w:val="right"/>
              <w:rPr>
                <w:rFonts w:asciiTheme="minorHAnsi" w:hAnsiTheme="minorHAnsi" w:cstheme="minorHAnsi"/>
                <w:sz w:val="20"/>
                <w:szCs w:val="20"/>
              </w:rPr>
            </w:pPr>
          </w:p>
          <w:p w14:paraId="5229FA08" w14:textId="77777777" w:rsidR="00A3021A" w:rsidRPr="00701439" w:rsidRDefault="00A3021A">
            <w:pPr>
              <w:jc w:val="right"/>
              <w:rPr>
                <w:rFonts w:asciiTheme="minorHAnsi" w:hAnsiTheme="minorHAnsi" w:cstheme="minorHAnsi"/>
                <w:sz w:val="20"/>
                <w:szCs w:val="20"/>
              </w:rPr>
            </w:pPr>
          </w:p>
          <w:p w14:paraId="2F69F646"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w:t>
            </w:r>
          </w:p>
        </w:tc>
        <w:tc>
          <w:tcPr>
            <w:tcW w:w="709" w:type="dxa"/>
            <w:tcBorders>
              <w:top w:val="nil"/>
              <w:left w:val="nil"/>
              <w:bottom w:val="nil"/>
              <w:right w:val="nil"/>
            </w:tcBorders>
            <w:vAlign w:val="bottom"/>
          </w:tcPr>
          <w:p w14:paraId="0F19AE74"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(12.4)</w:t>
            </w:r>
          </w:p>
        </w:tc>
        <w:tc>
          <w:tcPr>
            <w:tcW w:w="992" w:type="dxa"/>
            <w:tcBorders>
              <w:top w:val="nil"/>
              <w:left w:val="nil"/>
              <w:bottom w:val="nil"/>
              <w:right w:val="nil"/>
            </w:tcBorders>
          </w:tcPr>
          <w:p w14:paraId="67465581" w14:textId="77777777" w:rsidR="00A3021A" w:rsidRPr="00701439" w:rsidRDefault="00A3021A">
            <w:pPr>
              <w:jc w:val="right"/>
              <w:rPr>
                <w:rFonts w:asciiTheme="minorHAnsi" w:hAnsiTheme="minorHAnsi" w:cstheme="minorHAnsi"/>
                <w:sz w:val="20"/>
                <w:szCs w:val="20"/>
              </w:rPr>
            </w:pPr>
          </w:p>
          <w:p w14:paraId="104B2D01" w14:textId="77777777" w:rsidR="00A3021A" w:rsidRPr="00701439" w:rsidRDefault="00A3021A">
            <w:pPr>
              <w:jc w:val="right"/>
              <w:rPr>
                <w:rFonts w:asciiTheme="minorHAnsi" w:hAnsiTheme="minorHAnsi" w:cstheme="minorHAnsi"/>
                <w:sz w:val="20"/>
                <w:szCs w:val="20"/>
              </w:rPr>
            </w:pPr>
          </w:p>
          <w:p w14:paraId="2F0A2B7F"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w:t>
            </w:r>
          </w:p>
        </w:tc>
        <w:tc>
          <w:tcPr>
            <w:tcW w:w="1276" w:type="dxa"/>
            <w:tcBorders>
              <w:top w:val="nil"/>
              <w:left w:val="nil"/>
              <w:bottom w:val="nil"/>
              <w:right w:val="nil"/>
            </w:tcBorders>
          </w:tcPr>
          <w:p w14:paraId="34338074" w14:textId="77777777" w:rsidR="00A3021A" w:rsidRPr="00701439" w:rsidRDefault="00A3021A">
            <w:pPr>
              <w:jc w:val="right"/>
              <w:rPr>
                <w:rFonts w:asciiTheme="minorHAnsi" w:hAnsiTheme="minorHAnsi" w:cstheme="minorHAnsi"/>
                <w:sz w:val="20"/>
                <w:szCs w:val="20"/>
              </w:rPr>
            </w:pPr>
          </w:p>
          <w:p w14:paraId="36D3A966" w14:textId="77777777" w:rsidR="00A3021A" w:rsidRPr="00701439" w:rsidRDefault="00A3021A">
            <w:pPr>
              <w:jc w:val="right"/>
              <w:rPr>
                <w:rFonts w:asciiTheme="minorHAnsi" w:hAnsiTheme="minorHAnsi" w:cstheme="minorHAnsi"/>
                <w:sz w:val="20"/>
                <w:szCs w:val="20"/>
              </w:rPr>
            </w:pPr>
          </w:p>
          <w:p w14:paraId="71167DED"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12.4</w:t>
            </w:r>
          </w:p>
        </w:tc>
        <w:tc>
          <w:tcPr>
            <w:tcW w:w="851" w:type="dxa"/>
            <w:tcBorders>
              <w:top w:val="nil"/>
              <w:left w:val="nil"/>
              <w:bottom w:val="nil"/>
              <w:right w:val="nil"/>
            </w:tcBorders>
          </w:tcPr>
          <w:p w14:paraId="06E9DF11" w14:textId="77777777" w:rsidR="00A3021A" w:rsidRPr="00701439" w:rsidRDefault="00A3021A">
            <w:pPr>
              <w:jc w:val="right"/>
              <w:rPr>
                <w:rFonts w:asciiTheme="minorHAnsi" w:hAnsiTheme="minorHAnsi" w:cstheme="minorHAnsi"/>
                <w:sz w:val="20"/>
                <w:szCs w:val="20"/>
              </w:rPr>
            </w:pPr>
          </w:p>
          <w:p w14:paraId="551F4D4A" w14:textId="77777777" w:rsidR="00A3021A" w:rsidRPr="00701439" w:rsidRDefault="00A3021A">
            <w:pPr>
              <w:jc w:val="right"/>
              <w:rPr>
                <w:rFonts w:asciiTheme="minorHAnsi" w:hAnsiTheme="minorHAnsi" w:cstheme="minorHAnsi"/>
                <w:sz w:val="20"/>
                <w:szCs w:val="20"/>
              </w:rPr>
            </w:pPr>
          </w:p>
          <w:p w14:paraId="2CE4FFFA"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12.4</w:t>
            </w:r>
          </w:p>
        </w:tc>
      </w:tr>
      <w:tr w:rsidR="00A3021A" w:rsidRPr="00701439" w14:paraId="166CDCE9" w14:textId="77777777">
        <w:trPr>
          <w:trHeight w:val="217"/>
        </w:trPr>
        <w:tc>
          <w:tcPr>
            <w:tcW w:w="2444" w:type="dxa"/>
            <w:tcBorders>
              <w:top w:val="nil"/>
              <w:left w:val="nil"/>
              <w:bottom w:val="nil"/>
              <w:right w:val="nil"/>
            </w:tcBorders>
            <w:vAlign w:val="bottom"/>
          </w:tcPr>
          <w:p w14:paraId="03D57DA9" w14:textId="77777777" w:rsidR="00A3021A" w:rsidRPr="00701439" w:rsidRDefault="00A3021A">
            <w:pPr>
              <w:rPr>
                <w:rFonts w:asciiTheme="minorHAnsi" w:hAnsiTheme="minorHAnsi" w:cs="Arial"/>
                <w:b/>
                <w:sz w:val="20"/>
                <w:szCs w:val="20"/>
              </w:rPr>
            </w:pPr>
          </w:p>
        </w:tc>
        <w:tc>
          <w:tcPr>
            <w:tcW w:w="992" w:type="dxa"/>
            <w:tcBorders>
              <w:top w:val="single" w:sz="4" w:space="0" w:color="auto"/>
              <w:left w:val="nil"/>
              <w:bottom w:val="single" w:sz="12" w:space="0" w:color="auto"/>
              <w:right w:val="nil"/>
            </w:tcBorders>
            <w:vAlign w:val="bottom"/>
          </w:tcPr>
          <w:p w14:paraId="30426070"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23.7</w:t>
            </w:r>
          </w:p>
        </w:tc>
        <w:tc>
          <w:tcPr>
            <w:tcW w:w="1276" w:type="dxa"/>
            <w:tcBorders>
              <w:top w:val="single" w:sz="4" w:space="0" w:color="auto"/>
              <w:left w:val="nil"/>
              <w:bottom w:val="single" w:sz="12" w:space="0" w:color="auto"/>
              <w:right w:val="nil"/>
            </w:tcBorders>
          </w:tcPr>
          <w:p w14:paraId="7D7A6A52"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(15.3)</w:t>
            </w:r>
          </w:p>
        </w:tc>
        <w:tc>
          <w:tcPr>
            <w:tcW w:w="1417" w:type="dxa"/>
            <w:tcBorders>
              <w:top w:val="single" w:sz="4" w:space="0" w:color="auto"/>
              <w:left w:val="nil"/>
              <w:bottom w:val="single" w:sz="12" w:space="0" w:color="auto"/>
              <w:right w:val="nil"/>
            </w:tcBorders>
          </w:tcPr>
          <w:p w14:paraId="5C4DD07C"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(0.8)</w:t>
            </w:r>
          </w:p>
        </w:tc>
        <w:tc>
          <w:tcPr>
            <w:tcW w:w="709" w:type="dxa"/>
            <w:tcBorders>
              <w:top w:val="single" w:sz="4" w:space="0" w:color="auto"/>
              <w:left w:val="nil"/>
              <w:bottom w:val="single" w:sz="12" w:space="0" w:color="auto"/>
              <w:right w:val="nil"/>
            </w:tcBorders>
            <w:vAlign w:val="bottom"/>
          </w:tcPr>
          <w:p w14:paraId="30441943"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7.6</w:t>
            </w:r>
          </w:p>
        </w:tc>
        <w:tc>
          <w:tcPr>
            <w:tcW w:w="992" w:type="dxa"/>
            <w:tcBorders>
              <w:top w:val="single" w:sz="4" w:space="0" w:color="auto"/>
              <w:left w:val="nil"/>
              <w:bottom w:val="single" w:sz="12" w:space="0" w:color="auto"/>
              <w:right w:val="nil"/>
            </w:tcBorders>
          </w:tcPr>
          <w:p w14:paraId="3F89EE9D"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23.5</w:t>
            </w:r>
          </w:p>
        </w:tc>
        <w:tc>
          <w:tcPr>
            <w:tcW w:w="1276" w:type="dxa"/>
            <w:tcBorders>
              <w:top w:val="single" w:sz="4" w:space="0" w:color="auto"/>
              <w:left w:val="nil"/>
              <w:bottom w:val="single" w:sz="12" w:space="0" w:color="auto"/>
              <w:right w:val="nil"/>
            </w:tcBorders>
          </w:tcPr>
          <w:p w14:paraId="2993DD9F"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5.1</w:t>
            </w:r>
          </w:p>
        </w:tc>
        <w:tc>
          <w:tcPr>
            <w:tcW w:w="851" w:type="dxa"/>
            <w:tcBorders>
              <w:top w:val="single" w:sz="4" w:space="0" w:color="auto"/>
              <w:left w:val="nil"/>
              <w:bottom w:val="single" w:sz="12" w:space="0" w:color="auto"/>
              <w:right w:val="nil"/>
            </w:tcBorders>
          </w:tcPr>
          <w:p w14:paraId="28A9D569"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28.6</w:t>
            </w:r>
          </w:p>
        </w:tc>
      </w:tr>
    </w:tbl>
    <w:p w14:paraId="6963A039" w14:textId="77777777" w:rsidR="00A3021A" w:rsidRPr="00701439" w:rsidRDefault="00A3021A" w:rsidP="00A3021A">
      <w:pPr>
        <w:jc w:val="both"/>
        <w:rPr>
          <w:rFonts w:asciiTheme="minorHAnsi" w:hAnsiTheme="minorHAnsi"/>
          <w:sz w:val="20"/>
          <w:szCs w:val="20"/>
        </w:rPr>
      </w:pPr>
    </w:p>
    <w:p w14:paraId="2E0692C9" w14:textId="77777777" w:rsidR="00A3021A" w:rsidRPr="00701439" w:rsidRDefault="00A3021A" w:rsidP="00A3021A">
      <w:pPr>
        <w:jc w:val="both"/>
        <w:rPr>
          <w:rFonts w:asciiTheme="minorHAnsi" w:hAnsiTheme="minorHAnsi"/>
          <w:sz w:val="20"/>
          <w:szCs w:val="20"/>
        </w:rPr>
      </w:pPr>
    </w:p>
    <w:p w14:paraId="4D39E7F5" w14:textId="77777777" w:rsidR="00A3021A" w:rsidRPr="00701439" w:rsidRDefault="00A3021A" w:rsidP="00A3021A">
      <w:pPr>
        <w:jc w:val="both"/>
        <w:rPr>
          <w:rFonts w:asciiTheme="minorHAnsi" w:hAnsiTheme="minorHAnsi"/>
          <w:sz w:val="20"/>
          <w:szCs w:val="20"/>
        </w:rPr>
      </w:pPr>
    </w:p>
    <w:p w14:paraId="41849206" w14:textId="77777777" w:rsidR="00A3021A" w:rsidRPr="00701439" w:rsidRDefault="00A3021A" w:rsidP="00A3021A">
      <w:pPr>
        <w:jc w:val="both"/>
        <w:rPr>
          <w:rFonts w:asciiTheme="minorHAnsi" w:hAnsiTheme="minorHAnsi"/>
          <w:sz w:val="20"/>
          <w:szCs w:val="20"/>
        </w:rPr>
      </w:pPr>
    </w:p>
    <w:p w14:paraId="15E2B8DD" w14:textId="77777777" w:rsidR="00A3021A" w:rsidRPr="00701439" w:rsidRDefault="00A3021A" w:rsidP="00A3021A">
      <w:pPr>
        <w:jc w:val="both"/>
        <w:rPr>
          <w:rFonts w:asciiTheme="minorHAnsi" w:hAnsiTheme="minorHAnsi"/>
          <w:sz w:val="20"/>
          <w:szCs w:val="20"/>
        </w:rPr>
      </w:pPr>
    </w:p>
    <w:p w14:paraId="35DAB11B" w14:textId="77777777" w:rsidR="00A3021A" w:rsidRPr="00701439" w:rsidRDefault="00A3021A" w:rsidP="00A3021A">
      <w:pPr>
        <w:jc w:val="both"/>
        <w:rPr>
          <w:rFonts w:asciiTheme="minorHAnsi" w:hAnsiTheme="minorHAnsi"/>
          <w:sz w:val="20"/>
          <w:szCs w:val="20"/>
        </w:rPr>
      </w:pPr>
    </w:p>
    <w:p w14:paraId="21C922D7" w14:textId="77777777" w:rsidR="00A3021A" w:rsidRPr="00701439" w:rsidRDefault="00A3021A" w:rsidP="00A3021A">
      <w:pPr>
        <w:jc w:val="both"/>
        <w:rPr>
          <w:rFonts w:asciiTheme="minorHAnsi" w:hAnsiTheme="minorHAnsi"/>
          <w:sz w:val="20"/>
          <w:szCs w:val="20"/>
        </w:rPr>
      </w:pPr>
    </w:p>
    <w:p w14:paraId="3C4A5744" w14:textId="77777777" w:rsidR="00A3021A" w:rsidRPr="00701439" w:rsidRDefault="00A3021A" w:rsidP="00A3021A">
      <w:pPr>
        <w:jc w:val="both"/>
        <w:rPr>
          <w:rFonts w:asciiTheme="minorHAnsi" w:hAnsiTheme="minorHAnsi"/>
          <w:sz w:val="20"/>
          <w:szCs w:val="20"/>
        </w:rPr>
      </w:pPr>
    </w:p>
    <w:p w14:paraId="0B029849" w14:textId="77777777" w:rsidR="00A3021A" w:rsidRPr="00701439" w:rsidRDefault="00A3021A" w:rsidP="00A3021A">
      <w:pPr>
        <w:jc w:val="both"/>
        <w:rPr>
          <w:rFonts w:asciiTheme="minorHAnsi" w:hAnsiTheme="minorHAnsi"/>
          <w:sz w:val="20"/>
          <w:szCs w:val="20"/>
        </w:rPr>
      </w:pPr>
    </w:p>
    <w:p w14:paraId="7D98CE0E" w14:textId="77777777" w:rsidR="00A3021A" w:rsidRPr="00701439" w:rsidRDefault="00A3021A" w:rsidP="00A3021A">
      <w:pPr>
        <w:jc w:val="both"/>
        <w:rPr>
          <w:rFonts w:asciiTheme="minorHAnsi" w:hAnsiTheme="minorHAnsi"/>
          <w:sz w:val="20"/>
          <w:szCs w:val="20"/>
        </w:rPr>
      </w:pPr>
    </w:p>
    <w:p w14:paraId="6A25EF5C" w14:textId="77777777" w:rsidR="00A3021A" w:rsidRPr="00701439" w:rsidRDefault="00A3021A" w:rsidP="00A3021A">
      <w:pPr>
        <w:jc w:val="both"/>
        <w:rPr>
          <w:rFonts w:asciiTheme="minorHAnsi" w:hAnsiTheme="minorHAnsi"/>
          <w:sz w:val="20"/>
          <w:szCs w:val="20"/>
        </w:rPr>
      </w:pPr>
    </w:p>
    <w:p w14:paraId="4C5C9B6D" w14:textId="77777777" w:rsidR="00A3021A" w:rsidRPr="00701439" w:rsidRDefault="00A3021A" w:rsidP="00A3021A">
      <w:pPr>
        <w:jc w:val="both"/>
        <w:rPr>
          <w:rFonts w:asciiTheme="minorHAnsi" w:hAnsiTheme="minorHAnsi"/>
          <w:sz w:val="20"/>
          <w:szCs w:val="20"/>
        </w:rPr>
      </w:pPr>
    </w:p>
    <w:p w14:paraId="17C379DE" w14:textId="77777777" w:rsidR="00A3021A" w:rsidRPr="00701439" w:rsidRDefault="00A3021A" w:rsidP="00A3021A">
      <w:pPr>
        <w:jc w:val="both"/>
        <w:rPr>
          <w:rFonts w:asciiTheme="minorHAnsi" w:hAnsiTheme="minorHAnsi"/>
          <w:sz w:val="20"/>
          <w:szCs w:val="20"/>
        </w:rPr>
      </w:pPr>
    </w:p>
    <w:p w14:paraId="41270840" w14:textId="77777777" w:rsidR="00A3021A" w:rsidRPr="00701439" w:rsidRDefault="00A3021A" w:rsidP="00A3021A">
      <w:pPr>
        <w:jc w:val="both"/>
        <w:rPr>
          <w:rFonts w:asciiTheme="minorHAnsi" w:hAnsiTheme="minorHAnsi"/>
          <w:sz w:val="20"/>
          <w:szCs w:val="20"/>
        </w:rPr>
      </w:pPr>
    </w:p>
    <w:p w14:paraId="1174477C" w14:textId="77777777" w:rsidR="00A3021A" w:rsidRPr="00701439" w:rsidRDefault="00A3021A" w:rsidP="00A3021A">
      <w:pPr>
        <w:jc w:val="both"/>
        <w:rPr>
          <w:rStyle w:val="bodycopynumber"/>
          <w:rFonts w:asciiTheme="minorHAnsi" w:hAnsiTheme="minorHAnsi" w:cs="Arial"/>
          <w:b/>
          <w:sz w:val="20"/>
          <w:szCs w:val="20"/>
        </w:rPr>
      </w:pPr>
    </w:p>
    <w:p w14:paraId="34E7176B" w14:textId="77777777" w:rsidR="00A3021A" w:rsidRPr="00701439" w:rsidRDefault="00A3021A" w:rsidP="00A3021A">
      <w:pPr>
        <w:jc w:val="both"/>
        <w:rPr>
          <w:rStyle w:val="bodycopynumber"/>
          <w:rFonts w:asciiTheme="minorHAnsi" w:hAnsiTheme="minorHAnsi" w:cs="Arial"/>
          <w:b/>
          <w:color w:val="4747FF"/>
          <w:sz w:val="22"/>
          <w:szCs w:val="22"/>
        </w:rPr>
      </w:pPr>
      <w:r w:rsidRPr="00701439">
        <w:rPr>
          <w:rStyle w:val="bodycopynumber"/>
          <w:rFonts w:asciiTheme="minorHAnsi" w:hAnsiTheme="minorHAnsi" w:cs="Arial"/>
          <w:b/>
          <w:color w:val="4747FF"/>
          <w:sz w:val="22"/>
          <w:szCs w:val="22"/>
        </w:rPr>
        <w:lastRenderedPageBreak/>
        <w:t>5.</w:t>
      </w:r>
      <w:r w:rsidRPr="00701439">
        <w:rPr>
          <w:rStyle w:val="bodycopynumber"/>
          <w:rFonts w:asciiTheme="minorHAnsi" w:hAnsiTheme="minorHAnsi" w:cs="Arial"/>
          <w:b/>
          <w:color w:val="4747FF"/>
          <w:sz w:val="22"/>
          <w:szCs w:val="22"/>
        </w:rPr>
        <w:tab/>
        <w:t>Tax charge (continued)</w:t>
      </w:r>
    </w:p>
    <w:p w14:paraId="207A46A1" w14:textId="77777777" w:rsidR="00A3021A" w:rsidRPr="00701439" w:rsidRDefault="00A3021A" w:rsidP="00A3021A">
      <w:pPr>
        <w:jc w:val="both"/>
        <w:rPr>
          <w:rFonts w:asciiTheme="minorHAnsi" w:hAnsiTheme="minorHAnsi" w:cs="Arial"/>
          <w:b/>
          <w:sz w:val="20"/>
          <w:szCs w:val="20"/>
        </w:rPr>
      </w:pPr>
    </w:p>
    <w:p w14:paraId="0DF45167" w14:textId="77777777" w:rsidR="00A3021A" w:rsidRPr="00701439" w:rsidRDefault="00A3021A" w:rsidP="00A3021A">
      <w:pPr>
        <w:jc w:val="both"/>
        <w:rPr>
          <w:rFonts w:asciiTheme="minorHAnsi" w:hAnsiTheme="minorHAnsi"/>
          <w:b/>
          <w:sz w:val="20"/>
          <w:szCs w:val="20"/>
        </w:rPr>
      </w:pPr>
      <w:r w:rsidRPr="00701439">
        <w:rPr>
          <w:rFonts w:asciiTheme="minorHAnsi" w:hAnsiTheme="minorHAnsi"/>
          <w:b/>
          <w:sz w:val="20"/>
          <w:szCs w:val="20"/>
        </w:rPr>
        <w:t>(a) Impact of change of UK tax rate</w:t>
      </w:r>
    </w:p>
    <w:p w14:paraId="70E397C2" w14:textId="77777777" w:rsidR="00A3021A" w:rsidRPr="00701439" w:rsidRDefault="00A3021A" w:rsidP="00A3021A">
      <w:pPr>
        <w:pStyle w:val="Pa14"/>
        <w:spacing w:after="100"/>
        <w:jc w:val="both"/>
        <w:rPr>
          <w:rFonts w:asciiTheme="minorHAnsi" w:hAnsiTheme="minorHAnsi" w:cs="Poppins Light"/>
          <w:color w:val="000000"/>
          <w:sz w:val="20"/>
          <w:szCs w:val="20"/>
        </w:rPr>
      </w:pPr>
      <w:r w:rsidRPr="00701439">
        <w:rPr>
          <w:rFonts w:asciiTheme="minorHAnsi" w:hAnsiTheme="minorHAnsi" w:cs="Poppins Light"/>
          <w:color w:val="000000"/>
          <w:sz w:val="20"/>
          <w:szCs w:val="20"/>
        </w:rPr>
        <w:t xml:space="preserve">In 2021, changes were enacted to increase the mainstream corporation tax rate from 19% to 25% with effect from 1 April 2023. </w:t>
      </w:r>
      <w:proofErr w:type="gramStart"/>
      <w:r w:rsidRPr="00701439">
        <w:rPr>
          <w:rFonts w:asciiTheme="minorHAnsi" w:hAnsiTheme="minorHAnsi" w:cs="Poppins Light"/>
          <w:color w:val="000000"/>
          <w:sz w:val="20"/>
          <w:szCs w:val="20"/>
        </w:rPr>
        <w:t>At</w:t>
      </w:r>
      <w:proofErr w:type="gramEnd"/>
      <w:r w:rsidRPr="00701439">
        <w:rPr>
          <w:rFonts w:asciiTheme="minorHAnsi" w:hAnsiTheme="minorHAnsi" w:cs="Poppins Light"/>
          <w:color w:val="000000"/>
          <w:sz w:val="20"/>
          <w:szCs w:val="20"/>
        </w:rPr>
        <w:t xml:space="preserve"> 31 December 2021, deferred tax balances were remeasured at 25%, and in the case of credit cards and loans, at the combined mainstream corporation tax rate (25%) and bank corporation tax surcharge rate (8%) of 33% to the extent that the temporary differences on which deferred tax had been calculated were expected to reverse, or the tax loss was expected to be utilised, after 1 April 2023. </w:t>
      </w:r>
    </w:p>
    <w:p w14:paraId="6641E848" w14:textId="77777777" w:rsidR="00A3021A" w:rsidRPr="00701439" w:rsidRDefault="00A3021A" w:rsidP="00A3021A">
      <w:pPr>
        <w:pStyle w:val="Pa14"/>
        <w:spacing w:after="100"/>
        <w:jc w:val="both"/>
        <w:rPr>
          <w:rFonts w:asciiTheme="minorHAnsi" w:hAnsiTheme="minorHAnsi" w:cs="Poppins Light"/>
          <w:color w:val="000000"/>
          <w:sz w:val="20"/>
          <w:szCs w:val="20"/>
        </w:rPr>
      </w:pPr>
      <w:r w:rsidRPr="00701439">
        <w:rPr>
          <w:rFonts w:asciiTheme="minorHAnsi" w:hAnsiTheme="minorHAnsi" w:cs="Poppins Light"/>
          <w:color w:val="000000"/>
          <w:sz w:val="20"/>
          <w:szCs w:val="20"/>
        </w:rPr>
        <w:t xml:space="preserve">In 2022, further changes were enacted which, with effect from 1 April 2023, reduce the bank corporation tax surcharge rate from 8% to 3% and increase the bank corporation tax surcharge allowance, being </w:t>
      </w:r>
      <w:proofErr w:type="gramStart"/>
      <w:r w:rsidRPr="00701439">
        <w:rPr>
          <w:rFonts w:asciiTheme="minorHAnsi" w:hAnsiTheme="minorHAnsi" w:cs="Poppins Light"/>
          <w:color w:val="000000"/>
          <w:sz w:val="20"/>
          <w:szCs w:val="20"/>
        </w:rPr>
        <w:t>the threshold</w:t>
      </w:r>
      <w:proofErr w:type="gramEnd"/>
      <w:r w:rsidRPr="00701439">
        <w:rPr>
          <w:rFonts w:asciiTheme="minorHAnsi" w:hAnsiTheme="minorHAnsi" w:cs="Poppins Light"/>
          <w:color w:val="000000"/>
          <w:sz w:val="20"/>
          <w:szCs w:val="20"/>
        </w:rPr>
        <w:t xml:space="preserve"> below which banking profits are not subject to the surcharge, from £25m to £100m. </w:t>
      </w:r>
    </w:p>
    <w:p w14:paraId="09790746" w14:textId="77777777" w:rsidR="00A3021A" w:rsidRPr="00701439" w:rsidRDefault="00A3021A" w:rsidP="00A3021A">
      <w:pPr>
        <w:pStyle w:val="Pa14"/>
        <w:spacing w:after="100"/>
        <w:jc w:val="both"/>
        <w:rPr>
          <w:rFonts w:asciiTheme="minorHAnsi" w:hAnsiTheme="minorHAnsi" w:cs="Poppins Light"/>
          <w:color w:val="000000"/>
          <w:sz w:val="20"/>
          <w:szCs w:val="20"/>
        </w:rPr>
      </w:pPr>
      <w:r w:rsidRPr="00701439">
        <w:rPr>
          <w:rFonts w:asciiTheme="minorHAnsi" w:hAnsiTheme="minorHAnsi" w:cs="Poppins Light"/>
          <w:color w:val="000000"/>
          <w:sz w:val="20"/>
          <w:szCs w:val="20"/>
        </w:rPr>
        <w:t xml:space="preserve">To the extent the temporary differences on which deferred tax has been calculated are expected to reverse after 1 April 2023, deferred tax balances at 31 December 2022 and movements in deferred tax balances during the year have therefore been measured at 25% (2021: 25%) and, in the case of credit cards and personal loans, at the combined mainstream corporation tax rate (25%) and bank corporation tax surcharge rate (3%) of 28% (2021: 33%) except to the extent the temporary differences reverse when profits from credit cards and personal loans are expected to be below the bank surcharge threshold, in which case deferred tax balances have been measured at the combined rate of 25% (2021: 33%). </w:t>
      </w:r>
    </w:p>
    <w:p w14:paraId="0318B83D" w14:textId="77777777" w:rsidR="00A3021A" w:rsidRPr="00701439" w:rsidRDefault="00A3021A" w:rsidP="00A3021A">
      <w:pPr>
        <w:pStyle w:val="Pa14"/>
        <w:spacing w:after="100"/>
        <w:jc w:val="both"/>
        <w:rPr>
          <w:rFonts w:asciiTheme="minorHAnsi" w:hAnsiTheme="minorHAnsi" w:cs="Poppins Light"/>
          <w:color w:val="000000"/>
          <w:sz w:val="20"/>
          <w:szCs w:val="20"/>
        </w:rPr>
      </w:pPr>
      <w:r w:rsidRPr="00701439">
        <w:rPr>
          <w:rFonts w:asciiTheme="minorHAnsi" w:hAnsiTheme="minorHAnsi" w:cs="Poppins Light"/>
          <w:color w:val="000000"/>
          <w:sz w:val="20"/>
          <w:szCs w:val="20"/>
        </w:rPr>
        <w:t xml:space="preserve">A tax charge of £3.2m (2021: credit of £5.0m) represents the income statement adjustment to deferred tax </w:t>
      </w:r>
      <w:proofErr w:type="gramStart"/>
      <w:r w:rsidRPr="00701439">
        <w:rPr>
          <w:rFonts w:asciiTheme="minorHAnsi" w:hAnsiTheme="minorHAnsi" w:cs="Poppins Light"/>
          <w:color w:val="000000"/>
          <w:sz w:val="20"/>
          <w:szCs w:val="20"/>
        </w:rPr>
        <w:t>as a result of</w:t>
      </w:r>
      <w:proofErr w:type="gramEnd"/>
      <w:r w:rsidRPr="00701439">
        <w:rPr>
          <w:rFonts w:asciiTheme="minorHAnsi" w:hAnsiTheme="minorHAnsi" w:cs="Poppins Light"/>
          <w:color w:val="000000"/>
          <w:sz w:val="20"/>
          <w:szCs w:val="20"/>
        </w:rPr>
        <w:t xml:space="preserve"> these changes and an additional deferred tax credit of £5.0m (2021: charge of £6.4m) has been taken directly to other comprehensive income in respect of items reflected in other comprehensive income. Of the tax charge of £3.2m (2021: credit of £5.0m) taken to the income statement, £3.2m (2021: £5.0m) relates to continuing operations and £nil (2021: £nil) to discontinued operations. </w:t>
      </w:r>
    </w:p>
    <w:p w14:paraId="6660AB4A" w14:textId="77777777" w:rsidR="00A3021A" w:rsidRPr="00701439" w:rsidRDefault="00A3021A" w:rsidP="00A3021A">
      <w:pPr>
        <w:pStyle w:val="Pa14"/>
        <w:spacing w:after="100"/>
        <w:jc w:val="both"/>
        <w:rPr>
          <w:rFonts w:asciiTheme="minorHAnsi" w:hAnsiTheme="minorHAnsi" w:cs="Poppins Light"/>
          <w:color w:val="000000"/>
          <w:sz w:val="20"/>
          <w:szCs w:val="20"/>
        </w:rPr>
      </w:pPr>
      <w:r w:rsidRPr="00701439">
        <w:rPr>
          <w:rFonts w:asciiTheme="minorHAnsi" w:hAnsiTheme="minorHAnsi" w:cs="Poppins Light"/>
          <w:color w:val="000000"/>
          <w:sz w:val="20"/>
          <w:szCs w:val="20"/>
        </w:rPr>
        <w:t xml:space="preserve">There was a £nil impact in 2022 (2021: £nil) on discontinued operations from the change in tax rates as no deferred tax balances were recognised in discontinued operations </w:t>
      </w:r>
      <w:proofErr w:type="gramStart"/>
      <w:r w:rsidRPr="00701439">
        <w:rPr>
          <w:rFonts w:asciiTheme="minorHAnsi" w:hAnsiTheme="minorHAnsi" w:cs="Poppins Light"/>
          <w:color w:val="000000"/>
          <w:sz w:val="20"/>
          <w:szCs w:val="20"/>
        </w:rPr>
        <w:t>at</w:t>
      </w:r>
      <w:proofErr w:type="gramEnd"/>
      <w:r w:rsidRPr="00701439">
        <w:rPr>
          <w:rFonts w:asciiTheme="minorHAnsi" w:hAnsiTheme="minorHAnsi" w:cs="Poppins Light"/>
          <w:color w:val="000000"/>
          <w:sz w:val="20"/>
          <w:szCs w:val="20"/>
        </w:rPr>
        <w:t xml:space="preserve"> 31 December 2022 (2021: £nil).</w:t>
      </w:r>
    </w:p>
    <w:p w14:paraId="25981964" w14:textId="77777777" w:rsidR="00A3021A" w:rsidRPr="00701439" w:rsidRDefault="00A3021A" w:rsidP="00A3021A">
      <w:pPr>
        <w:jc w:val="both"/>
        <w:rPr>
          <w:rFonts w:asciiTheme="minorHAnsi" w:hAnsiTheme="minorHAnsi"/>
          <w:b/>
          <w:sz w:val="20"/>
          <w:szCs w:val="20"/>
        </w:rPr>
      </w:pPr>
      <w:r w:rsidRPr="00701439">
        <w:rPr>
          <w:rFonts w:asciiTheme="minorHAnsi" w:hAnsiTheme="minorHAnsi"/>
          <w:b/>
          <w:sz w:val="20"/>
          <w:szCs w:val="20"/>
        </w:rPr>
        <w:t>(b) Impact of bank corporation tax surcharge</w:t>
      </w:r>
    </w:p>
    <w:p w14:paraId="5712E433" w14:textId="77777777" w:rsidR="00A3021A" w:rsidRPr="00701439" w:rsidRDefault="00A3021A" w:rsidP="00A3021A">
      <w:pPr>
        <w:pStyle w:val="Pa14"/>
        <w:spacing w:after="100"/>
        <w:jc w:val="both"/>
        <w:rPr>
          <w:rFonts w:asciiTheme="minorHAnsi" w:hAnsiTheme="minorHAnsi" w:cs="Poppins Light"/>
          <w:color w:val="000000"/>
          <w:sz w:val="20"/>
          <w:szCs w:val="20"/>
        </w:rPr>
      </w:pPr>
      <w:r w:rsidRPr="00701439">
        <w:rPr>
          <w:rFonts w:asciiTheme="minorHAnsi" w:hAnsiTheme="minorHAnsi" w:cs="Poppins Light"/>
          <w:color w:val="000000"/>
          <w:sz w:val="20"/>
          <w:szCs w:val="20"/>
        </w:rPr>
        <w:t xml:space="preserve">The adverse impact of the bank corporation tax surcharge amounts to £8.4m (2021: £12.2m) and represents tax at the bank corporation tax surcharge rate of 8% on credit cards and personal loans taxable profits </w:t>
      </w:r>
      <w:proofErr w:type="gramStart"/>
      <w:r w:rsidRPr="00701439">
        <w:rPr>
          <w:rFonts w:asciiTheme="minorHAnsi" w:hAnsiTheme="minorHAnsi" w:cs="Poppins Light"/>
          <w:color w:val="000000"/>
          <w:sz w:val="20"/>
          <w:szCs w:val="20"/>
        </w:rPr>
        <w:t>in excess of</w:t>
      </w:r>
      <w:proofErr w:type="gramEnd"/>
      <w:r w:rsidRPr="00701439">
        <w:rPr>
          <w:rFonts w:asciiTheme="minorHAnsi" w:hAnsiTheme="minorHAnsi" w:cs="Poppins Light"/>
          <w:color w:val="000000"/>
          <w:sz w:val="20"/>
          <w:szCs w:val="20"/>
        </w:rPr>
        <w:t xml:space="preserve"> £25m where taxable profits are calculated ignoring the benefit of losses elsewhere in the Group, including capital losses. </w:t>
      </w:r>
    </w:p>
    <w:p w14:paraId="0AC94E53" w14:textId="77777777" w:rsidR="00A3021A" w:rsidRPr="00701439" w:rsidRDefault="00A3021A" w:rsidP="00A3021A">
      <w:pPr>
        <w:pStyle w:val="Pa14"/>
        <w:spacing w:after="100"/>
        <w:jc w:val="both"/>
        <w:rPr>
          <w:rFonts w:asciiTheme="minorHAnsi" w:hAnsiTheme="minorHAnsi" w:cs="Poppins Light"/>
          <w:color w:val="000000"/>
          <w:sz w:val="20"/>
          <w:szCs w:val="20"/>
        </w:rPr>
      </w:pPr>
      <w:r w:rsidRPr="00701439">
        <w:rPr>
          <w:rFonts w:asciiTheme="minorHAnsi" w:hAnsiTheme="minorHAnsi" w:cs="Poppins Light"/>
          <w:color w:val="000000"/>
          <w:sz w:val="20"/>
          <w:szCs w:val="20"/>
        </w:rPr>
        <w:t>The only entity subject to bank corporation tax surcharge in the Group is Vanquis Bank Limited which sits within continuing operations.</w:t>
      </w:r>
    </w:p>
    <w:p w14:paraId="67CE78CD" w14:textId="77777777" w:rsidR="00A3021A" w:rsidRPr="00701439" w:rsidRDefault="00A3021A" w:rsidP="00A3021A">
      <w:pPr>
        <w:jc w:val="both"/>
        <w:rPr>
          <w:rFonts w:asciiTheme="minorHAnsi" w:hAnsiTheme="minorHAnsi"/>
          <w:b/>
          <w:sz w:val="20"/>
          <w:szCs w:val="20"/>
        </w:rPr>
      </w:pPr>
      <w:r w:rsidRPr="00701439">
        <w:rPr>
          <w:rFonts w:asciiTheme="minorHAnsi" w:hAnsiTheme="minorHAnsi"/>
          <w:b/>
          <w:sz w:val="20"/>
          <w:szCs w:val="20"/>
        </w:rPr>
        <w:t xml:space="preserve">(c) Impact of lower tax rates and losses overseas </w:t>
      </w:r>
    </w:p>
    <w:p w14:paraId="76FD4894" w14:textId="77777777" w:rsidR="00A3021A" w:rsidRPr="00701439" w:rsidRDefault="00A3021A" w:rsidP="00A3021A">
      <w:pPr>
        <w:pStyle w:val="Pa14"/>
        <w:spacing w:after="100"/>
        <w:jc w:val="both"/>
        <w:rPr>
          <w:rFonts w:asciiTheme="minorHAnsi" w:hAnsiTheme="minorHAnsi" w:cs="Poppins Light"/>
          <w:color w:val="000000"/>
          <w:sz w:val="20"/>
          <w:szCs w:val="20"/>
        </w:rPr>
      </w:pPr>
      <w:r w:rsidRPr="00701439">
        <w:rPr>
          <w:rFonts w:asciiTheme="minorHAnsi" w:hAnsiTheme="minorHAnsi" w:cs="Poppins Light"/>
          <w:color w:val="000000"/>
          <w:sz w:val="20"/>
          <w:szCs w:val="20"/>
        </w:rPr>
        <w:t xml:space="preserve">Prior to its closure in 2021, the home credit business in the Republic of Ireland was subject to tax at the Republic of Ireland statutory tax rate of 12.5% rather than the UK statutory mainstream corporation tax rate of 19.0%. In 2021, the home credit business in the Republic of Ireland made a loss which can only be relieved against future profits of the business in the Republic of Ireland at the 12.5% statutory rate rather than the 19.0% UK statutory tax rate. </w:t>
      </w:r>
      <w:proofErr w:type="gramStart"/>
      <w:r w:rsidRPr="00701439">
        <w:rPr>
          <w:rFonts w:asciiTheme="minorHAnsi" w:hAnsiTheme="minorHAnsi" w:cs="Poppins Light"/>
          <w:color w:val="000000"/>
          <w:sz w:val="20"/>
          <w:szCs w:val="20"/>
        </w:rPr>
        <w:t>In light of</w:t>
      </w:r>
      <w:proofErr w:type="gramEnd"/>
      <w:r w:rsidRPr="00701439">
        <w:rPr>
          <w:rFonts w:asciiTheme="minorHAnsi" w:hAnsiTheme="minorHAnsi" w:cs="Poppins Light"/>
          <w:color w:val="000000"/>
          <w:sz w:val="20"/>
          <w:szCs w:val="20"/>
        </w:rPr>
        <w:t xml:space="preserve"> the closure of the business, no deferred tax asset was recognised in respect of this loss giving rise to a total adverse impact on the Group tax charge of £3.5m, all of which relates to discontinued operations. </w:t>
      </w:r>
    </w:p>
    <w:p w14:paraId="6DD65C7C" w14:textId="77777777" w:rsidR="00A3021A" w:rsidRPr="00701439" w:rsidRDefault="00A3021A" w:rsidP="00A3021A">
      <w:pPr>
        <w:pStyle w:val="Pa14"/>
        <w:spacing w:after="100"/>
        <w:jc w:val="both"/>
        <w:rPr>
          <w:rFonts w:asciiTheme="minorHAnsi" w:hAnsiTheme="minorHAnsi" w:cs="Poppins Light"/>
          <w:color w:val="000000"/>
          <w:sz w:val="20"/>
          <w:szCs w:val="20"/>
        </w:rPr>
      </w:pPr>
      <w:r w:rsidRPr="00701439">
        <w:rPr>
          <w:rFonts w:asciiTheme="minorHAnsi" w:hAnsiTheme="minorHAnsi" w:cs="Poppins Light"/>
          <w:color w:val="000000"/>
          <w:sz w:val="20"/>
          <w:szCs w:val="20"/>
        </w:rPr>
        <w:t>In 2022, no tax liability arises on the release of various provisions and accruals following the closure of the Irish business giving a favourable impact on the tax charge of £0.2m (2021: adverse impact of £3.5m), all of which relates to discontinued operations.</w:t>
      </w:r>
    </w:p>
    <w:p w14:paraId="53A6F1AA" w14:textId="77777777" w:rsidR="00A3021A" w:rsidRPr="00701439" w:rsidRDefault="00A3021A" w:rsidP="00A3021A">
      <w:pPr>
        <w:jc w:val="both"/>
        <w:rPr>
          <w:rFonts w:asciiTheme="minorHAnsi" w:hAnsiTheme="minorHAnsi"/>
          <w:b/>
          <w:sz w:val="20"/>
          <w:szCs w:val="20"/>
        </w:rPr>
      </w:pPr>
      <w:r w:rsidRPr="00701439">
        <w:rPr>
          <w:rFonts w:asciiTheme="minorHAnsi" w:hAnsiTheme="minorHAnsi"/>
          <w:b/>
          <w:sz w:val="20"/>
          <w:szCs w:val="20"/>
        </w:rPr>
        <w:t xml:space="preserve">(d) Write </w:t>
      </w:r>
      <w:proofErr w:type="gramStart"/>
      <w:r w:rsidRPr="00701439">
        <w:rPr>
          <w:rFonts w:asciiTheme="minorHAnsi" w:hAnsiTheme="minorHAnsi"/>
          <w:b/>
          <w:sz w:val="20"/>
          <w:szCs w:val="20"/>
        </w:rPr>
        <w:t>off of</w:t>
      </w:r>
      <w:proofErr w:type="gramEnd"/>
      <w:r w:rsidRPr="00701439">
        <w:rPr>
          <w:rFonts w:asciiTheme="minorHAnsi" w:hAnsiTheme="minorHAnsi"/>
          <w:b/>
          <w:sz w:val="20"/>
          <w:szCs w:val="20"/>
        </w:rPr>
        <w:t xml:space="preserve"> deferred tax assets</w:t>
      </w:r>
    </w:p>
    <w:p w14:paraId="4691E0E5" w14:textId="77777777" w:rsidR="00A3021A" w:rsidRPr="00701439" w:rsidRDefault="00A3021A" w:rsidP="00A3021A">
      <w:pPr>
        <w:pStyle w:val="Pa14"/>
        <w:spacing w:after="100"/>
        <w:jc w:val="both"/>
        <w:rPr>
          <w:rFonts w:asciiTheme="minorHAnsi" w:hAnsiTheme="minorHAnsi" w:cs="Poppins Light"/>
          <w:color w:val="000000"/>
          <w:sz w:val="20"/>
          <w:szCs w:val="20"/>
        </w:rPr>
      </w:pPr>
      <w:r w:rsidRPr="00701439">
        <w:rPr>
          <w:rFonts w:asciiTheme="minorHAnsi" w:hAnsiTheme="minorHAnsi" w:cs="Poppins Light"/>
          <w:color w:val="000000"/>
          <w:sz w:val="20"/>
          <w:szCs w:val="20"/>
        </w:rPr>
        <w:t xml:space="preserve">In 2021 deferred tax assets written off comprised: (a) £23.6m of deferred tax assets related to discontinued operations for which future tax relief was considered unlikely to be available following the closure of the business; net of (b) a deferred tax credit of £0.5m related to the deferred tax asset in respect of share scheme awards which had previously been written off on the basis that future deductions were expected to be lower than previously anticipated. Of the £0.5m deferred tax credit, £0.3m related to continuing operations and £0.2m related to discontinued operations. The £23.6m deferred tax assets related to discontinued operations which were written off in 2021, related to tax losses carried forward and other temporary differences for which, following the closure of the business, it was considered unlikely that future tax relief would be available. </w:t>
      </w:r>
    </w:p>
    <w:p w14:paraId="656D9EBC" w14:textId="77777777" w:rsidR="00A3021A" w:rsidRPr="00701439" w:rsidRDefault="00A3021A" w:rsidP="00A3021A">
      <w:pPr>
        <w:pStyle w:val="Pa14"/>
        <w:spacing w:after="100"/>
        <w:jc w:val="both"/>
        <w:rPr>
          <w:rFonts w:asciiTheme="minorHAnsi" w:hAnsiTheme="minorHAnsi" w:cs="Poppins Light"/>
          <w:color w:val="000000"/>
          <w:sz w:val="20"/>
          <w:szCs w:val="20"/>
        </w:rPr>
      </w:pPr>
      <w:r w:rsidRPr="00701439">
        <w:rPr>
          <w:rFonts w:asciiTheme="minorHAnsi" w:hAnsiTheme="minorHAnsi" w:cs="Poppins Light"/>
          <w:color w:val="000000"/>
          <w:sz w:val="20"/>
          <w:szCs w:val="20"/>
        </w:rPr>
        <w:t>In 2022, the tax charge in respect of deferred tax assets written off amounts to £0.2m and relates to share scheme awards where future deductions are expected to be lower than previously anticipated. It relates entirely to continuing operations.</w:t>
      </w:r>
    </w:p>
    <w:p w14:paraId="396F8191" w14:textId="77777777" w:rsidR="00A3021A" w:rsidRPr="00701439" w:rsidRDefault="00A3021A" w:rsidP="00A3021A">
      <w:pPr>
        <w:jc w:val="both"/>
        <w:rPr>
          <w:rFonts w:asciiTheme="minorHAnsi" w:hAnsiTheme="minorHAnsi"/>
          <w:sz w:val="20"/>
          <w:szCs w:val="20"/>
        </w:rPr>
      </w:pPr>
    </w:p>
    <w:p w14:paraId="05CA6767" w14:textId="77777777" w:rsidR="00A3021A" w:rsidRPr="00701439" w:rsidRDefault="00A3021A" w:rsidP="00A3021A">
      <w:pPr>
        <w:jc w:val="both"/>
        <w:rPr>
          <w:rFonts w:asciiTheme="minorHAnsi" w:hAnsiTheme="minorHAnsi" w:cs="Arial"/>
          <w:b/>
          <w:color w:val="4747FF"/>
          <w:sz w:val="22"/>
          <w:szCs w:val="22"/>
        </w:rPr>
      </w:pPr>
      <w:r w:rsidRPr="00701439">
        <w:rPr>
          <w:rStyle w:val="bodycopynumber"/>
          <w:rFonts w:asciiTheme="minorHAnsi" w:hAnsiTheme="minorHAnsi" w:cs="Arial"/>
          <w:b/>
          <w:color w:val="4747FF"/>
          <w:sz w:val="22"/>
          <w:szCs w:val="22"/>
        </w:rPr>
        <w:lastRenderedPageBreak/>
        <w:t>5.</w:t>
      </w:r>
      <w:r w:rsidRPr="00701439">
        <w:rPr>
          <w:rStyle w:val="bodycopynumber"/>
          <w:rFonts w:asciiTheme="minorHAnsi" w:hAnsiTheme="minorHAnsi" w:cs="Arial"/>
          <w:b/>
          <w:color w:val="4747FF"/>
          <w:sz w:val="22"/>
          <w:szCs w:val="22"/>
        </w:rPr>
        <w:tab/>
        <w:t>Tax charge (continued)</w:t>
      </w:r>
    </w:p>
    <w:p w14:paraId="40ED9816" w14:textId="77777777" w:rsidR="00A3021A" w:rsidRPr="00701439" w:rsidRDefault="00A3021A" w:rsidP="00A3021A">
      <w:pPr>
        <w:jc w:val="both"/>
        <w:rPr>
          <w:rFonts w:asciiTheme="minorHAnsi" w:hAnsiTheme="minorHAnsi"/>
          <w:sz w:val="20"/>
          <w:szCs w:val="20"/>
        </w:rPr>
      </w:pPr>
    </w:p>
    <w:p w14:paraId="75F04A46" w14:textId="77777777" w:rsidR="00A3021A" w:rsidRPr="00701439" w:rsidRDefault="00A3021A" w:rsidP="00A3021A">
      <w:pPr>
        <w:jc w:val="both"/>
        <w:rPr>
          <w:rFonts w:asciiTheme="minorHAnsi" w:hAnsiTheme="minorHAnsi"/>
          <w:b/>
          <w:sz w:val="20"/>
          <w:szCs w:val="20"/>
        </w:rPr>
      </w:pPr>
      <w:r w:rsidRPr="00701439">
        <w:rPr>
          <w:rFonts w:asciiTheme="minorHAnsi" w:hAnsiTheme="minorHAnsi"/>
          <w:b/>
          <w:sz w:val="20"/>
          <w:szCs w:val="20"/>
        </w:rPr>
        <w:t>(e) Adjustments in respect of prior years</w:t>
      </w:r>
    </w:p>
    <w:p w14:paraId="1E5E47CF" w14:textId="77777777" w:rsidR="00A3021A" w:rsidRPr="00701439" w:rsidRDefault="00A3021A" w:rsidP="00A3021A">
      <w:pPr>
        <w:pStyle w:val="Pa14"/>
        <w:spacing w:after="100"/>
        <w:jc w:val="both"/>
        <w:rPr>
          <w:rFonts w:asciiTheme="minorHAnsi" w:hAnsiTheme="minorHAnsi" w:cs="Poppins Light"/>
          <w:color w:val="000000"/>
          <w:sz w:val="20"/>
          <w:szCs w:val="20"/>
        </w:rPr>
      </w:pPr>
      <w:r w:rsidRPr="00701439">
        <w:rPr>
          <w:rFonts w:asciiTheme="minorHAnsi" w:hAnsiTheme="minorHAnsi" w:cs="Poppins Light"/>
          <w:color w:val="000000"/>
          <w:sz w:val="20"/>
          <w:szCs w:val="20"/>
        </w:rPr>
        <w:t xml:space="preserve">The tax credit of £9.7m in respect of prior years (2021: tax charge of £1.0m) comprises: (a) a net release of tax liabilities in respect of prior years of continuing operations of £3.6m following agreement of certain historical tax matters with HMRC; (b) a £7.5m reinstatement of deferred tax assets in respect of certain losses and temporary differences of discontinued operations which were written off in 2021 but for which tax relief is considered to be available in 2022; and (c) a £1.4m tax charge in respect of a reduction in tax losses of the discontinued operations available for group relief in prior years. </w:t>
      </w:r>
    </w:p>
    <w:p w14:paraId="21F584BA" w14:textId="77777777" w:rsidR="00A3021A" w:rsidRPr="00701439" w:rsidRDefault="00A3021A" w:rsidP="00A3021A">
      <w:pPr>
        <w:pStyle w:val="Pa14"/>
        <w:spacing w:after="100"/>
        <w:jc w:val="both"/>
        <w:rPr>
          <w:rFonts w:asciiTheme="minorHAnsi" w:hAnsiTheme="minorHAnsi" w:cs="Poppins Light"/>
          <w:color w:val="000000"/>
          <w:sz w:val="20"/>
          <w:szCs w:val="20"/>
        </w:rPr>
      </w:pPr>
      <w:r w:rsidRPr="00701439">
        <w:rPr>
          <w:rFonts w:asciiTheme="minorHAnsi" w:hAnsiTheme="minorHAnsi" w:cs="Poppins Light"/>
          <w:color w:val="000000"/>
          <w:sz w:val="20"/>
          <w:szCs w:val="20"/>
        </w:rPr>
        <w:t xml:space="preserve">In 2021, the £1.0m tax charge in respect of prior </w:t>
      </w:r>
      <w:proofErr w:type="spellStart"/>
      <w:r w:rsidRPr="00701439">
        <w:rPr>
          <w:rFonts w:asciiTheme="minorHAnsi" w:hAnsiTheme="minorHAnsi" w:cs="Poppins Light"/>
          <w:color w:val="000000"/>
          <w:sz w:val="20"/>
          <w:szCs w:val="20"/>
        </w:rPr>
        <w:t>years</w:t>
      </w:r>
      <w:proofErr w:type="spellEnd"/>
      <w:r w:rsidRPr="00701439">
        <w:rPr>
          <w:rFonts w:asciiTheme="minorHAnsi" w:hAnsiTheme="minorHAnsi" w:cs="Poppins Light"/>
          <w:color w:val="000000"/>
          <w:sz w:val="20"/>
          <w:szCs w:val="20"/>
        </w:rPr>
        <w:t xml:space="preserve"> primarily comprised adjustments related to prior year deferred tax on share scheme awards and the impact of resolving historical tax liabilities, of which £0.5m related to discontinued operations and £0.5m related to continuing operations.</w:t>
      </w:r>
    </w:p>
    <w:p w14:paraId="62F193B5" w14:textId="77777777" w:rsidR="00A3021A" w:rsidRPr="00701439" w:rsidRDefault="00A3021A" w:rsidP="00A3021A">
      <w:pPr>
        <w:jc w:val="both"/>
        <w:rPr>
          <w:rFonts w:asciiTheme="minorHAnsi" w:hAnsiTheme="minorHAnsi"/>
          <w:b/>
          <w:sz w:val="20"/>
          <w:szCs w:val="20"/>
        </w:rPr>
      </w:pPr>
      <w:r w:rsidRPr="00701439">
        <w:rPr>
          <w:rFonts w:asciiTheme="minorHAnsi" w:hAnsiTheme="minorHAnsi"/>
          <w:b/>
          <w:sz w:val="20"/>
          <w:szCs w:val="20"/>
        </w:rPr>
        <w:t>(f) Prior year adjustments related to transfer pricing and losses</w:t>
      </w:r>
    </w:p>
    <w:p w14:paraId="68BC732C" w14:textId="77777777" w:rsidR="00A3021A" w:rsidRPr="00701439" w:rsidRDefault="00A3021A" w:rsidP="00A3021A">
      <w:pPr>
        <w:jc w:val="both"/>
      </w:pPr>
      <w:r w:rsidRPr="00701439">
        <w:rPr>
          <w:rFonts w:asciiTheme="minorHAnsi" w:hAnsiTheme="minorHAnsi" w:cs="Poppins Light"/>
          <w:color w:val="000000"/>
          <w:sz w:val="20"/>
          <w:szCs w:val="20"/>
        </w:rPr>
        <w:t>These comprise a £1.0m credit (2021: £7.8m charge) related to discontinued operations net of a £1.0m charge (2021: £7.8m credit) related to continuing operations and relate to transfer pricing adjustments between the continuing operations and discontinued operations in prior years, as well as adjustments related to prior year tax losses of the discontinued operation which were surrendered as group relief to the continuing operation and which the continuing operation paid for at a discounted price</w:t>
      </w:r>
      <w:r w:rsidRPr="00701439">
        <w:t>.</w:t>
      </w:r>
    </w:p>
    <w:p w14:paraId="209B58D2" w14:textId="77777777" w:rsidR="00A3021A" w:rsidRPr="00701439" w:rsidRDefault="00A3021A" w:rsidP="00A3021A">
      <w:pPr>
        <w:jc w:val="both"/>
        <w:rPr>
          <w:rFonts w:asciiTheme="minorHAnsi" w:hAnsiTheme="minorHAnsi"/>
          <w:sz w:val="20"/>
          <w:szCs w:val="20"/>
        </w:rPr>
      </w:pPr>
    </w:p>
    <w:p w14:paraId="02AB311B" w14:textId="77777777" w:rsidR="00A3021A" w:rsidRPr="00701439" w:rsidRDefault="00A3021A" w:rsidP="00A3021A">
      <w:pPr>
        <w:jc w:val="both"/>
        <w:rPr>
          <w:rFonts w:asciiTheme="minorHAnsi" w:hAnsiTheme="minorHAnsi"/>
          <w:b/>
          <w:sz w:val="20"/>
          <w:szCs w:val="20"/>
        </w:rPr>
      </w:pPr>
      <w:r w:rsidRPr="00701439">
        <w:rPr>
          <w:rFonts w:asciiTheme="minorHAnsi" w:hAnsiTheme="minorHAnsi"/>
          <w:b/>
          <w:sz w:val="20"/>
          <w:szCs w:val="20"/>
        </w:rPr>
        <w:t>(g) Transfer pricing adjustments</w:t>
      </w:r>
    </w:p>
    <w:p w14:paraId="7C8790DA" w14:textId="77777777" w:rsidR="00A3021A" w:rsidRPr="00701439" w:rsidRDefault="00A3021A" w:rsidP="00A3021A">
      <w:pPr>
        <w:jc w:val="both"/>
        <w:rPr>
          <w:rFonts w:asciiTheme="minorHAnsi" w:hAnsiTheme="minorHAnsi" w:cs="Poppins Light"/>
          <w:color w:val="000000"/>
          <w:sz w:val="20"/>
          <w:szCs w:val="20"/>
        </w:rPr>
      </w:pPr>
      <w:r w:rsidRPr="00701439">
        <w:rPr>
          <w:rFonts w:asciiTheme="minorHAnsi" w:hAnsiTheme="minorHAnsi" w:cs="Poppins Light"/>
          <w:color w:val="000000"/>
          <w:sz w:val="20"/>
          <w:szCs w:val="20"/>
        </w:rPr>
        <w:t xml:space="preserve">In 2021, these comprised a £0.6m credit related to continuing operations and a £0.6m charge related to discontinued </w:t>
      </w:r>
      <w:proofErr w:type="gramStart"/>
      <w:r w:rsidRPr="00701439">
        <w:rPr>
          <w:rFonts w:asciiTheme="minorHAnsi" w:hAnsiTheme="minorHAnsi" w:cs="Poppins Light"/>
          <w:color w:val="000000"/>
          <w:sz w:val="20"/>
          <w:szCs w:val="20"/>
        </w:rPr>
        <w:t>operations, and</w:t>
      </w:r>
      <w:proofErr w:type="gramEnd"/>
      <w:r w:rsidRPr="00701439">
        <w:rPr>
          <w:rFonts w:asciiTheme="minorHAnsi" w:hAnsiTheme="minorHAnsi" w:cs="Poppins Light"/>
          <w:color w:val="000000"/>
          <w:sz w:val="20"/>
          <w:szCs w:val="20"/>
        </w:rPr>
        <w:t xml:space="preserve"> represented the impact of transfer pricing adjustments between the profits of continuing and discontinued operations. They have a £nil overall impact on the tax charge. There are no such adjustments in 2022.</w:t>
      </w:r>
    </w:p>
    <w:p w14:paraId="77CCF64D" w14:textId="77777777" w:rsidR="00A3021A" w:rsidRPr="00701439" w:rsidRDefault="00A3021A" w:rsidP="00A3021A">
      <w:pPr>
        <w:jc w:val="both"/>
        <w:rPr>
          <w:rFonts w:asciiTheme="minorHAnsi" w:hAnsiTheme="minorHAnsi" w:cs="Poppins Light"/>
          <w:color w:val="000000"/>
          <w:sz w:val="20"/>
          <w:szCs w:val="20"/>
        </w:rPr>
      </w:pPr>
    </w:p>
    <w:p w14:paraId="0D11E987" w14:textId="77777777" w:rsidR="00A3021A" w:rsidRPr="00701439" w:rsidRDefault="00A3021A" w:rsidP="00A3021A">
      <w:pPr>
        <w:autoSpaceDE w:val="0"/>
        <w:autoSpaceDN w:val="0"/>
        <w:adjustRightInd w:val="0"/>
        <w:jc w:val="both"/>
        <w:rPr>
          <w:rFonts w:asciiTheme="minorHAnsi" w:hAnsiTheme="minorHAnsi"/>
          <w:b/>
          <w:sz w:val="20"/>
          <w:szCs w:val="20"/>
        </w:rPr>
      </w:pPr>
      <w:r w:rsidRPr="00701439">
        <w:rPr>
          <w:rFonts w:asciiTheme="minorHAnsi" w:hAnsiTheme="minorHAnsi"/>
          <w:b/>
          <w:sz w:val="20"/>
          <w:szCs w:val="20"/>
        </w:rPr>
        <w:t>(h) Discount on payment for losses of discontinued operations</w:t>
      </w:r>
    </w:p>
    <w:p w14:paraId="033895C5" w14:textId="77777777" w:rsidR="00A3021A" w:rsidRPr="00701439" w:rsidRDefault="00A3021A" w:rsidP="00A3021A">
      <w:pPr>
        <w:jc w:val="both"/>
        <w:rPr>
          <w:rFonts w:asciiTheme="minorHAnsi" w:hAnsiTheme="minorHAnsi" w:cs="Poppins Light"/>
          <w:color w:val="000000"/>
          <w:sz w:val="20"/>
          <w:szCs w:val="20"/>
        </w:rPr>
      </w:pPr>
      <w:r w:rsidRPr="00701439">
        <w:rPr>
          <w:rFonts w:asciiTheme="minorHAnsi" w:hAnsiTheme="minorHAnsi" w:cs="Poppins Light"/>
          <w:color w:val="000000"/>
          <w:sz w:val="20"/>
          <w:szCs w:val="20"/>
        </w:rPr>
        <w:t xml:space="preserve">This comprises a credit of £3.3m (2021: credit of £6.5m) related to continuing operations and a charge of £3.3m (2021: charge of £6.5m) related to discontinued </w:t>
      </w:r>
      <w:proofErr w:type="gramStart"/>
      <w:r w:rsidRPr="00701439">
        <w:rPr>
          <w:rFonts w:asciiTheme="minorHAnsi" w:hAnsiTheme="minorHAnsi" w:cs="Poppins Light"/>
          <w:color w:val="000000"/>
          <w:sz w:val="20"/>
          <w:szCs w:val="20"/>
        </w:rPr>
        <w:t>operations, and</w:t>
      </w:r>
      <w:proofErr w:type="gramEnd"/>
      <w:r w:rsidRPr="00701439">
        <w:rPr>
          <w:rFonts w:asciiTheme="minorHAnsi" w:hAnsiTheme="minorHAnsi" w:cs="Poppins Light"/>
          <w:color w:val="000000"/>
          <w:sz w:val="20"/>
          <w:szCs w:val="20"/>
        </w:rPr>
        <w:t xml:space="preserve"> relates to tax losses of the discontinued operation which have been surrendered as group relief to the continuing operation and which the continuing operation has paid for at a discounted price. The overall impact on the tax charge is £nil (2021: £nil).</w:t>
      </w:r>
    </w:p>
    <w:p w14:paraId="2CD6631C" w14:textId="77777777" w:rsidR="00A3021A" w:rsidRPr="00701439" w:rsidRDefault="00A3021A" w:rsidP="00A3021A">
      <w:pPr>
        <w:jc w:val="both"/>
        <w:rPr>
          <w:rFonts w:asciiTheme="minorHAnsi" w:hAnsiTheme="minorHAnsi" w:cs="Poppins Light"/>
          <w:color w:val="000000"/>
          <w:sz w:val="20"/>
          <w:szCs w:val="20"/>
        </w:rPr>
      </w:pPr>
    </w:p>
    <w:p w14:paraId="37A4FA06" w14:textId="77777777" w:rsidR="00A3021A" w:rsidRPr="00701439" w:rsidRDefault="00A3021A" w:rsidP="00A3021A">
      <w:pPr>
        <w:jc w:val="both"/>
        <w:rPr>
          <w:rFonts w:asciiTheme="minorHAnsi" w:hAnsiTheme="minorHAnsi"/>
          <w:b/>
          <w:sz w:val="20"/>
          <w:szCs w:val="20"/>
        </w:rPr>
      </w:pPr>
      <w:r w:rsidRPr="00701439">
        <w:rPr>
          <w:rFonts w:asciiTheme="minorHAnsi" w:hAnsiTheme="minorHAnsi"/>
          <w:b/>
          <w:sz w:val="20"/>
          <w:szCs w:val="20"/>
        </w:rPr>
        <w:t>(</w:t>
      </w:r>
      <w:proofErr w:type="spellStart"/>
      <w:r w:rsidRPr="00701439">
        <w:rPr>
          <w:rFonts w:asciiTheme="minorHAnsi" w:hAnsiTheme="minorHAnsi"/>
          <w:b/>
          <w:sz w:val="20"/>
          <w:szCs w:val="20"/>
        </w:rPr>
        <w:t>i</w:t>
      </w:r>
      <w:proofErr w:type="spellEnd"/>
      <w:r w:rsidRPr="00701439">
        <w:rPr>
          <w:rFonts w:asciiTheme="minorHAnsi" w:hAnsiTheme="minorHAnsi"/>
          <w:b/>
          <w:sz w:val="20"/>
          <w:szCs w:val="20"/>
        </w:rPr>
        <w:t>) Non-deductible general expenses</w:t>
      </w:r>
    </w:p>
    <w:p w14:paraId="4F188248" w14:textId="77777777" w:rsidR="00A3021A" w:rsidRPr="00701439" w:rsidRDefault="00A3021A" w:rsidP="00A3021A">
      <w:pPr>
        <w:jc w:val="both"/>
        <w:rPr>
          <w:rFonts w:asciiTheme="minorHAnsi" w:hAnsiTheme="minorHAnsi" w:cs="Poppins Light"/>
          <w:color w:val="000000"/>
          <w:sz w:val="20"/>
          <w:szCs w:val="20"/>
        </w:rPr>
      </w:pPr>
      <w:r w:rsidRPr="00701439">
        <w:rPr>
          <w:rFonts w:asciiTheme="minorHAnsi" w:hAnsiTheme="minorHAnsi" w:cs="Poppins Light"/>
          <w:color w:val="000000"/>
          <w:sz w:val="20"/>
          <w:szCs w:val="20"/>
        </w:rPr>
        <w:t>In 2022, these primarily comprise: (a) in the case of discontinued operations, costs for which tax deductions may not be available post closure of the business net of the release of the provision for costs associated with the FCA investigation into affordable lending in CCD, part of which is non-taxable; and (b) in the case of the continuing operations, the cost of certain projects for which it is considered a tax deduction may not be available.</w:t>
      </w:r>
    </w:p>
    <w:p w14:paraId="7A4AF6A5" w14:textId="77777777" w:rsidR="00A3021A" w:rsidRPr="00701439" w:rsidRDefault="00A3021A" w:rsidP="00A3021A">
      <w:pPr>
        <w:jc w:val="both"/>
        <w:rPr>
          <w:rFonts w:asciiTheme="minorHAnsi" w:hAnsiTheme="minorHAnsi" w:cs="Poppins Light"/>
          <w:color w:val="000000"/>
          <w:sz w:val="20"/>
          <w:szCs w:val="20"/>
        </w:rPr>
      </w:pPr>
    </w:p>
    <w:p w14:paraId="28E506C3" w14:textId="77777777" w:rsidR="00A3021A" w:rsidRPr="00701439" w:rsidRDefault="00A3021A" w:rsidP="00A3021A">
      <w:pPr>
        <w:autoSpaceDE w:val="0"/>
        <w:autoSpaceDN w:val="0"/>
        <w:adjustRightInd w:val="0"/>
        <w:jc w:val="both"/>
        <w:rPr>
          <w:rFonts w:asciiTheme="minorHAnsi" w:hAnsiTheme="minorHAnsi"/>
          <w:b/>
          <w:sz w:val="20"/>
          <w:szCs w:val="20"/>
        </w:rPr>
      </w:pPr>
      <w:r w:rsidRPr="00701439">
        <w:rPr>
          <w:rFonts w:asciiTheme="minorHAnsi" w:hAnsiTheme="minorHAnsi"/>
          <w:b/>
          <w:sz w:val="20"/>
          <w:szCs w:val="20"/>
        </w:rPr>
        <w:t>(j) Exceptional complaints provision</w:t>
      </w:r>
    </w:p>
    <w:p w14:paraId="75413330" w14:textId="77777777" w:rsidR="00A3021A" w:rsidRPr="00701439" w:rsidRDefault="00A3021A" w:rsidP="00A3021A">
      <w:pPr>
        <w:jc w:val="both"/>
        <w:rPr>
          <w:rFonts w:asciiTheme="minorHAnsi" w:hAnsiTheme="minorHAnsi" w:cs="Poppins Light"/>
          <w:color w:val="000000"/>
          <w:sz w:val="20"/>
          <w:szCs w:val="20"/>
        </w:rPr>
      </w:pPr>
      <w:r w:rsidRPr="00701439">
        <w:rPr>
          <w:rFonts w:asciiTheme="minorHAnsi" w:hAnsiTheme="minorHAnsi" w:cs="Poppins Light"/>
          <w:color w:val="000000"/>
          <w:sz w:val="20"/>
          <w:szCs w:val="20"/>
        </w:rPr>
        <w:t xml:space="preserve">In 2021, the release of the exceptional complaints provision in CCD following the implementation of the Scheme of Arrangement gave rise to a tax charge in CCD of £12.4m. As the release of the provision was recognised as part of continuing rather than discontinued operations, this gave rise to a tax reconciling difference in 2021 of £12.4m between continuing and discontinued operations. </w:t>
      </w:r>
    </w:p>
    <w:p w14:paraId="6155BC29" w14:textId="77777777" w:rsidR="00A3021A" w:rsidRPr="00701439" w:rsidRDefault="00A3021A" w:rsidP="00A3021A">
      <w:pPr>
        <w:jc w:val="both"/>
        <w:rPr>
          <w:rFonts w:asciiTheme="minorHAnsi" w:hAnsiTheme="minorHAnsi" w:cs="Poppins Light"/>
          <w:color w:val="000000"/>
          <w:sz w:val="20"/>
          <w:szCs w:val="20"/>
        </w:rPr>
      </w:pPr>
    </w:p>
    <w:p w14:paraId="31205753" w14:textId="77777777" w:rsidR="00A3021A" w:rsidRPr="00701439" w:rsidRDefault="00A3021A" w:rsidP="00A3021A">
      <w:pPr>
        <w:jc w:val="both"/>
        <w:rPr>
          <w:rFonts w:asciiTheme="minorHAnsi" w:hAnsiTheme="minorHAnsi" w:cs="Poppins Light"/>
          <w:color w:val="000000"/>
          <w:sz w:val="20"/>
          <w:szCs w:val="20"/>
        </w:rPr>
      </w:pPr>
      <w:r w:rsidRPr="00701439">
        <w:rPr>
          <w:rFonts w:asciiTheme="minorHAnsi" w:hAnsiTheme="minorHAnsi" w:cs="Poppins Light"/>
          <w:color w:val="000000"/>
          <w:sz w:val="20"/>
          <w:szCs w:val="20"/>
        </w:rPr>
        <w:t xml:space="preserve">These adjustments had a £nil overall impact on the 2021 tax charge. </w:t>
      </w:r>
    </w:p>
    <w:p w14:paraId="40C2CA3E" w14:textId="77777777" w:rsidR="00A3021A" w:rsidRPr="00701439" w:rsidRDefault="00A3021A" w:rsidP="00A3021A">
      <w:pPr>
        <w:jc w:val="both"/>
        <w:rPr>
          <w:rFonts w:asciiTheme="minorHAnsi" w:hAnsiTheme="minorHAnsi" w:cs="Poppins Light"/>
          <w:color w:val="000000"/>
          <w:sz w:val="20"/>
          <w:szCs w:val="20"/>
        </w:rPr>
      </w:pPr>
    </w:p>
    <w:p w14:paraId="0BD5841E" w14:textId="38F8E583" w:rsidR="00A3021A" w:rsidRPr="00701439" w:rsidRDefault="00A3021A" w:rsidP="00A3021A">
      <w:pPr>
        <w:jc w:val="both"/>
        <w:rPr>
          <w:rFonts w:asciiTheme="minorHAnsi" w:hAnsiTheme="minorHAnsi" w:cs="Poppins Light"/>
          <w:color w:val="000000"/>
          <w:sz w:val="20"/>
          <w:szCs w:val="20"/>
        </w:rPr>
      </w:pPr>
      <w:r w:rsidRPr="00701439">
        <w:rPr>
          <w:rFonts w:asciiTheme="minorHAnsi" w:hAnsiTheme="minorHAnsi" w:cs="Poppins Light"/>
          <w:color w:val="000000"/>
          <w:sz w:val="20"/>
          <w:szCs w:val="20"/>
        </w:rPr>
        <w:t xml:space="preserve">In 2021, a tax deduction was claimed for the £70m costs of the Scheme of Arrangement incurred by </w:t>
      </w:r>
      <w:r w:rsidR="008D631F" w:rsidRPr="00701439">
        <w:rPr>
          <w:rFonts w:asciiTheme="minorHAnsi" w:hAnsiTheme="minorHAnsi" w:cs="Poppins Light"/>
          <w:color w:val="000000"/>
          <w:sz w:val="20"/>
          <w:szCs w:val="20"/>
        </w:rPr>
        <w:t>Vanquis Banking Grou</w:t>
      </w:r>
      <w:r w:rsidR="00604D8F" w:rsidRPr="00701439">
        <w:rPr>
          <w:rFonts w:asciiTheme="minorHAnsi" w:hAnsiTheme="minorHAnsi" w:cs="Poppins Light"/>
          <w:color w:val="000000"/>
          <w:sz w:val="20"/>
          <w:szCs w:val="20"/>
        </w:rPr>
        <w:t>p</w:t>
      </w:r>
      <w:r w:rsidRPr="00701439">
        <w:rPr>
          <w:rFonts w:asciiTheme="minorHAnsi" w:hAnsiTheme="minorHAnsi" w:cs="Poppins Light"/>
          <w:color w:val="000000"/>
          <w:sz w:val="20"/>
          <w:szCs w:val="20"/>
        </w:rPr>
        <w:t xml:space="preserve"> plc which was also recognised as part of continuing operations.</w:t>
      </w:r>
    </w:p>
    <w:p w14:paraId="193A3357" w14:textId="77777777" w:rsidR="00A3021A" w:rsidRPr="00701439" w:rsidRDefault="00A3021A" w:rsidP="00A3021A">
      <w:pPr>
        <w:jc w:val="both"/>
        <w:rPr>
          <w:rFonts w:asciiTheme="minorHAnsi" w:hAnsiTheme="minorHAnsi" w:cs="Poppins Light"/>
          <w:color w:val="000000"/>
          <w:sz w:val="20"/>
          <w:szCs w:val="20"/>
        </w:rPr>
      </w:pPr>
    </w:p>
    <w:p w14:paraId="68D04C2C" w14:textId="77777777" w:rsidR="00A3021A" w:rsidRPr="00701439" w:rsidRDefault="00A3021A" w:rsidP="00A3021A">
      <w:pPr>
        <w:autoSpaceDE w:val="0"/>
        <w:autoSpaceDN w:val="0"/>
        <w:adjustRightInd w:val="0"/>
        <w:jc w:val="both"/>
        <w:rPr>
          <w:rFonts w:asciiTheme="minorHAnsi" w:hAnsiTheme="minorHAnsi"/>
          <w:b/>
          <w:sz w:val="20"/>
          <w:szCs w:val="20"/>
        </w:rPr>
      </w:pPr>
      <w:r w:rsidRPr="00701439">
        <w:rPr>
          <w:rFonts w:asciiTheme="minorHAnsi" w:hAnsiTheme="minorHAnsi"/>
          <w:b/>
          <w:sz w:val="20"/>
          <w:szCs w:val="20"/>
        </w:rPr>
        <w:t>Tax on exceptional items:</w:t>
      </w:r>
    </w:p>
    <w:p w14:paraId="1A071D56" w14:textId="77777777" w:rsidR="00A3021A" w:rsidRPr="00701439" w:rsidRDefault="00A3021A" w:rsidP="00A3021A">
      <w:pPr>
        <w:jc w:val="both"/>
        <w:rPr>
          <w:rFonts w:asciiTheme="minorHAnsi" w:hAnsiTheme="minorHAnsi" w:cs="Poppins Light"/>
          <w:color w:val="000000"/>
          <w:sz w:val="20"/>
          <w:szCs w:val="20"/>
        </w:rPr>
      </w:pPr>
      <w:r w:rsidRPr="00701439">
        <w:rPr>
          <w:rFonts w:asciiTheme="minorHAnsi" w:hAnsiTheme="minorHAnsi" w:cs="Poppins Light"/>
          <w:color w:val="000000"/>
          <w:sz w:val="20"/>
          <w:szCs w:val="20"/>
        </w:rPr>
        <w:t>The tax charge in respect of exceptional items amounts to £0.6m (2021: tax credit of £10.2m) and comprises a £0.2m credit (2021: £15.3m credit) relating to continuing operations and a £0.8m charge (2021: £5.1m charge) related to discontinued operations.</w:t>
      </w:r>
    </w:p>
    <w:p w14:paraId="1DFD2E8E" w14:textId="77777777" w:rsidR="00A3021A" w:rsidRPr="00701439" w:rsidRDefault="00A3021A" w:rsidP="00A3021A">
      <w:pPr>
        <w:autoSpaceDE w:val="0"/>
        <w:autoSpaceDN w:val="0"/>
        <w:adjustRightInd w:val="0"/>
        <w:jc w:val="both"/>
        <w:rPr>
          <w:rFonts w:asciiTheme="minorHAnsi" w:hAnsiTheme="minorHAnsi"/>
          <w:sz w:val="20"/>
          <w:szCs w:val="20"/>
        </w:rPr>
      </w:pPr>
    </w:p>
    <w:p w14:paraId="14EFCDE9" w14:textId="77777777" w:rsidR="00A3021A" w:rsidRPr="00701439" w:rsidRDefault="00A3021A" w:rsidP="00A3021A">
      <w:pPr>
        <w:autoSpaceDE w:val="0"/>
        <w:autoSpaceDN w:val="0"/>
        <w:adjustRightInd w:val="0"/>
        <w:jc w:val="both"/>
        <w:rPr>
          <w:rFonts w:asciiTheme="minorHAnsi" w:hAnsiTheme="minorHAnsi"/>
          <w:sz w:val="20"/>
          <w:szCs w:val="20"/>
        </w:rPr>
      </w:pPr>
    </w:p>
    <w:p w14:paraId="4EBB32B1" w14:textId="77777777" w:rsidR="00A3021A" w:rsidRPr="00701439" w:rsidRDefault="00A3021A" w:rsidP="00A3021A">
      <w:pPr>
        <w:autoSpaceDE w:val="0"/>
        <w:autoSpaceDN w:val="0"/>
        <w:adjustRightInd w:val="0"/>
        <w:jc w:val="both"/>
        <w:rPr>
          <w:rFonts w:asciiTheme="minorHAnsi" w:hAnsiTheme="minorHAnsi"/>
          <w:sz w:val="20"/>
          <w:szCs w:val="20"/>
        </w:rPr>
      </w:pPr>
    </w:p>
    <w:p w14:paraId="7E94A257" w14:textId="77777777" w:rsidR="00A3021A" w:rsidRPr="00701439" w:rsidRDefault="00A3021A" w:rsidP="00A3021A">
      <w:pPr>
        <w:autoSpaceDE w:val="0"/>
        <w:autoSpaceDN w:val="0"/>
        <w:adjustRightInd w:val="0"/>
        <w:jc w:val="both"/>
        <w:rPr>
          <w:rFonts w:asciiTheme="minorHAnsi" w:hAnsiTheme="minorHAnsi"/>
          <w:sz w:val="20"/>
          <w:szCs w:val="20"/>
        </w:rPr>
      </w:pPr>
    </w:p>
    <w:p w14:paraId="2724CEFB" w14:textId="77777777" w:rsidR="00A3021A" w:rsidRPr="00701439" w:rsidRDefault="00A3021A" w:rsidP="00A3021A">
      <w:pPr>
        <w:autoSpaceDE w:val="0"/>
        <w:autoSpaceDN w:val="0"/>
        <w:adjustRightInd w:val="0"/>
        <w:jc w:val="both"/>
        <w:rPr>
          <w:rFonts w:asciiTheme="minorHAnsi" w:hAnsiTheme="minorHAnsi"/>
          <w:sz w:val="20"/>
          <w:szCs w:val="20"/>
        </w:rPr>
      </w:pPr>
    </w:p>
    <w:p w14:paraId="4A2531E6" w14:textId="77777777" w:rsidR="00A3021A" w:rsidRPr="00701439" w:rsidRDefault="00A3021A" w:rsidP="00A3021A">
      <w:pPr>
        <w:autoSpaceDE w:val="0"/>
        <w:autoSpaceDN w:val="0"/>
        <w:adjustRightInd w:val="0"/>
        <w:jc w:val="both"/>
        <w:rPr>
          <w:rFonts w:asciiTheme="minorHAnsi" w:hAnsiTheme="minorHAnsi"/>
          <w:sz w:val="20"/>
          <w:szCs w:val="20"/>
        </w:rPr>
      </w:pPr>
    </w:p>
    <w:p w14:paraId="0FF81FAC" w14:textId="77777777" w:rsidR="00A3021A" w:rsidRPr="00701439" w:rsidRDefault="00A3021A" w:rsidP="00A3021A">
      <w:pPr>
        <w:autoSpaceDE w:val="0"/>
        <w:autoSpaceDN w:val="0"/>
        <w:adjustRightInd w:val="0"/>
        <w:jc w:val="both"/>
        <w:rPr>
          <w:rFonts w:asciiTheme="minorHAnsi" w:hAnsiTheme="minorHAnsi"/>
          <w:sz w:val="20"/>
          <w:szCs w:val="20"/>
        </w:rPr>
      </w:pPr>
    </w:p>
    <w:p w14:paraId="3CE3B82A" w14:textId="77777777" w:rsidR="00A3021A" w:rsidRPr="00701439" w:rsidRDefault="00A3021A" w:rsidP="00A3021A">
      <w:pPr>
        <w:jc w:val="both"/>
        <w:rPr>
          <w:rStyle w:val="bodycopynumber"/>
          <w:rFonts w:asciiTheme="minorHAnsi" w:hAnsiTheme="minorHAnsi"/>
          <w:color w:val="4747FF"/>
          <w:sz w:val="22"/>
          <w:szCs w:val="22"/>
        </w:rPr>
      </w:pPr>
      <w:r w:rsidRPr="00701439">
        <w:rPr>
          <w:rStyle w:val="bodycopynumber"/>
          <w:rFonts w:asciiTheme="minorHAnsi" w:hAnsiTheme="minorHAnsi" w:cs="Arial"/>
          <w:b/>
          <w:color w:val="4747FF"/>
          <w:sz w:val="22"/>
          <w:szCs w:val="22"/>
        </w:rPr>
        <w:lastRenderedPageBreak/>
        <w:t>5.</w:t>
      </w:r>
      <w:r w:rsidRPr="00701439">
        <w:rPr>
          <w:rStyle w:val="bodycopynumber"/>
          <w:rFonts w:asciiTheme="minorHAnsi" w:hAnsiTheme="minorHAnsi" w:cs="Arial"/>
          <w:b/>
          <w:color w:val="4747FF"/>
          <w:sz w:val="22"/>
          <w:szCs w:val="22"/>
        </w:rPr>
        <w:tab/>
        <w:t>Tax charge (continued)</w:t>
      </w:r>
    </w:p>
    <w:p w14:paraId="071D0352" w14:textId="77777777" w:rsidR="00A3021A" w:rsidRPr="00701439" w:rsidRDefault="00A3021A" w:rsidP="00A3021A">
      <w:pPr>
        <w:autoSpaceDE w:val="0"/>
        <w:autoSpaceDN w:val="0"/>
        <w:adjustRightInd w:val="0"/>
        <w:jc w:val="both"/>
        <w:rPr>
          <w:rFonts w:asciiTheme="minorHAnsi" w:hAnsiTheme="minorHAnsi"/>
          <w:sz w:val="20"/>
          <w:szCs w:val="20"/>
        </w:rPr>
      </w:pPr>
    </w:p>
    <w:p w14:paraId="7F150F04" w14:textId="77777777" w:rsidR="00A3021A" w:rsidRPr="00701439" w:rsidRDefault="00A3021A" w:rsidP="00A3021A">
      <w:pPr>
        <w:autoSpaceDE w:val="0"/>
        <w:autoSpaceDN w:val="0"/>
        <w:adjustRightInd w:val="0"/>
        <w:jc w:val="both"/>
        <w:rPr>
          <w:rFonts w:asciiTheme="minorHAnsi" w:hAnsiTheme="minorHAnsi"/>
          <w:b/>
          <w:sz w:val="20"/>
          <w:szCs w:val="20"/>
        </w:rPr>
      </w:pPr>
      <w:r w:rsidRPr="00701439">
        <w:rPr>
          <w:rFonts w:asciiTheme="minorHAnsi" w:hAnsiTheme="minorHAnsi"/>
          <w:b/>
          <w:sz w:val="20"/>
          <w:szCs w:val="20"/>
        </w:rPr>
        <w:t>In 2022:</w:t>
      </w:r>
    </w:p>
    <w:p w14:paraId="65EE0F6D" w14:textId="77777777" w:rsidR="00A3021A" w:rsidRPr="00701439" w:rsidRDefault="00A3021A" w:rsidP="00A3021A">
      <w:pPr>
        <w:autoSpaceDE w:val="0"/>
        <w:autoSpaceDN w:val="0"/>
        <w:adjustRightInd w:val="0"/>
        <w:jc w:val="both"/>
        <w:rPr>
          <w:rFonts w:asciiTheme="minorHAnsi" w:hAnsiTheme="minorHAnsi"/>
          <w:b/>
          <w:sz w:val="20"/>
          <w:szCs w:val="20"/>
        </w:rPr>
      </w:pPr>
    </w:p>
    <w:p w14:paraId="78D2B5EA" w14:textId="77777777" w:rsidR="00A3021A" w:rsidRPr="00701439" w:rsidRDefault="00A3021A" w:rsidP="00A3021A">
      <w:pPr>
        <w:autoSpaceDE w:val="0"/>
        <w:autoSpaceDN w:val="0"/>
        <w:adjustRightInd w:val="0"/>
        <w:spacing w:after="17"/>
        <w:jc w:val="both"/>
        <w:rPr>
          <w:rFonts w:asciiTheme="minorHAnsi" w:hAnsiTheme="minorHAnsi" w:cs="Poppins Light"/>
          <w:color w:val="000000"/>
          <w:sz w:val="20"/>
          <w:szCs w:val="20"/>
        </w:rPr>
      </w:pPr>
      <w:r w:rsidRPr="00701439">
        <w:rPr>
          <w:rFonts w:asciiTheme="minorHAnsi" w:hAnsiTheme="minorHAnsi" w:cs="Poppins Light"/>
          <w:color w:val="000000"/>
          <w:sz w:val="20"/>
          <w:szCs w:val="20"/>
        </w:rPr>
        <w:t xml:space="preserve">–  The £0.2m tax credit relating to continuing operations represents a tax credit in respect of all exceptional costs of the continuing operations </w:t>
      </w:r>
      <w:proofErr w:type="gramStart"/>
      <w:r w:rsidRPr="00701439">
        <w:rPr>
          <w:rFonts w:asciiTheme="minorHAnsi" w:hAnsiTheme="minorHAnsi" w:cs="Poppins Light"/>
          <w:color w:val="000000"/>
          <w:sz w:val="20"/>
          <w:szCs w:val="20"/>
        </w:rPr>
        <w:t>with the exception of</w:t>
      </w:r>
      <w:proofErr w:type="gramEnd"/>
      <w:r w:rsidRPr="00701439">
        <w:rPr>
          <w:rFonts w:asciiTheme="minorHAnsi" w:hAnsiTheme="minorHAnsi" w:cs="Poppins Light"/>
          <w:color w:val="000000"/>
          <w:sz w:val="20"/>
          <w:szCs w:val="20"/>
        </w:rPr>
        <w:t xml:space="preserve"> certain project costs for which it is considered tax deductions may not be available. </w:t>
      </w:r>
    </w:p>
    <w:p w14:paraId="4699D2BC" w14:textId="77777777" w:rsidR="00A3021A" w:rsidRPr="00701439" w:rsidRDefault="00A3021A" w:rsidP="00A3021A">
      <w:pPr>
        <w:autoSpaceDE w:val="0"/>
        <w:autoSpaceDN w:val="0"/>
        <w:adjustRightInd w:val="0"/>
        <w:spacing w:after="17"/>
        <w:jc w:val="both"/>
        <w:rPr>
          <w:rFonts w:asciiTheme="minorHAnsi" w:hAnsiTheme="minorHAnsi" w:cs="Poppins Light"/>
          <w:color w:val="000000"/>
          <w:sz w:val="20"/>
          <w:szCs w:val="20"/>
        </w:rPr>
      </w:pPr>
      <w:r w:rsidRPr="00701439">
        <w:rPr>
          <w:rFonts w:asciiTheme="minorHAnsi" w:hAnsiTheme="minorHAnsi" w:cs="Poppins Light"/>
          <w:color w:val="000000"/>
          <w:sz w:val="20"/>
          <w:szCs w:val="20"/>
        </w:rPr>
        <w:t xml:space="preserve">– The £0.8m tax charge relating to discontinued operations represents the tax charge on the release of certain provisions and accruals for which tax deductions were previously claimed </w:t>
      </w:r>
      <w:proofErr w:type="gramStart"/>
      <w:r w:rsidRPr="00701439">
        <w:rPr>
          <w:rFonts w:asciiTheme="minorHAnsi" w:hAnsiTheme="minorHAnsi" w:cs="Poppins Light"/>
          <w:color w:val="000000"/>
          <w:sz w:val="20"/>
          <w:szCs w:val="20"/>
        </w:rPr>
        <w:t>with the exception of</w:t>
      </w:r>
      <w:proofErr w:type="gramEnd"/>
      <w:r w:rsidRPr="00701439">
        <w:rPr>
          <w:rFonts w:asciiTheme="minorHAnsi" w:hAnsiTheme="minorHAnsi" w:cs="Poppins Light"/>
          <w:color w:val="000000"/>
          <w:sz w:val="20"/>
          <w:szCs w:val="20"/>
        </w:rPr>
        <w:t xml:space="preserve"> those relating to the Irish branch which are non-taxable.</w:t>
      </w:r>
    </w:p>
    <w:p w14:paraId="16365289" w14:textId="77777777" w:rsidR="00A3021A" w:rsidRPr="00701439" w:rsidRDefault="00A3021A" w:rsidP="00A3021A">
      <w:pPr>
        <w:autoSpaceDE w:val="0"/>
        <w:autoSpaceDN w:val="0"/>
        <w:adjustRightInd w:val="0"/>
        <w:jc w:val="both"/>
        <w:rPr>
          <w:rFonts w:asciiTheme="minorHAnsi" w:hAnsiTheme="minorHAnsi"/>
          <w:b/>
          <w:sz w:val="20"/>
          <w:szCs w:val="20"/>
        </w:rPr>
      </w:pPr>
    </w:p>
    <w:p w14:paraId="3D091C40" w14:textId="77777777" w:rsidR="00A3021A" w:rsidRPr="00701439" w:rsidRDefault="00A3021A" w:rsidP="00A3021A">
      <w:pPr>
        <w:autoSpaceDE w:val="0"/>
        <w:autoSpaceDN w:val="0"/>
        <w:adjustRightInd w:val="0"/>
        <w:jc w:val="both"/>
        <w:rPr>
          <w:rFonts w:asciiTheme="minorHAnsi" w:hAnsiTheme="minorHAnsi"/>
          <w:b/>
          <w:sz w:val="20"/>
          <w:szCs w:val="20"/>
        </w:rPr>
      </w:pPr>
      <w:r w:rsidRPr="00701439">
        <w:rPr>
          <w:rFonts w:asciiTheme="minorHAnsi" w:hAnsiTheme="minorHAnsi"/>
          <w:b/>
          <w:sz w:val="20"/>
          <w:szCs w:val="20"/>
        </w:rPr>
        <w:t>In 2021:</w:t>
      </w:r>
    </w:p>
    <w:p w14:paraId="218D8BDC" w14:textId="77777777" w:rsidR="00A3021A" w:rsidRPr="00701439" w:rsidRDefault="00A3021A" w:rsidP="00A3021A">
      <w:pPr>
        <w:autoSpaceDE w:val="0"/>
        <w:autoSpaceDN w:val="0"/>
        <w:adjustRightInd w:val="0"/>
        <w:jc w:val="both"/>
        <w:rPr>
          <w:rFonts w:asciiTheme="minorHAnsi" w:hAnsiTheme="minorHAnsi"/>
          <w:b/>
          <w:sz w:val="20"/>
          <w:szCs w:val="20"/>
        </w:rPr>
      </w:pPr>
    </w:p>
    <w:p w14:paraId="4E3B2AC6" w14:textId="77777777" w:rsidR="00A3021A" w:rsidRPr="00701439" w:rsidRDefault="00A3021A" w:rsidP="00A3021A">
      <w:pPr>
        <w:autoSpaceDE w:val="0"/>
        <w:autoSpaceDN w:val="0"/>
        <w:adjustRightInd w:val="0"/>
        <w:spacing w:after="17"/>
        <w:jc w:val="both"/>
        <w:rPr>
          <w:rFonts w:asciiTheme="minorHAnsi" w:hAnsiTheme="minorHAnsi" w:cs="Poppins Light"/>
          <w:color w:val="000000"/>
          <w:sz w:val="20"/>
          <w:szCs w:val="20"/>
        </w:rPr>
      </w:pPr>
      <w:r w:rsidRPr="00701439">
        <w:rPr>
          <w:rFonts w:asciiTheme="minorHAnsi" w:hAnsiTheme="minorHAnsi" w:cs="Poppins Light"/>
          <w:color w:val="000000"/>
          <w:sz w:val="20"/>
          <w:szCs w:val="20"/>
        </w:rPr>
        <w:t>–  The £15.3m tax credit relating to continuing operations represents: (</w:t>
      </w:r>
      <w:proofErr w:type="spellStart"/>
      <w:r w:rsidRPr="00701439">
        <w:rPr>
          <w:rFonts w:asciiTheme="minorHAnsi" w:hAnsiTheme="minorHAnsi" w:cs="Poppins Light"/>
          <w:color w:val="000000"/>
          <w:sz w:val="20"/>
          <w:szCs w:val="20"/>
        </w:rPr>
        <w:t>i</w:t>
      </w:r>
      <w:proofErr w:type="spellEnd"/>
      <w:r w:rsidRPr="00701439">
        <w:rPr>
          <w:rFonts w:asciiTheme="minorHAnsi" w:hAnsiTheme="minorHAnsi" w:cs="Poppins Light"/>
          <w:color w:val="000000"/>
          <w:sz w:val="20"/>
          <w:szCs w:val="20"/>
        </w:rPr>
        <w:t xml:space="preserve">) a tax credit in respect of all exceptional costs of the continuing operations </w:t>
      </w:r>
      <w:proofErr w:type="gramStart"/>
      <w:r w:rsidRPr="00701439">
        <w:rPr>
          <w:rFonts w:asciiTheme="minorHAnsi" w:hAnsiTheme="minorHAnsi" w:cs="Poppins Light"/>
          <w:color w:val="000000"/>
          <w:sz w:val="20"/>
          <w:szCs w:val="20"/>
        </w:rPr>
        <w:t>with the exception of</w:t>
      </w:r>
      <w:proofErr w:type="gramEnd"/>
      <w:r w:rsidRPr="00701439">
        <w:rPr>
          <w:rFonts w:asciiTheme="minorHAnsi" w:hAnsiTheme="minorHAnsi" w:cs="Poppins Light"/>
          <w:color w:val="000000"/>
          <w:sz w:val="20"/>
          <w:szCs w:val="20"/>
        </w:rPr>
        <w:t xml:space="preserve"> certain project costs for which it is considered tax deductions may not be available; and (ii) the tax reconciling difference between continuing and discontinued operations referred to in note (j) above. </w:t>
      </w:r>
    </w:p>
    <w:p w14:paraId="4EE4BC14" w14:textId="77777777" w:rsidR="00A3021A" w:rsidRPr="00701439" w:rsidRDefault="00A3021A" w:rsidP="00A3021A">
      <w:pPr>
        <w:autoSpaceDE w:val="0"/>
        <w:autoSpaceDN w:val="0"/>
        <w:adjustRightInd w:val="0"/>
        <w:spacing w:after="17"/>
        <w:jc w:val="both"/>
        <w:rPr>
          <w:rFonts w:asciiTheme="minorHAnsi" w:hAnsiTheme="minorHAnsi" w:cs="Poppins Light"/>
          <w:color w:val="000000"/>
          <w:sz w:val="20"/>
          <w:szCs w:val="20"/>
        </w:rPr>
      </w:pPr>
      <w:r w:rsidRPr="00701439">
        <w:rPr>
          <w:rFonts w:asciiTheme="minorHAnsi" w:hAnsiTheme="minorHAnsi" w:cs="Poppins Light"/>
          <w:color w:val="000000"/>
          <w:sz w:val="20"/>
          <w:szCs w:val="20"/>
        </w:rPr>
        <w:t xml:space="preserve">– The £5.1m tax charge relating to discontinued operations represents the tax reconciling difference between continuing and discontinued operations referred to in note (j) above net of a tax credit for the exceptional closure costs of the discontinued operations </w:t>
      </w:r>
      <w:proofErr w:type="gramStart"/>
      <w:r w:rsidRPr="00701439">
        <w:rPr>
          <w:rFonts w:asciiTheme="minorHAnsi" w:hAnsiTheme="minorHAnsi" w:cs="Poppins Light"/>
          <w:color w:val="000000"/>
          <w:sz w:val="20"/>
          <w:szCs w:val="20"/>
        </w:rPr>
        <w:t>with the exception of</w:t>
      </w:r>
      <w:proofErr w:type="gramEnd"/>
      <w:r w:rsidRPr="00701439">
        <w:rPr>
          <w:rFonts w:asciiTheme="minorHAnsi" w:hAnsiTheme="minorHAnsi" w:cs="Poppins Light"/>
          <w:color w:val="000000"/>
          <w:sz w:val="20"/>
          <w:szCs w:val="20"/>
        </w:rPr>
        <w:t xml:space="preserve"> those costs related to the Irish branch for which no effective tax relief is available.</w:t>
      </w:r>
    </w:p>
    <w:p w14:paraId="3810366A" w14:textId="77777777" w:rsidR="00A3021A" w:rsidRPr="00701439" w:rsidRDefault="00A3021A" w:rsidP="00A3021A">
      <w:pPr>
        <w:autoSpaceDE w:val="0"/>
        <w:autoSpaceDN w:val="0"/>
        <w:adjustRightInd w:val="0"/>
        <w:jc w:val="both"/>
        <w:rPr>
          <w:rFonts w:asciiTheme="minorHAnsi" w:hAnsiTheme="minorHAnsi"/>
          <w:sz w:val="20"/>
          <w:szCs w:val="20"/>
        </w:rPr>
      </w:pPr>
    </w:p>
    <w:p w14:paraId="6104509B" w14:textId="77777777" w:rsidR="00A3021A" w:rsidRPr="00701439" w:rsidRDefault="00A3021A" w:rsidP="00A3021A">
      <w:pPr>
        <w:autoSpaceDE w:val="0"/>
        <w:autoSpaceDN w:val="0"/>
        <w:adjustRightInd w:val="0"/>
        <w:jc w:val="both"/>
        <w:rPr>
          <w:rFonts w:asciiTheme="minorHAnsi" w:hAnsiTheme="minorHAnsi" w:cs="Poppins-Light"/>
          <w:sz w:val="20"/>
          <w:szCs w:val="20"/>
        </w:rPr>
      </w:pPr>
      <w:r w:rsidRPr="00701439">
        <w:rPr>
          <w:rFonts w:asciiTheme="minorHAnsi" w:hAnsiTheme="minorHAnsi" w:cs="Arial"/>
          <w:sz w:val="20"/>
          <w:szCs w:val="20"/>
        </w:rPr>
        <w:t>The tax credit/(charge) on items taken directly to other comprehensive income is as follows:</w:t>
      </w:r>
    </w:p>
    <w:p w14:paraId="7D952AD0" w14:textId="77777777" w:rsidR="00A3021A" w:rsidRPr="00701439" w:rsidRDefault="00A3021A" w:rsidP="00A3021A">
      <w:pPr>
        <w:autoSpaceDE w:val="0"/>
        <w:autoSpaceDN w:val="0"/>
        <w:adjustRightInd w:val="0"/>
        <w:jc w:val="both"/>
        <w:rPr>
          <w:rFonts w:asciiTheme="minorHAnsi" w:hAnsiTheme="minorHAnsi" w:cs="Poppins-Light"/>
          <w:sz w:val="20"/>
          <w:szCs w:val="20"/>
        </w:rPr>
      </w:pPr>
    </w:p>
    <w:tbl>
      <w:tblPr>
        <w:tblW w:w="9720" w:type="dxa"/>
        <w:tblInd w:w="108" w:type="dxa"/>
        <w:tblLayout w:type="fixed"/>
        <w:tblLook w:val="0000" w:firstRow="0" w:lastRow="0" w:firstColumn="0" w:lastColumn="0" w:noHBand="0" w:noVBand="0"/>
      </w:tblPr>
      <w:tblGrid>
        <w:gridCol w:w="7608"/>
        <w:gridCol w:w="1056"/>
        <w:gridCol w:w="1056"/>
      </w:tblGrid>
      <w:tr w:rsidR="00A3021A" w:rsidRPr="00701439" w14:paraId="0C936575" w14:textId="77777777">
        <w:tc>
          <w:tcPr>
            <w:tcW w:w="7608" w:type="dxa"/>
            <w:tcBorders>
              <w:top w:val="nil"/>
              <w:left w:val="nil"/>
              <w:bottom w:val="nil"/>
              <w:right w:val="nil"/>
            </w:tcBorders>
            <w:vAlign w:val="bottom"/>
          </w:tcPr>
          <w:p w14:paraId="5E986BF7" w14:textId="77777777" w:rsidR="00A3021A" w:rsidRPr="00701439" w:rsidRDefault="00A3021A">
            <w:pPr>
              <w:rPr>
                <w:rFonts w:asciiTheme="minorHAnsi" w:hAnsiTheme="minorHAnsi" w:cs="Arial"/>
                <w:sz w:val="20"/>
                <w:szCs w:val="20"/>
              </w:rPr>
            </w:pPr>
          </w:p>
        </w:tc>
        <w:tc>
          <w:tcPr>
            <w:tcW w:w="1056" w:type="dxa"/>
            <w:tcBorders>
              <w:top w:val="nil"/>
              <w:left w:val="nil"/>
              <w:bottom w:val="nil"/>
              <w:right w:val="nil"/>
            </w:tcBorders>
            <w:vAlign w:val="bottom"/>
          </w:tcPr>
          <w:p w14:paraId="1872CD0E"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2022 </w:t>
            </w:r>
          </w:p>
        </w:tc>
        <w:tc>
          <w:tcPr>
            <w:tcW w:w="1056" w:type="dxa"/>
            <w:tcBorders>
              <w:top w:val="nil"/>
              <w:left w:val="nil"/>
              <w:bottom w:val="nil"/>
              <w:right w:val="nil"/>
            </w:tcBorders>
            <w:vAlign w:val="bottom"/>
          </w:tcPr>
          <w:p w14:paraId="07316243"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2021</w:t>
            </w:r>
          </w:p>
        </w:tc>
      </w:tr>
      <w:tr w:rsidR="00A3021A" w:rsidRPr="00701439" w14:paraId="5DED34A2" w14:textId="77777777">
        <w:tc>
          <w:tcPr>
            <w:tcW w:w="7608" w:type="dxa"/>
            <w:tcBorders>
              <w:top w:val="nil"/>
              <w:left w:val="nil"/>
              <w:bottom w:val="nil"/>
              <w:right w:val="nil"/>
            </w:tcBorders>
            <w:vAlign w:val="bottom"/>
          </w:tcPr>
          <w:p w14:paraId="0DA7E710" w14:textId="77777777" w:rsidR="00A3021A" w:rsidRPr="00701439" w:rsidRDefault="00A3021A">
            <w:pPr>
              <w:rPr>
                <w:rFonts w:asciiTheme="minorHAnsi" w:hAnsiTheme="minorHAnsi" w:cs="Arial"/>
                <w:sz w:val="20"/>
                <w:szCs w:val="20"/>
              </w:rPr>
            </w:pPr>
          </w:p>
        </w:tc>
        <w:tc>
          <w:tcPr>
            <w:tcW w:w="1056" w:type="dxa"/>
            <w:tcBorders>
              <w:top w:val="nil"/>
              <w:left w:val="nil"/>
              <w:bottom w:val="single" w:sz="4" w:space="0" w:color="auto"/>
              <w:right w:val="nil"/>
            </w:tcBorders>
            <w:vAlign w:val="bottom"/>
          </w:tcPr>
          <w:p w14:paraId="7D581512"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£m </w:t>
            </w:r>
          </w:p>
        </w:tc>
        <w:tc>
          <w:tcPr>
            <w:tcW w:w="1056" w:type="dxa"/>
            <w:tcBorders>
              <w:top w:val="nil"/>
              <w:left w:val="nil"/>
              <w:bottom w:val="single" w:sz="4" w:space="0" w:color="auto"/>
              <w:right w:val="nil"/>
            </w:tcBorders>
            <w:vAlign w:val="bottom"/>
          </w:tcPr>
          <w:p w14:paraId="372D3F96"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£m </w:t>
            </w:r>
          </w:p>
        </w:tc>
      </w:tr>
      <w:tr w:rsidR="00A3021A" w:rsidRPr="00701439" w14:paraId="5EC644AD" w14:textId="77777777">
        <w:tc>
          <w:tcPr>
            <w:tcW w:w="7608" w:type="dxa"/>
            <w:tcBorders>
              <w:top w:val="nil"/>
              <w:left w:val="nil"/>
              <w:bottom w:val="nil"/>
              <w:right w:val="nil"/>
            </w:tcBorders>
            <w:vAlign w:val="bottom"/>
          </w:tcPr>
          <w:p w14:paraId="70090E34"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Deferred tax credit on fair value movement in investment</w:t>
            </w:r>
          </w:p>
        </w:tc>
        <w:tc>
          <w:tcPr>
            <w:tcW w:w="1056" w:type="dxa"/>
            <w:tcBorders>
              <w:top w:val="single" w:sz="4" w:space="0" w:color="auto"/>
              <w:left w:val="nil"/>
              <w:right w:val="nil"/>
            </w:tcBorders>
            <w:vAlign w:val="bottom"/>
          </w:tcPr>
          <w:p w14:paraId="2672DB8D"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c>
          <w:tcPr>
            <w:tcW w:w="1056" w:type="dxa"/>
            <w:tcBorders>
              <w:top w:val="single" w:sz="4" w:space="0" w:color="auto"/>
              <w:left w:val="nil"/>
              <w:right w:val="nil"/>
            </w:tcBorders>
            <w:vAlign w:val="bottom"/>
          </w:tcPr>
          <w:p w14:paraId="1F5D710A"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1.4</w:t>
            </w:r>
          </w:p>
        </w:tc>
      </w:tr>
      <w:tr w:rsidR="00A3021A" w:rsidRPr="00701439" w14:paraId="09D2FAD0" w14:textId="77777777">
        <w:tc>
          <w:tcPr>
            <w:tcW w:w="7608" w:type="dxa"/>
            <w:tcBorders>
              <w:top w:val="nil"/>
              <w:left w:val="nil"/>
              <w:bottom w:val="nil"/>
              <w:right w:val="nil"/>
            </w:tcBorders>
            <w:vAlign w:val="bottom"/>
          </w:tcPr>
          <w:p w14:paraId="77459BF4"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Deferred tax credit/(charge) on actuarial movements on retirement benefit asset</w:t>
            </w:r>
          </w:p>
        </w:tc>
        <w:tc>
          <w:tcPr>
            <w:tcW w:w="1056" w:type="dxa"/>
            <w:tcBorders>
              <w:top w:val="nil"/>
              <w:left w:val="nil"/>
              <w:bottom w:val="single" w:sz="4" w:space="0" w:color="auto"/>
              <w:right w:val="nil"/>
            </w:tcBorders>
            <w:vAlign w:val="bottom"/>
          </w:tcPr>
          <w:p w14:paraId="447CCA30"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16.0</w:t>
            </w:r>
          </w:p>
        </w:tc>
        <w:tc>
          <w:tcPr>
            <w:tcW w:w="1056" w:type="dxa"/>
            <w:tcBorders>
              <w:top w:val="nil"/>
              <w:left w:val="nil"/>
              <w:bottom w:val="single" w:sz="4" w:space="0" w:color="auto"/>
              <w:right w:val="nil"/>
            </w:tcBorders>
            <w:vAlign w:val="bottom"/>
          </w:tcPr>
          <w:p w14:paraId="026578AB"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(5.2)</w:t>
            </w:r>
          </w:p>
        </w:tc>
      </w:tr>
      <w:tr w:rsidR="00A3021A" w:rsidRPr="00701439" w14:paraId="0C25F8B5" w14:textId="77777777">
        <w:tc>
          <w:tcPr>
            <w:tcW w:w="7608" w:type="dxa"/>
            <w:tcBorders>
              <w:top w:val="nil"/>
              <w:left w:val="nil"/>
              <w:bottom w:val="nil"/>
              <w:right w:val="nil"/>
            </w:tcBorders>
            <w:vAlign w:val="bottom"/>
          </w:tcPr>
          <w:p w14:paraId="7DECA400" w14:textId="77777777" w:rsidR="00A3021A" w:rsidRPr="00701439" w:rsidRDefault="00A3021A">
            <w:pPr>
              <w:spacing w:before="100" w:beforeAutospacing="1" w:after="100" w:afterAutospacing="1"/>
              <w:rPr>
                <w:rFonts w:asciiTheme="minorHAnsi" w:hAnsiTheme="minorHAnsi" w:cs="Arial"/>
                <w:b/>
                <w:sz w:val="20"/>
                <w:szCs w:val="20"/>
              </w:rPr>
            </w:pPr>
            <w:r w:rsidRPr="00701439">
              <w:rPr>
                <w:rFonts w:asciiTheme="minorHAnsi" w:hAnsiTheme="minorHAnsi" w:cs="Arial"/>
                <w:b/>
                <w:sz w:val="20"/>
                <w:szCs w:val="20"/>
              </w:rPr>
              <w:t>Tax credit/(charge) on items taken directly to other comprehensive income prior to impact of change in UK tax rate</w:t>
            </w:r>
          </w:p>
        </w:tc>
        <w:tc>
          <w:tcPr>
            <w:tcW w:w="1056" w:type="dxa"/>
            <w:tcBorders>
              <w:top w:val="single" w:sz="4" w:space="0" w:color="auto"/>
              <w:left w:val="nil"/>
              <w:bottom w:val="single" w:sz="4" w:space="0" w:color="auto"/>
              <w:right w:val="nil"/>
            </w:tcBorders>
            <w:vAlign w:val="bottom"/>
          </w:tcPr>
          <w:p w14:paraId="7A5C8BCC"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16.0</w:t>
            </w:r>
          </w:p>
        </w:tc>
        <w:tc>
          <w:tcPr>
            <w:tcW w:w="1056" w:type="dxa"/>
            <w:tcBorders>
              <w:top w:val="single" w:sz="4" w:space="0" w:color="auto"/>
              <w:left w:val="nil"/>
              <w:bottom w:val="single" w:sz="4" w:space="0" w:color="auto"/>
              <w:right w:val="nil"/>
            </w:tcBorders>
            <w:vAlign w:val="bottom"/>
          </w:tcPr>
          <w:p w14:paraId="4B6C131C"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(3.8)</w:t>
            </w:r>
          </w:p>
        </w:tc>
      </w:tr>
      <w:tr w:rsidR="00A3021A" w:rsidRPr="00701439" w14:paraId="71B5D930" w14:textId="77777777">
        <w:tc>
          <w:tcPr>
            <w:tcW w:w="7608" w:type="dxa"/>
            <w:tcBorders>
              <w:top w:val="nil"/>
              <w:left w:val="nil"/>
              <w:bottom w:val="nil"/>
              <w:right w:val="nil"/>
            </w:tcBorders>
            <w:vAlign w:val="bottom"/>
          </w:tcPr>
          <w:p w14:paraId="27C301EF"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Impact of change in UK tax rate</w:t>
            </w:r>
          </w:p>
        </w:tc>
        <w:tc>
          <w:tcPr>
            <w:tcW w:w="1056" w:type="dxa"/>
            <w:tcBorders>
              <w:top w:val="single" w:sz="4" w:space="0" w:color="auto"/>
              <w:left w:val="nil"/>
              <w:bottom w:val="single" w:sz="4" w:space="0" w:color="auto"/>
              <w:right w:val="nil"/>
            </w:tcBorders>
            <w:vAlign w:val="bottom"/>
          </w:tcPr>
          <w:p w14:paraId="7F2E00EB"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5.0</w:t>
            </w:r>
          </w:p>
        </w:tc>
        <w:tc>
          <w:tcPr>
            <w:tcW w:w="1056" w:type="dxa"/>
            <w:tcBorders>
              <w:top w:val="single" w:sz="4" w:space="0" w:color="auto"/>
              <w:left w:val="nil"/>
              <w:bottom w:val="single" w:sz="4" w:space="0" w:color="auto"/>
              <w:right w:val="nil"/>
            </w:tcBorders>
            <w:vAlign w:val="bottom"/>
          </w:tcPr>
          <w:p w14:paraId="22E62212"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(6.4)</w:t>
            </w:r>
          </w:p>
        </w:tc>
      </w:tr>
      <w:tr w:rsidR="00A3021A" w:rsidRPr="00701439" w14:paraId="081F2DBB" w14:textId="77777777">
        <w:tc>
          <w:tcPr>
            <w:tcW w:w="7608" w:type="dxa"/>
            <w:tcBorders>
              <w:top w:val="nil"/>
              <w:left w:val="nil"/>
              <w:bottom w:val="nil"/>
              <w:right w:val="nil"/>
            </w:tcBorders>
            <w:vAlign w:val="bottom"/>
          </w:tcPr>
          <w:p w14:paraId="6859FFAB" w14:textId="77777777" w:rsidR="00A3021A" w:rsidRPr="00701439" w:rsidRDefault="00A3021A">
            <w:pPr>
              <w:rPr>
                <w:rFonts w:asciiTheme="minorHAnsi" w:hAnsiTheme="minorHAnsi" w:cs="Arial"/>
                <w:b/>
                <w:sz w:val="20"/>
                <w:szCs w:val="20"/>
              </w:rPr>
            </w:pPr>
            <w:r w:rsidRPr="00701439">
              <w:rPr>
                <w:rFonts w:asciiTheme="minorHAnsi" w:hAnsiTheme="minorHAnsi" w:cs="Arial"/>
                <w:b/>
                <w:sz w:val="20"/>
                <w:szCs w:val="20"/>
              </w:rPr>
              <w:t xml:space="preserve">Total tax </w:t>
            </w:r>
            <w:r w:rsidRPr="00701439">
              <w:rPr>
                <w:rFonts w:asciiTheme="minorHAnsi" w:hAnsiTheme="minorHAnsi" w:cs="Arial"/>
                <w:b/>
                <w:bCs/>
                <w:sz w:val="20"/>
                <w:szCs w:val="20"/>
              </w:rPr>
              <w:t>credit/(</w:t>
            </w:r>
            <w:r w:rsidRPr="00701439">
              <w:rPr>
                <w:rFonts w:asciiTheme="minorHAnsi" w:hAnsiTheme="minorHAnsi" w:cs="Arial"/>
                <w:b/>
                <w:sz w:val="20"/>
                <w:szCs w:val="20"/>
              </w:rPr>
              <w:t>charge</w:t>
            </w:r>
            <w:r w:rsidRPr="00701439">
              <w:rPr>
                <w:rFonts w:asciiTheme="minorHAnsi" w:hAnsiTheme="minorHAnsi" w:cs="Arial"/>
                <w:b/>
                <w:bCs/>
                <w:sz w:val="20"/>
                <w:szCs w:val="20"/>
              </w:rPr>
              <w:t>)</w:t>
            </w:r>
            <w:r w:rsidRPr="00701439">
              <w:rPr>
                <w:rFonts w:asciiTheme="minorHAnsi" w:hAnsiTheme="minorHAnsi" w:cs="Arial"/>
                <w:b/>
                <w:sz w:val="20"/>
                <w:szCs w:val="20"/>
              </w:rPr>
              <w:t xml:space="preserve"> on items taken directly to other comprehensive income</w:t>
            </w:r>
          </w:p>
        </w:tc>
        <w:tc>
          <w:tcPr>
            <w:tcW w:w="1056" w:type="dxa"/>
            <w:tcBorders>
              <w:top w:val="single" w:sz="4" w:space="0" w:color="auto"/>
              <w:left w:val="nil"/>
              <w:bottom w:val="single" w:sz="12" w:space="0" w:color="auto"/>
              <w:right w:val="nil"/>
            </w:tcBorders>
            <w:vAlign w:val="bottom"/>
          </w:tcPr>
          <w:p w14:paraId="5FB23F6D"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21.0</w:t>
            </w:r>
          </w:p>
        </w:tc>
        <w:tc>
          <w:tcPr>
            <w:tcW w:w="1056" w:type="dxa"/>
            <w:tcBorders>
              <w:top w:val="single" w:sz="4" w:space="0" w:color="auto"/>
              <w:left w:val="nil"/>
              <w:bottom w:val="single" w:sz="12" w:space="0" w:color="auto"/>
              <w:right w:val="nil"/>
            </w:tcBorders>
            <w:vAlign w:val="bottom"/>
          </w:tcPr>
          <w:p w14:paraId="54381F8C"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(10.2)</w:t>
            </w:r>
          </w:p>
        </w:tc>
      </w:tr>
    </w:tbl>
    <w:p w14:paraId="2F2A19AE" w14:textId="77777777" w:rsidR="00A3021A" w:rsidRPr="00701439" w:rsidRDefault="00A3021A" w:rsidP="00A3021A">
      <w:pPr>
        <w:ind w:left="567" w:hanging="567"/>
        <w:jc w:val="both"/>
        <w:rPr>
          <w:rStyle w:val="bodycopynumber"/>
          <w:rFonts w:asciiTheme="minorHAnsi" w:hAnsiTheme="minorHAnsi" w:cs="Arial"/>
          <w:b/>
          <w:sz w:val="20"/>
          <w:szCs w:val="20"/>
        </w:rPr>
      </w:pPr>
    </w:p>
    <w:p w14:paraId="7D27EB45" w14:textId="77777777" w:rsidR="00A3021A" w:rsidRPr="00701439" w:rsidRDefault="00A3021A" w:rsidP="00A3021A">
      <w:pPr>
        <w:autoSpaceDE w:val="0"/>
        <w:autoSpaceDN w:val="0"/>
        <w:adjustRightInd w:val="0"/>
        <w:jc w:val="both"/>
        <w:rPr>
          <w:rFonts w:asciiTheme="minorHAnsi" w:hAnsiTheme="minorHAnsi" w:cs="Poppins-Light"/>
          <w:sz w:val="20"/>
          <w:szCs w:val="20"/>
        </w:rPr>
      </w:pPr>
      <w:r w:rsidRPr="00701439">
        <w:rPr>
          <w:rFonts w:asciiTheme="minorHAnsi" w:hAnsiTheme="minorHAnsi" w:cs="Poppins-Light"/>
          <w:sz w:val="20"/>
          <w:szCs w:val="20"/>
        </w:rPr>
        <w:t>The tax credit/(charge) on items taken directly to other comprehensive income relates entirely to continuing operations.</w:t>
      </w:r>
    </w:p>
    <w:p w14:paraId="7F79A5B5" w14:textId="77777777" w:rsidR="00A3021A" w:rsidRPr="00701439" w:rsidRDefault="00A3021A" w:rsidP="00A3021A">
      <w:pPr>
        <w:autoSpaceDE w:val="0"/>
        <w:autoSpaceDN w:val="0"/>
        <w:adjustRightInd w:val="0"/>
        <w:jc w:val="both"/>
        <w:rPr>
          <w:rFonts w:asciiTheme="minorHAnsi" w:hAnsiTheme="minorHAnsi" w:cs="Poppins-Light"/>
          <w:sz w:val="20"/>
          <w:szCs w:val="20"/>
        </w:rPr>
      </w:pPr>
    </w:p>
    <w:p w14:paraId="78D70377" w14:textId="77777777" w:rsidR="00A3021A" w:rsidRPr="00701439" w:rsidRDefault="00A3021A" w:rsidP="00A3021A">
      <w:pPr>
        <w:autoSpaceDE w:val="0"/>
        <w:autoSpaceDN w:val="0"/>
        <w:adjustRightInd w:val="0"/>
        <w:jc w:val="both"/>
        <w:rPr>
          <w:rFonts w:asciiTheme="minorHAnsi" w:hAnsiTheme="minorHAnsi" w:cs="Poppins-Light"/>
          <w:sz w:val="20"/>
          <w:szCs w:val="20"/>
        </w:rPr>
      </w:pPr>
      <w:r w:rsidRPr="00701439">
        <w:rPr>
          <w:rFonts w:asciiTheme="minorHAnsi" w:hAnsiTheme="minorHAnsi" w:cs="Poppins-Light"/>
          <w:sz w:val="20"/>
          <w:szCs w:val="20"/>
        </w:rPr>
        <w:t>The movement in the deferred tax balance during the year can be analysed as follows:</w:t>
      </w:r>
    </w:p>
    <w:p w14:paraId="6BACF007" w14:textId="77777777" w:rsidR="00A3021A" w:rsidRPr="00701439" w:rsidRDefault="00A3021A" w:rsidP="00A3021A">
      <w:pPr>
        <w:autoSpaceDE w:val="0"/>
        <w:autoSpaceDN w:val="0"/>
        <w:adjustRightInd w:val="0"/>
        <w:jc w:val="both"/>
        <w:rPr>
          <w:rFonts w:asciiTheme="minorHAnsi" w:hAnsiTheme="minorHAnsi" w:cs="Poppins-Light"/>
          <w:sz w:val="20"/>
          <w:szCs w:val="20"/>
        </w:rPr>
      </w:pPr>
    </w:p>
    <w:tbl>
      <w:tblPr>
        <w:tblW w:w="11392" w:type="dxa"/>
        <w:tblInd w:w="108" w:type="dxa"/>
        <w:tblLayout w:type="fixed"/>
        <w:tblLook w:val="0000" w:firstRow="0" w:lastRow="0" w:firstColumn="0" w:lastColumn="0" w:noHBand="0" w:noVBand="0"/>
      </w:tblPr>
      <w:tblGrid>
        <w:gridCol w:w="2387"/>
        <w:gridCol w:w="1323"/>
        <w:gridCol w:w="1469"/>
        <w:gridCol w:w="1030"/>
        <w:gridCol w:w="1185"/>
        <w:gridCol w:w="1334"/>
        <w:gridCol w:w="1334"/>
        <w:gridCol w:w="1330"/>
      </w:tblGrid>
      <w:tr w:rsidR="00770D6B" w:rsidRPr="00701439" w14:paraId="250E5708" w14:textId="77777777" w:rsidTr="00770D6B">
        <w:trPr>
          <w:gridAfter w:val="1"/>
          <w:wAfter w:w="1283" w:type="dxa"/>
          <w:trHeight w:val="228"/>
        </w:trPr>
        <w:tc>
          <w:tcPr>
            <w:tcW w:w="2302" w:type="dxa"/>
            <w:tcBorders>
              <w:top w:val="nil"/>
              <w:left w:val="nil"/>
              <w:bottom w:val="nil"/>
              <w:right w:val="nil"/>
            </w:tcBorders>
            <w:vAlign w:val="bottom"/>
          </w:tcPr>
          <w:p w14:paraId="2E391B64" w14:textId="77777777" w:rsidR="00770D6B" w:rsidRPr="00701439" w:rsidRDefault="00770D6B" w:rsidP="00770D6B">
            <w:pPr>
              <w:rPr>
                <w:rFonts w:ascii="Calibri" w:hAnsi="Calibri" w:cs="Arial"/>
                <w:sz w:val="20"/>
                <w:szCs w:val="20"/>
              </w:rPr>
            </w:pPr>
            <w:bookmarkStart w:id="20" w:name="_Hlk130470393"/>
          </w:p>
        </w:tc>
        <w:tc>
          <w:tcPr>
            <w:tcW w:w="1276" w:type="dxa"/>
            <w:tcBorders>
              <w:top w:val="nil"/>
              <w:left w:val="nil"/>
              <w:bottom w:val="nil"/>
              <w:right w:val="nil"/>
            </w:tcBorders>
            <w:vAlign w:val="bottom"/>
          </w:tcPr>
          <w:p w14:paraId="5FDC84F2" w14:textId="77777777" w:rsidR="00770D6B" w:rsidRPr="00701439" w:rsidRDefault="00770D6B" w:rsidP="00770D6B">
            <w:pPr>
              <w:jc w:val="center"/>
              <w:rPr>
                <w:rFonts w:ascii="Calibri" w:hAnsi="Calibri" w:cs="Arial"/>
                <w:sz w:val="20"/>
                <w:szCs w:val="20"/>
              </w:rPr>
            </w:pPr>
          </w:p>
        </w:tc>
        <w:tc>
          <w:tcPr>
            <w:tcW w:w="1417" w:type="dxa"/>
            <w:tcBorders>
              <w:top w:val="nil"/>
              <w:left w:val="nil"/>
              <w:bottom w:val="nil"/>
              <w:right w:val="nil"/>
            </w:tcBorders>
            <w:vAlign w:val="bottom"/>
          </w:tcPr>
          <w:p w14:paraId="29E52BE8" w14:textId="77777777" w:rsidR="00770D6B" w:rsidRPr="00701439" w:rsidRDefault="00770D6B" w:rsidP="00770D6B">
            <w:pPr>
              <w:jc w:val="center"/>
              <w:rPr>
                <w:rFonts w:ascii="Calibri" w:hAnsi="Calibri" w:cs="Arial"/>
                <w:sz w:val="20"/>
                <w:szCs w:val="20"/>
              </w:rPr>
            </w:pPr>
            <w:r w:rsidRPr="00701439">
              <w:rPr>
                <w:rFonts w:ascii="Calibri" w:hAnsi="Calibri" w:cs="Arial"/>
                <w:sz w:val="20"/>
                <w:szCs w:val="20"/>
              </w:rPr>
              <w:t xml:space="preserve">             2022</w:t>
            </w:r>
          </w:p>
        </w:tc>
        <w:tc>
          <w:tcPr>
            <w:tcW w:w="993" w:type="dxa"/>
            <w:tcBorders>
              <w:top w:val="nil"/>
              <w:left w:val="nil"/>
              <w:bottom w:val="nil"/>
              <w:right w:val="nil"/>
            </w:tcBorders>
            <w:vAlign w:val="bottom"/>
          </w:tcPr>
          <w:p w14:paraId="57D21DA6" w14:textId="77777777" w:rsidR="00770D6B" w:rsidRPr="00701439" w:rsidRDefault="00770D6B" w:rsidP="00770D6B">
            <w:pPr>
              <w:jc w:val="center"/>
              <w:rPr>
                <w:rFonts w:ascii="Calibri" w:hAnsi="Calibri" w:cs="Arial"/>
                <w:sz w:val="20"/>
                <w:szCs w:val="20"/>
              </w:rPr>
            </w:pPr>
          </w:p>
        </w:tc>
        <w:tc>
          <w:tcPr>
            <w:tcW w:w="1143" w:type="dxa"/>
            <w:tcBorders>
              <w:top w:val="nil"/>
              <w:left w:val="nil"/>
              <w:bottom w:val="nil"/>
              <w:right w:val="nil"/>
            </w:tcBorders>
          </w:tcPr>
          <w:p w14:paraId="32C85640" w14:textId="77777777" w:rsidR="00770D6B" w:rsidRPr="00701439" w:rsidRDefault="00770D6B" w:rsidP="00770D6B">
            <w:pPr>
              <w:jc w:val="right"/>
              <w:rPr>
                <w:rFonts w:ascii="Calibri" w:hAnsi="Calibri" w:cs="Arial"/>
                <w:sz w:val="20"/>
                <w:szCs w:val="20"/>
              </w:rPr>
            </w:pPr>
          </w:p>
        </w:tc>
        <w:tc>
          <w:tcPr>
            <w:tcW w:w="1286" w:type="dxa"/>
            <w:tcBorders>
              <w:top w:val="nil"/>
              <w:left w:val="nil"/>
              <w:bottom w:val="nil"/>
              <w:right w:val="nil"/>
            </w:tcBorders>
            <w:vAlign w:val="bottom"/>
          </w:tcPr>
          <w:p w14:paraId="4AA1B323" w14:textId="77777777" w:rsidR="00770D6B" w:rsidRPr="00701439" w:rsidRDefault="00770D6B" w:rsidP="00770D6B">
            <w:pPr>
              <w:jc w:val="right"/>
              <w:rPr>
                <w:rFonts w:ascii="Calibri" w:hAnsi="Calibri" w:cs="Arial"/>
                <w:sz w:val="20"/>
                <w:szCs w:val="20"/>
              </w:rPr>
            </w:pPr>
            <w:r w:rsidRPr="00701439">
              <w:rPr>
                <w:rFonts w:ascii="Calibri" w:hAnsi="Calibri" w:cs="Arial"/>
                <w:sz w:val="20"/>
                <w:szCs w:val="20"/>
              </w:rPr>
              <w:t xml:space="preserve">             2021</w:t>
            </w:r>
          </w:p>
        </w:tc>
        <w:tc>
          <w:tcPr>
            <w:tcW w:w="1286" w:type="dxa"/>
            <w:tcBorders>
              <w:top w:val="nil"/>
              <w:left w:val="nil"/>
              <w:bottom w:val="nil"/>
              <w:right w:val="nil"/>
            </w:tcBorders>
          </w:tcPr>
          <w:p w14:paraId="3862100B" w14:textId="77777777" w:rsidR="00770D6B" w:rsidRPr="00701439" w:rsidRDefault="00770D6B" w:rsidP="00770D6B">
            <w:pPr>
              <w:jc w:val="right"/>
              <w:rPr>
                <w:rFonts w:ascii="Calibri" w:hAnsi="Calibri" w:cs="Arial"/>
                <w:sz w:val="20"/>
                <w:szCs w:val="20"/>
              </w:rPr>
            </w:pPr>
          </w:p>
        </w:tc>
      </w:tr>
      <w:tr w:rsidR="00770D6B" w:rsidRPr="00701439" w14:paraId="1DA6967A" w14:textId="77777777" w:rsidTr="00770D6B">
        <w:trPr>
          <w:gridAfter w:val="1"/>
          <w:wAfter w:w="1283" w:type="dxa"/>
          <w:trHeight w:val="228"/>
        </w:trPr>
        <w:tc>
          <w:tcPr>
            <w:tcW w:w="2302" w:type="dxa"/>
            <w:tcBorders>
              <w:top w:val="nil"/>
              <w:left w:val="nil"/>
              <w:bottom w:val="nil"/>
              <w:right w:val="nil"/>
            </w:tcBorders>
            <w:vAlign w:val="bottom"/>
          </w:tcPr>
          <w:p w14:paraId="322D8A00" w14:textId="77777777" w:rsidR="00770D6B" w:rsidRPr="00701439" w:rsidRDefault="00770D6B" w:rsidP="00770D6B">
            <w:pPr>
              <w:rPr>
                <w:rFonts w:ascii="Calibri" w:hAnsi="Calibri" w:cs="Arial"/>
                <w:b/>
                <w:sz w:val="20"/>
                <w:szCs w:val="20"/>
              </w:rPr>
            </w:pPr>
          </w:p>
        </w:tc>
        <w:tc>
          <w:tcPr>
            <w:tcW w:w="1276" w:type="dxa"/>
            <w:tcBorders>
              <w:top w:val="nil"/>
              <w:left w:val="nil"/>
              <w:bottom w:val="nil"/>
              <w:right w:val="nil"/>
            </w:tcBorders>
            <w:vAlign w:val="bottom"/>
          </w:tcPr>
          <w:p w14:paraId="1813EF67" w14:textId="77777777" w:rsidR="00770D6B" w:rsidRPr="00701439" w:rsidRDefault="00770D6B" w:rsidP="00770D6B">
            <w:pPr>
              <w:jc w:val="right"/>
              <w:rPr>
                <w:rFonts w:ascii="Calibri" w:hAnsi="Calibri" w:cs="Arial"/>
                <w:sz w:val="20"/>
                <w:szCs w:val="20"/>
              </w:rPr>
            </w:pPr>
            <w:r w:rsidRPr="00701439">
              <w:rPr>
                <w:rFonts w:ascii="Calibri" w:hAnsi="Calibri" w:cs="Arial"/>
                <w:sz w:val="20"/>
                <w:szCs w:val="20"/>
              </w:rPr>
              <w:t>Continuing operations</w:t>
            </w:r>
          </w:p>
        </w:tc>
        <w:tc>
          <w:tcPr>
            <w:tcW w:w="1417" w:type="dxa"/>
            <w:tcBorders>
              <w:top w:val="nil"/>
              <w:left w:val="nil"/>
              <w:bottom w:val="nil"/>
              <w:right w:val="nil"/>
            </w:tcBorders>
            <w:vAlign w:val="bottom"/>
          </w:tcPr>
          <w:p w14:paraId="4FD40E3F" w14:textId="77777777" w:rsidR="00770D6B" w:rsidRPr="00701439" w:rsidRDefault="00770D6B" w:rsidP="00770D6B">
            <w:pPr>
              <w:jc w:val="right"/>
              <w:rPr>
                <w:rFonts w:ascii="Calibri" w:hAnsi="Calibri" w:cs="Arial"/>
                <w:sz w:val="20"/>
                <w:szCs w:val="20"/>
              </w:rPr>
            </w:pPr>
            <w:r w:rsidRPr="00701439">
              <w:rPr>
                <w:rFonts w:ascii="Calibri" w:hAnsi="Calibri" w:cs="Arial"/>
                <w:sz w:val="20"/>
                <w:szCs w:val="20"/>
              </w:rPr>
              <w:t>Discontinued operations</w:t>
            </w:r>
          </w:p>
        </w:tc>
        <w:tc>
          <w:tcPr>
            <w:tcW w:w="993" w:type="dxa"/>
            <w:tcBorders>
              <w:top w:val="nil"/>
              <w:left w:val="nil"/>
              <w:bottom w:val="nil"/>
              <w:right w:val="nil"/>
            </w:tcBorders>
            <w:vAlign w:val="bottom"/>
          </w:tcPr>
          <w:p w14:paraId="153359D6" w14:textId="77777777" w:rsidR="00770D6B" w:rsidRPr="00701439" w:rsidRDefault="00770D6B" w:rsidP="00770D6B">
            <w:pPr>
              <w:jc w:val="right"/>
              <w:rPr>
                <w:rFonts w:ascii="Calibri" w:hAnsi="Calibri" w:cs="Arial"/>
                <w:sz w:val="20"/>
                <w:szCs w:val="20"/>
              </w:rPr>
            </w:pPr>
            <w:r w:rsidRPr="00701439">
              <w:rPr>
                <w:rFonts w:ascii="Calibri" w:hAnsi="Calibri" w:cs="Arial"/>
                <w:sz w:val="20"/>
                <w:szCs w:val="20"/>
              </w:rPr>
              <w:t>Total</w:t>
            </w:r>
          </w:p>
        </w:tc>
        <w:tc>
          <w:tcPr>
            <w:tcW w:w="1143" w:type="dxa"/>
            <w:tcBorders>
              <w:top w:val="nil"/>
              <w:left w:val="nil"/>
              <w:right w:val="nil"/>
            </w:tcBorders>
            <w:vAlign w:val="bottom"/>
          </w:tcPr>
          <w:p w14:paraId="6E0A1D23" w14:textId="77777777" w:rsidR="00770D6B" w:rsidRPr="00701439" w:rsidRDefault="00770D6B" w:rsidP="00770D6B">
            <w:pPr>
              <w:jc w:val="right"/>
              <w:rPr>
                <w:rFonts w:ascii="Calibri" w:hAnsi="Calibri" w:cs="Arial"/>
                <w:sz w:val="20"/>
                <w:szCs w:val="20"/>
              </w:rPr>
            </w:pPr>
            <w:r w:rsidRPr="00701439">
              <w:rPr>
                <w:rFonts w:ascii="Calibri" w:hAnsi="Calibri" w:cs="Arial"/>
                <w:sz w:val="20"/>
                <w:szCs w:val="20"/>
              </w:rPr>
              <w:t>Continuing operations</w:t>
            </w:r>
          </w:p>
        </w:tc>
        <w:tc>
          <w:tcPr>
            <w:tcW w:w="1286" w:type="dxa"/>
            <w:tcBorders>
              <w:top w:val="nil"/>
              <w:left w:val="nil"/>
              <w:right w:val="nil"/>
            </w:tcBorders>
            <w:vAlign w:val="bottom"/>
          </w:tcPr>
          <w:p w14:paraId="150CC2FA" w14:textId="77777777" w:rsidR="00770D6B" w:rsidRPr="00701439" w:rsidRDefault="00770D6B" w:rsidP="00770D6B">
            <w:pPr>
              <w:jc w:val="right"/>
              <w:rPr>
                <w:rFonts w:ascii="Calibri" w:hAnsi="Calibri" w:cs="Arial"/>
                <w:sz w:val="20"/>
                <w:szCs w:val="20"/>
              </w:rPr>
            </w:pPr>
            <w:r w:rsidRPr="00701439">
              <w:rPr>
                <w:rFonts w:ascii="Calibri" w:hAnsi="Calibri" w:cs="Arial"/>
                <w:sz w:val="20"/>
                <w:szCs w:val="20"/>
              </w:rPr>
              <w:t>Discontinued operations</w:t>
            </w:r>
          </w:p>
        </w:tc>
        <w:tc>
          <w:tcPr>
            <w:tcW w:w="1286" w:type="dxa"/>
            <w:tcBorders>
              <w:top w:val="nil"/>
              <w:left w:val="nil"/>
              <w:right w:val="nil"/>
            </w:tcBorders>
            <w:vAlign w:val="bottom"/>
          </w:tcPr>
          <w:p w14:paraId="25A09CA8" w14:textId="77777777" w:rsidR="00770D6B" w:rsidRPr="00701439" w:rsidRDefault="00770D6B" w:rsidP="00770D6B">
            <w:pPr>
              <w:jc w:val="right"/>
              <w:rPr>
                <w:rFonts w:ascii="Calibri" w:hAnsi="Calibri" w:cs="Arial"/>
                <w:sz w:val="20"/>
                <w:szCs w:val="20"/>
              </w:rPr>
            </w:pPr>
            <w:r w:rsidRPr="00701439">
              <w:rPr>
                <w:rFonts w:ascii="Calibri" w:hAnsi="Calibri" w:cs="Arial"/>
                <w:sz w:val="20"/>
                <w:szCs w:val="20"/>
              </w:rPr>
              <w:t>Total</w:t>
            </w:r>
          </w:p>
        </w:tc>
      </w:tr>
      <w:tr w:rsidR="00770D6B" w:rsidRPr="00701439" w14:paraId="0A283B42" w14:textId="77777777" w:rsidTr="00770D6B">
        <w:trPr>
          <w:trHeight w:val="240"/>
        </w:trPr>
        <w:tc>
          <w:tcPr>
            <w:tcW w:w="2302" w:type="dxa"/>
            <w:tcBorders>
              <w:top w:val="nil"/>
              <w:left w:val="nil"/>
              <w:bottom w:val="nil"/>
              <w:right w:val="nil"/>
            </w:tcBorders>
            <w:vAlign w:val="bottom"/>
          </w:tcPr>
          <w:p w14:paraId="1AE777B3" w14:textId="77777777" w:rsidR="00770D6B" w:rsidRPr="00701439" w:rsidRDefault="00770D6B" w:rsidP="00770D6B">
            <w:pPr>
              <w:rPr>
                <w:rFonts w:ascii="Calibri" w:hAnsi="Calibri" w:cs="Arial"/>
                <w:b/>
                <w:sz w:val="20"/>
                <w:szCs w:val="20"/>
              </w:rPr>
            </w:pPr>
            <w:r w:rsidRPr="00701439">
              <w:rPr>
                <w:rFonts w:ascii="Calibri" w:hAnsi="Calibri" w:cs="Arial"/>
                <w:b/>
                <w:sz w:val="20"/>
                <w:szCs w:val="20"/>
              </w:rPr>
              <w:t>Asset/(liability)</w:t>
            </w:r>
          </w:p>
        </w:tc>
        <w:tc>
          <w:tcPr>
            <w:tcW w:w="1276" w:type="dxa"/>
            <w:tcBorders>
              <w:top w:val="nil"/>
              <w:left w:val="nil"/>
              <w:bottom w:val="single" w:sz="4" w:space="0" w:color="auto"/>
              <w:right w:val="nil"/>
            </w:tcBorders>
            <w:vAlign w:val="bottom"/>
          </w:tcPr>
          <w:p w14:paraId="3CE7DC67" w14:textId="77777777" w:rsidR="00770D6B" w:rsidRPr="00701439" w:rsidRDefault="00770D6B" w:rsidP="00770D6B">
            <w:pPr>
              <w:jc w:val="right"/>
              <w:rPr>
                <w:rFonts w:ascii="Calibri" w:hAnsi="Calibri" w:cs="Arial"/>
                <w:sz w:val="20"/>
                <w:szCs w:val="20"/>
              </w:rPr>
            </w:pPr>
            <w:r w:rsidRPr="00701439">
              <w:rPr>
                <w:rFonts w:ascii="Calibri" w:hAnsi="Calibri" w:cs="Arial"/>
                <w:sz w:val="20"/>
                <w:szCs w:val="20"/>
              </w:rPr>
              <w:t>£m </w:t>
            </w:r>
          </w:p>
        </w:tc>
        <w:tc>
          <w:tcPr>
            <w:tcW w:w="1417" w:type="dxa"/>
            <w:tcBorders>
              <w:top w:val="nil"/>
              <w:left w:val="nil"/>
              <w:bottom w:val="single" w:sz="4" w:space="0" w:color="auto"/>
              <w:right w:val="nil"/>
            </w:tcBorders>
            <w:vAlign w:val="bottom"/>
          </w:tcPr>
          <w:p w14:paraId="25FF351C" w14:textId="77777777" w:rsidR="00770D6B" w:rsidRPr="00701439" w:rsidRDefault="00770D6B" w:rsidP="00770D6B">
            <w:pPr>
              <w:jc w:val="right"/>
              <w:rPr>
                <w:rFonts w:ascii="Calibri" w:hAnsi="Calibri" w:cs="Arial"/>
                <w:sz w:val="20"/>
                <w:szCs w:val="20"/>
              </w:rPr>
            </w:pPr>
            <w:r w:rsidRPr="00701439">
              <w:rPr>
                <w:rFonts w:ascii="Calibri" w:hAnsi="Calibri" w:cs="Arial"/>
                <w:sz w:val="20"/>
                <w:szCs w:val="20"/>
              </w:rPr>
              <w:t>£m </w:t>
            </w:r>
          </w:p>
        </w:tc>
        <w:tc>
          <w:tcPr>
            <w:tcW w:w="993" w:type="dxa"/>
            <w:tcBorders>
              <w:top w:val="nil"/>
              <w:left w:val="nil"/>
              <w:bottom w:val="single" w:sz="4" w:space="0" w:color="auto"/>
              <w:right w:val="nil"/>
            </w:tcBorders>
            <w:vAlign w:val="bottom"/>
          </w:tcPr>
          <w:p w14:paraId="4AA536E8" w14:textId="77777777" w:rsidR="00770D6B" w:rsidRPr="00701439" w:rsidRDefault="00770D6B" w:rsidP="00770D6B">
            <w:pPr>
              <w:jc w:val="right"/>
              <w:rPr>
                <w:rFonts w:ascii="Calibri" w:hAnsi="Calibri" w:cs="Arial"/>
                <w:sz w:val="20"/>
                <w:szCs w:val="20"/>
              </w:rPr>
            </w:pPr>
            <w:r w:rsidRPr="00701439">
              <w:rPr>
                <w:rFonts w:ascii="Calibri" w:hAnsi="Calibri" w:cs="Arial"/>
                <w:sz w:val="20"/>
                <w:szCs w:val="20"/>
              </w:rPr>
              <w:t>£m </w:t>
            </w:r>
          </w:p>
        </w:tc>
        <w:tc>
          <w:tcPr>
            <w:tcW w:w="1143" w:type="dxa"/>
            <w:tcBorders>
              <w:bottom w:val="single" w:sz="4" w:space="0" w:color="auto"/>
            </w:tcBorders>
            <w:vAlign w:val="bottom"/>
          </w:tcPr>
          <w:p w14:paraId="3F3843EA" w14:textId="77777777" w:rsidR="00770D6B" w:rsidRPr="00701439" w:rsidRDefault="00770D6B" w:rsidP="00770D6B">
            <w:pPr>
              <w:jc w:val="right"/>
              <w:rPr>
                <w:rFonts w:ascii="Calibri" w:hAnsi="Calibri" w:cs="Arial"/>
                <w:sz w:val="20"/>
                <w:szCs w:val="20"/>
              </w:rPr>
            </w:pPr>
            <w:r w:rsidRPr="00701439">
              <w:rPr>
                <w:rFonts w:ascii="Calibri" w:hAnsi="Calibri" w:cs="Arial"/>
                <w:sz w:val="20"/>
                <w:szCs w:val="20"/>
              </w:rPr>
              <w:t>£m </w:t>
            </w:r>
          </w:p>
        </w:tc>
        <w:tc>
          <w:tcPr>
            <w:tcW w:w="1286" w:type="dxa"/>
            <w:tcBorders>
              <w:bottom w:val="single" w:sz="4" w:space="0" w:color="auto"/>
            </w:tcBorders>
            <w:vAlign w:val="bottom"/>
          </w:tcPr>
          <w:p w14:paraId="6C92357B" w14:textId="77777777" w:rsidR="00770D6B" w:rsidRPr="00701439" w:rsidRDefault="00770D6B" w:rsidP="00770D6B">
            <w:pPr>
              <w:jc w:val="right"/>
              <w:rPr>
                <w:rFonts w:ascii="Calibri" w:hAnsi="Calibri" w:cs="Arial"/>
                <w:sz w:val="20"/>
                <w:szCs w:val="20"/>
              </w:rPr>
            </w:pPr>
            <w:r w:rsidRPr="00701439">
              <w:rPr>
                <w:rFonts w:ascii="Calibri" w:hAnsi="Calibri" w:cs="Arial"/>
                <w:sz w:val="20"/>
                <w:szCs w:val="20"/>
              </w:rPr>
              <w:t>£m </w:t>
            </w:r>
          </w:p>
        </w:tc>
        <w:tc>
          <w:tcPr>
            <w:tcW w:w="1286" w:type="dxa"/>
            <w:tcBorders>
              <w:bottom w:val="single" w:sz="4" w:space="0" w:color="auto"/>
            </w:tcBorders>
          </w:tcPr>
          <w:p w14:paraId="401AA8D8" w14:textId="77777777" w:rsidR="00770D6B" w:rsidRPr="00701439" w:rsidRDefault="00770D6B" w:rsidP="00770D6B">
            <w:pPr>
              <w:jc w:val="right"/>
            </w:pPr>
            <w:r w:rsidRPr="00701439">
              <w:rPr>
                <w:rFonts w:ascii="Calibri" w:hAnsi="Calibri" w:cs="Arial"/>
                <w:sz w:val="20"/>
                <w:szCs w:val="20"/>
              </w:rPr>
              <w:t>£m </w:t>
            </w:r>
          </w:p>
        </w:tc>
        <w:tc>
          <w:tcPr>
            <w:tcW w:w="1283" w:type="dxa"/>
            <w:vAlign w:val="bottom"/>
          </w:tcPr>
          <w:p w14:paraId="59CC355E" w14:textId="77777777" w:rsidR="00770D6B" w:rsidRPr="00701439" w:rsidRDefault="00770D6B" w:rsidP="00770D6B">
            <w:r w:rsidRPr="00701439">
              <w:rPr>
                <w:rFonts w:ascii="Calibri" w:hAnsi="Calibri" w:cs="Arial"/>
                <w:sz w:val="20"/>
                <w:szCs w:val="20"/>
              </w:rPr>
              <w:t> </w:t>
            </w:r>
          </w:p>
        </w:tc>
      </w:tr>
      <w:tr w:rsidR="00770D6B" w:rsidRPr="00701439" w14:paraId="6786974D" w14:textId="77777777" w:rsidTr="00770D6B">
        <w:trPr>
          <w:gridAfter w:val="1"/>
          <w:wAfter w:w="1283" w:type="dxa"/>
          <w:trHeight w:val="228"/>
        </w:trPr>
        <w:tc>
          <w:tcPr>
            <w:tcW w:w="2302" w:type="dxa"/>
            <w:tcBorders>
              <w:top w:val="nil"/>
              <w:left w:val="nil"/>
              <w:bottom w:val="nil"/>
              <w:right w:val="nil"/>
            </w:tcBorders>
            <w:vAlign w:val="bottom"/>
          </w:tcPr>
          <w:p w14:paraId="4475F9DD" w14:textId="77777777" w:rsidR="00770D6B" w:rsidRPr="00701439" w:rsidRDefault="00770D6B" w:rsidP="00770D6B">
            <w:pPr>
              <w:rPr>
                <w:rFonts w:ascii="Calibri" w:hAnsi="Calibri" w:cs="Arial"/>
                <w:sz w:val="20"/>
                <w:szCs w:val="20"/>
              </w:rPr>
            </w:pPr>
            <w:proofErr w:type="gramStart"/>
            <w:r w:rsidRPr="00701439">
              <w:rPr>
                <w:rFonts w:ascii="Calibri" w:hAnsi="Calibri" w:cs="Arial"/>
                <w:sz w:val="20"/>
                <w:szCs w:val="20"/>
              </w:rPr>
              <w:t>At</w:t>
            </w:r>
            <w:proofErr w:type="gramEnd"/>
            <w:r w:rsidRPr="00701439">
              <w:rPr>
                <w:rFonts w:ascii="Calibri" w:hAnsi="Calibri" w:cs="Arial"/>
                <w:sz w:val="20"/>
                <w:szCs w:val="20"/>
              </w:rPr>
              <w:t xml:space="preserve"> 1 January</w:t>
            </w:r>
          </w:p>
        </w:tc>
        <w:tc>
          <w:tcPr>
            <w:tcW w:w="1276" w:type="dxa"/>
            <w:tcBorders>
              <w:top w:val="nil"/>
              <w:left w:val="nil"/>
              <w:bottom w:val="nil"/>
              <w:right w:val="nil"/>
            </w:tcBorders>
            <w:shd w:val="clear" w:color="auto" w:fill="auto"/>
            <w:vAlign w:val="bottom"/>
          </w:tcPr>
          <w:p w14:paraId="7CFF7789" w14:textId="77777777" w:rsidR="00770D6B" w:rsidRPr="00701439" w:rsidRDefault="00770D6B" w:rsidP="00770D6B">
            <w:pPr>
              <w:jc w:val="right"/>
              <w:rPr>
                <w:rFonts w:ascii="Calibri" w:hAnsi="Calibri" w:cs="Arial"/>
                <w:sz w:val="20"/>
                <w:szCs w:val="20"/>
              </w:rPr>
            </w:pPr>
            <w:r w:rsidRPr="00701439">
              <w:rPr>
                <w:rFonts w:ascii="Calibri" w:hAnsi="Calibri" w:cs="Arial"/>
                <w:sz w:val="20"/>
                <w:szCs w:val="20"/>
              </w:rPr>
              <w:t>6.9</w:t>
            </w:r>
          </w:p>
        </w:tc>
        <w:tc>
          <w:tcPr>
            <w:tcW w:w="1417" w:type="dxa"/>
            <w:tcBorders>
              <w:top w:val="nil"/>
              <w:left w:val="nil"/>
              <w:bottom w:val="nil"/>
              <w:right w:val="nil"/>
            </w:tcBorders>
            <w:shd w:val="clear" w:color="auto" w:fill="auto"/>
            <w:vAlign w:val="bottom"/>
          </w:tcPr>
          <w:p w14:paraId="6F99C451" w14:textId="77777777" w:rsidR="00770D6B" w:rsidRPr="00701439" w:rsidRDefault="00770D6B" w:rsidP="00770D6B">
            <w:pPr>
              <w:jc w:val="right"/>
              <w:rPr>
                <w:rFonts w:ascii="Calibri" w:hAnsi="Calibri" w:cs="Arial"/>
                <w:sz w:val="20"/>
                <w:szCs w:val="20"/>
              </w:rPr>
            </w:pPr>
            <w:r w:rsidRPr="00701439">
              <w:rPr>
                <w:rFonts w:ascii="Calibri" w:hAnsi="Calibri" w:cs="Arial"/>
                <w:sz w:val="20"/>
                <w:szCs w:val="20"/>
              </w:rPr>
              <w:t>-</w:t>
            </w:r>
          </w:p>
        </w:tc>
        <w:tc>
          <w:tcPr>
            <w:tcW w:w="993" w:type="dxa"/>
            <w:tcBorders>
              <w:top w:val="nil"/>
              <w:left w:val="nil"/>
              <w:bottom w:val="nil"/>
              <w:right w:val="nil"/>
            </w:tcBorders>
            <w:shd w:val="clear" w:color="auto" w:fill="auto"/>
            <w:vAlign w:val="bottom"/>
          </w:tcPr>
          <w:p w14:paraId="790D59DF" w14:textId="77777777" w:rsidR="00770D6B" w:rsidRPr="00701439" w:rsidRDefault="00770D6B" w:rsidP="00770D6B">
            <w:pPr>
              <w:jc w:val="right"/>
              <w:rPr>
                <w:rFonts w:ascii="Calibri" w:hAnsi="Calibri" w:cs="Arial"/>
                <w:sz w:val="20"/>
                <w:szCs w:val="20"/>
              </w:rPr>
            </w:pPr>
            <w:r w:rsidRPr="00701439">
              <w:rPr>
                <w:rFonts w:ascii="Calibri" w:hAnsi="Calibri" w:cs="Arial"/>
                <w:sz w:val="20"/>
                <w:szCs w:val="20"/>
              </w:rPr>
              <w:t>6.9</w:t>
            </w:r>
          </w:p>
        </w:tc>
        <w:tc>
          <w:tcPr>
            <w:tcW w:w="1143" w:type="dxa"/>
            <w:tcBorders>
              <w:top w:val="nil"/>
              <w:left w:val="nil"/>
              <w:bottom w:val="nil"/>
              <w:right w:val="nil"/>
            </w:tcBorders>
            <w:vAlign w:val="bottom"/>
          </w:tcPr>
          <w:p w14:paraId="103DC95C" w14:textId="77777777" w:rsidR="00770D6B" w:rsidRPr="00701439" w:rsidRDefault="00770D6B" w:rsidP="00770D6B">
            <w:pPr>
              <w:jc w:val="right"/>
              <w:rPr>
                <w:rFonts w:ascii="Calibri" w:hAnsi="Calibri" w:cs="Arial"/>
                <w:sz w:val="20"/>
                <w:szCs w:val="20"/>
              </w:rPr>
            </w:pPr>
            <w:r w:rsidRPr="00701439">
              <w:rPr>
                <w:rFonts w:ascii="Calibri" w:hAnsi="Calibri" w:cs="Arial"/>
                <w:sz w:val="20"/>
                <w:szCs w:val="20"/>
              </w:rPr>
              <w:t>12.1</w:t>
            </w:r>
          </w:p>
        </w:tc>
        <w:tc>
          <w:tcPr>
            <w:tcW w:w="1286" w:type="dxa"/>
            <w:tcBorders>
              <w:top w:val="nil"/>
              <w:left w:val="nil"/>
              <w:bottom w:val="nil"/>
              <w:right w:val="nil"/>
            </w:tcBorders>
            <w:vAlign w:val="bottom"/>
          </w:tcPr>
          <w:p w14:paraId="2D627FF3" w14:textId="77777777" w:rsidR="00770D6B" w:rsidRPr="00701439" w:rsidRDefault="00770D6B" w:rsidP="00770D6B">
            <w:pPr>
              <w:jc w:val="right"/>
              <w:rPr>
                <w:rFonts w:ascii="Calibri" w:hAnsi="Calibri" w:cs="Arial"/>
                <w:sz w:val="20"/>
                <w:szCs w:val="20"/>
              </w:rPr>
            </w:pPr>
            <w:r w:rsidRPr="00701439">
              <w:rPr>
                <w:rFonts w:ascii="Calibri" w:hAnsi="Calibri" w:cs="Arial"/>
                <w:sz w:val="20"/>
                <w:szCs w:val="20"/>
              </w:rPr>
              <w:t>31.9</w:t>
            </w:r>
          </w:p>
        </w:tc>
        <w:tc>
          <w:tcPr>
            <w:tcW w:w="1286" w:type="dxa"/>
            <w:tcBorders>
              <w:top w:val="nil"/>
              <w:left w:val="nil"/>
              <w:bottom w:val="nil"/>
              <w:right w:val="nil"/>
            </w:tcBorders>
            <w:vAlign w:val="bottom"/>
          </w:tcPr>
          <w:p w14:paraId="36D36997" w14:textId="77777777" w:rsidR="00770D6B" w:rsidRPr="00701439" w:rsidRDefault="00770D6B" w:rsidP="00770D6B">
            <w:pPr>
              <w:jc w:val="right"/>
              <w:rPr>
                <w:rFonts w:ascii="Calibri" w:hAnsi="Calibri" w:cs="Arial"/>
                <w:sz w:val="20"/>
                <w:szCs w:val="20"/>
              </w:rPr>
            </w:pPr>
            <w:r w:rsidRPr="00701439">
              <w:rPr>
                <w:rFonts w:ascii="Calibri" w:hAnsi="Calibri" w:cs="Arial"/>
                <w:sz w:val="20"/>
                <w:szCs w:val="20"/>
              </w:rPr>
              <w:t>44.0</w:t>
            </w:r>
          </w:p>
        </w:tc>
      </w:tr>
      <w:tr w:rsidR="00770D6B" w:rsidRPr="00701439" w14:paraId="0AB0DA04" w14:textId="77777777" w:rsidTr="00770D6B">
        <w:trPr>
          <w:gridAfter w:val="1"/>
          <w:wAfter w:w="1283" w:type="dxa"/>
          <w:trHeight w:val="240"/>
        </w:trPr>
        <w:tc>
          <w:tcPr>
            <w:tcW w:w="2302" w:type="dxa"/>
            <w:tcBorders>
              <w:top w:val="nil"/>
              <w:left w:val="nil"/>
              <w:bottom w:val="nil"/>
              <w:right w:val="nil"/>
            </w:tcBorders>
            <w:vAlign w:val="bottom"/>
          </w:tcPr>
          <w:p w14:paraId="31674FD2" w14:textId="77777777" w:rsidR="00770D6B" w:rsidRPr="00701439" w:rsidRDefault="00770D6B" w:rsidP="00770D6B">
            <w:pPr>
              <w:rPr>
                <w:rFonts w:ascii="Calibri" w:hAnsi="Calibri" w:cs="Arial"/>
                <w:sz w:val="20"/>
                <w:szCs w:val="20"/>
              </w:rPr>
            </w:pPr>
            <w:r w:rsidRPr="00701439">
              <w:rPr>
                <w:rFonts w:ascii="Calibri" w:hAnsi="Calibri" w:cs="Arial"/>
                <w:sz w:val="20"/>
                <w:szCs w:val="20"/>
              </w:rPr>
              <w:t>Charge to the income statement</w:t>
            </w:r>
          </w:p>
        </w:tc>
        <w:tc>
          <w:tcPr>
            <w:tcW w:w="1276" w:type="dxa"/>
            <w:tcBorders>
              <w:top w:val="nil"/>
              <w:left w:val="nil"/>
              <w:bottom w:val="nil"/>
              <w:right w:val="nil"/>
            </w:tcBorders>
            <w:shd w:val="clear" w:color="auto" w:fill="auto"/>
            <w:vAlign w:val="bottom"/>
          </w:tcPr>
          <w:p w14:paraId="636E05E0" w14:textId="77777777" w:rsidR="00770D6B" w:rsidRPr="00701439" w:rsidRDefault="00770D6B" w:rsidP="00770D6B">
            <w:pPr>
              <w:jc w:val="right"/>
              <w:rPr>
                <w:rFonts w:ascii="Calibri" w:hAnsi="Calibri" w:cs="Calibri"/>
                <w:sz w:val="20"/>
                <w:szCs w:val="20"/>
              </w:rPr>
            </w:pPr>
            <w:r w:rsidRPr="00701439">
              <w:rPr>
                <w:rFonts w:ascii="Calibri" w:hAnsi="Calibri" w:cs="Calibri"/>
                <w:sz w:val="20"/>
                <w:szCs w:val="20"/>
              </w:rPr>
              <w:t>(10.2)</w:t>
            </w:r>
          </w:p>
        </w:tc>
        <w:tc>
          <w:tcPr>
            <w:tcW w:w="1417" w:type="dxa"/>
            <w:tcBorders>
              <w:top w:val="nil"/>
              <w:left w:val="nil"/>
              <w:bottom w:val="nil"/>
              <w:right w:val="nil"/>
            </w:tcBorders>
            <w:shd w:val="clear" w:color="auto" w:fill="auto"/>
            <w:vAlign w:val="bottom"/>
          </w:tcPr>
          <w:p w14:paraId="0EE4535F" w14:textId="77777777" w:rsidR="00770D6B" w:rsidRPr="00701439" w:rsidRDefault="00770D6B" w:rsidP="00770D6B">
            <w:pPr>
              <w:jc w:val="right"/>
              <w:rPr>
                <w:rFonts w:ascii="Calibri" w:hAnsi="Calibri" w:cs="Calibri"/>
                <w:sz w:val="20"/>
                <w:szCs w:val="20"/>
              </w:rPr>
            </w:pPr>
            <w:r w:rsidRPr="00701439">
              <w:rPr>
                <w:rFonts w:ascii="Calibri" w:hAnsi="Calibri" w:cs="Calibri"/>
                <w:sz w:val="20"/>
                <w:szCs w:val="20"/>
              </w:rPr>
              <w:t>-</w:t>
            </w:r>
          </w:p>
        </w:tc>
        <w:tc>
          <w:tcPr>
            <w:tcW w:w="993" w:type="dxa"/>
            <w:tcBorders>
              <w:top w:val="nil"/>
              <w:left w:val="nil"/>
              <w:bottom w:val="nil"/>
              <w:right w:val="nil"/>
            </w:tcBorders>
            <w:shd w:val="clear" w:color="auto" w:fill="auto"/>
            <w:vAlign w:val="bottom"/>
          </w:tcPr>
          <w:p w14:paraId="685F13B0" w14:textId="77777777" w:rsidR="00770D6B" w:rsidRPr="00701439" w:rsidRDefault="00770D6B" w:rsidP="00770D6B">
            <w:pPr>
              <w:jc w:val="right"/>
              <w:rPr>
                <w:rFonts w:ascii="Calibri" w:hAnsi="Calibri" w:cs="Calibri"/>
                <w:sz w:val="20"/>
                <w:szCs w:val="20"/>
              </w:rPr>
            </w:pPr>
            <w:r w:rsidRPr="00701439">
              <w:rPr>
                <w:rFonts w:ascii="Calibri" w:hAnsi="Calibri" w:cs="Calibri"/>
                <w:sz w:val="20"/>
                <w:szCs w:val="20"/>
              </w:rPr>
              <w:t>(10.2)</w:t>
            </w:r>
          </w:p>
        </w:tc>
        <w:tc>
          <w:tcPr>
            <w:tcW w:w="1143" w:type="dxa"/>
            <w:tcBorders>
              <w:top w:val="nil"/>
              <w:left w:val="nil"/>
              <w:bottom w:val="nil"/>
              <w:right w:val="nil"/>
            </w:tcBorders>
            <w:vAlign w:val="bottom"/>
          </w:tcPr>
          <w:p w14:paraId="22833F46" w14:textId="77777777" w:rsidR="00770D6B" w:rsidRPr="00701439" w:rsidRDefault="00770D6B" w:rsidP="00770D6B">
            <w:pPr>
              <w:jc w:val="right"/>
              <w:rPr>
                <w:rFonts w:ascii="Calibri" w:hAnsi="Calibri" w:cs="Calibri"/>
                <w:sz w:val="20"/>
                <w:szCs w:val="20"/>
              </w:rPr>
            </w:pPr>
            <w:r w:rsidRPr="00701439">
              <w:rPr>
                <w:rFonts w:ascii="Calibri" w:hAnsi="Calibri" w:cs="Calibri"/>
                <w:sz w:val="20"/>
                <w:szCs w:val="20"/>
              </w:rPr>
              <w:t>-</w:t>
            </w:r>
          </w:p>
        </w:tc>
        <w:tc>
          <w:tcPr>
            <w:tcW w:w="1286" w:type="dxa"/>
            <w:tcBorders>
              <w:top w:val="nil"/>
              <w:left w:val="nil"/>
              <w:bottom w:val="nil"/>
              <w:right w:val="nil"/>
            </w:tcBorders>
            <w:vAlign w:val="bottom"/>
          </w:tcPr>
          <w:p w14:paraId="201F2F55" w14:textId="77777777" w:rsidR="00770D6B" w:rsidRPr="00701439" w:rsidRDefault="00770D6B" w:rsidP="00770D6B">
            <w:pPr>
              <w:jc w:val="right"/>
              <w:rPr>
                <w:rFonts w:ascii="Calibri" w:hAnsi="Calibri" w:cs="Calibri"/>
                <w:sz w:val="20"/>
                <w:szCs w:val="20"/>
              </w:rPr>
            </w:pPr>
            <w:r w:rsidRPr="00701439">
              <w:rPr>
                <w:rFonts w:ascii="Calibri" w:hAnsi="Calibri" w:cs="Calibri"/>
                <w:sz w:val="20"/>
                <w:szCs w:val="20"/>
              </w:rPr>
              <w:t>(31.9)</w:t>
            </w:r>
          </w:p>
        </w:tc>
        <w:tc>
          <w:tcPr>
            <w:tcW w:w="1286" w:type="dxa"/>
            <w:tcBorders>
              <w:top w:val="nil"/>
              <w:left w:val="nil"/>
              <w:bottom w:val="nil"/>
              <w:right w:val="nil"/>
            </w:tcBorders>
            <w:vAlign w:val="bottom"/>
          </w:tcPr>
          <w:p w14:paraId="67678D9E" w14:textId="77777777" w:rsidR="00770D6B" w:rsidRPr="00701439" w:rsidRDefault="00770D6B" w:rsidP="00770D6B">
            <w:pPr>
              <w:jc w:val="right"/>
              <w:rPr>
                <w:rFonts w:ascii="Calibri" w:hAnsi="Calibri" w:cs="Calibri"/>
                <w:sz w:val="20"/>
                <w:szCs w:val="20"/>
              </w:rPr>
            </w:pPr>
            <w:r w:rsidRPr="00701439">
              <w:rPr>
                <w:rFonts w:ascii="Calibri" w:hAnsi="Calibri" w:cs="Calibri"/>
                <w:sz w:val="20"/>
                <w:szCs w:val="20"/>
              </w:rPr>
              <w:t>(31.9)</w:t>
            </w:r>
          </w:p>
        </w:tc>
      </w:tr>
      <w:tr w:rsidR="00770D6B" w:rsidRPr="00701439" w14:paraId="3E70FAE1" w14:textId="77777777" w:rsidTr="00770D6B">
        <w:trPr>
          <w:gridAfter w:val="1"/>
          <w:wAfter w:w="1283" w:type="dxa"/>
          <w:trHeight w:val="228"/>
        </w:trPr>
        <w:tc>
          <w:tcPr>
            <w:tcW w:w="2302" w:type="dxa"/>
            <w:tcBorders>
              <w:top w:val="nil"/>
              <w:left w:val="nil"/>
              <w:bottom w:val="nil"/>
              <w:right w:val="nil"/>
            </w:tcBorders>
            <w:vAlign w:val="bottom"/>
          </w:tcPr>
          <w:p w14:paraId="3DA88958" w14:textId="77777777" w:rsidR="00770D6B" w:rsidRPr="00701439" w:rsidRDefault="00770D6B" w:rsidP="00770D6B">
            <w:pPr>
              <w:rPr>
                <w:rFonts w:ascii="Calibri" w:hAnsi="Calibri" w:cs="Arial"/>
                <w:sz w:val="20"/>
                <w:szCs w:val="20"/>
              </w:rPr>
            </w:pPr>
            <w:r w:rsidRPr="00701439">
              <w:rPr>
                <w:rFonts w:ascii="Calibri" w:hAnsi="Calibri" w:cs="Arial"/>
                <w:sz w:val="20"/>
                <w:szCs w:val="20"/>
              </w:rPr>
              <w:t>Credit/(charge) on other comprehensive income prior to impact of change in UK tax rate</w:t>
            </w:r>
          </w:p>
        </w:tc>
        <w:tc>
          <w:tcPr>
            <w:tcW w:w="1276" w:type="dxa"/>
            <w:tcBorders>
              <w:top w:val="nil"/>
              <w:left w:val="nil"/>
              <w:bottom w:val="nil"/>
              <w:right w:val="nil"/>
            </w:tcBorders>
            <w:shd w:val="clear" w:color="auto" w:fill="auto"/>
            <w:vAlign w:val="bottom"/>
          </w:tcPr>
          <w:p w14:paraId="05A9D029" w14:textId="77777777" w:rsidR="00770D6B" w:rsidRPr="00701439" w:rsidRDefault="00770D6B" w:rsidP="00770D6B">
            <w:pPr>
              <w:jc w:val="right"/>
              <w:rPr>
                <w:rFonts w:ascii="Calibri" w:hAnsi="Calibri" w:cs="Calibri"/>
                <w:sz w:val="20"/>
                <w:szCs w:val="20"/>
              </w:rPr>
            </w:pPr>
            <w:r w:rsidRPr="00701439">
              <w:rPr>
                <w:rFonts w:ascii="Calibri" w:hAnsi="Calibri" w:cs="Calibri"/>
                <w:sz w:val="20"/>
                <w:szCs w:val="20"/>
              </w:rPr>
              <w:t>16.0</w:t>
            </w:r>
          </w:p>
        </w:tc>
        <w:tc>
          <w:tcPr>
            <w:tcW w:w="1417" w:type="dxa"/>
            <w:tcBorders>
              <w:top w:val="nil"/>
              <w:left w:val="nil"/>
              <w:bottom w:val="nil"/>
              <w:right w:val="nil"/>
            </w:tcBorders>
            <w:shd w:val="clear" w:color="auto" w:fill="auto"/>
            <w:vAlign w:val="bottom"/>
          </w:tcPr>
          <w:p w14:paraId="5EA36A8B" w14:textId="77777777" w:rsidR="00770D6B" w:rsidRPr="00701439" w:rsidRDefault="00770D6B" w:rsidP="00770D6B">
            <w:pPr>
              <w:jc w:val="right"/>
              <w:rPr>
                <w:rFonts w:ascii="Calibri" w:hAnsi="Calibri" w:cs="Calibri"/>
                <w:sz w:val="20"/>
                <w:szCs w:val="20"/>
              </w:rPr>
            </w:pPr>
            <w:r w:rsidRPr="00701439">
              <w:rPr>
                <w:rFonts w:ascii="Calibri" w:hAnsi="Calibri" w:cs="Calibri"/>
                <w:sz w:val="20"/>
                <w:szCs w:val="20"/>
              </w:rPr>
              <w:t>-</w:t>
            </w:r>
          </w:p>
        </w:tc>
        <w:tc>
          <w:tcPr>
            <w:tcW w:w="993" w:type="dxa"/>
            <w:tcBorders>
              <w:top w:val="nil"/>
              <w:left w:val="nil"/>
              <w:bottom w:val="nil"/>
              <w:right w:val="nil"/>
            </w:tcBorders>
            <w:shd w:val="clear" w:color="auto" w:fill="auto"/>
            <w:vAlign w:val="bottom"/>
          </w:tcPr>
          <w:p w14:paraId="3E3B326F" w14:textId="77777777" w:rsidR="00770D6B" w:rsidRPr="00701439" w:rsidRDefault="00770D6B" w:rsidP="00770D6B">
            <w:pPr>
              <w:jc w:val="right"/>
              <w:rPr>
                <w:rFonts w:ascii="Calibri" w:hAnsi="Calibri" w:cs="Calibri"/>
                <w:sz w:val="20"/>
                <w:szCs w:val="20"/>
              </w:rPr>
            </w:pPr>
            <w:r w:rsidRPr="00701439">
              <w:rPr>
                <w:rFonts w:ascii="Calibri" w:hAnsi="Calibri" w:cs="Calibri"/>
                <w:sz w:val="20"/>
                <w:szCs w:val="20"/>
              </w:rPr>
              <w:t>16.0</w:t>
            </w:r>
          </w:p>
        </w:tc>
        <w:tc>
          <w:tcPr>
            <w:tcW w:w="1143" w:type="dxa"/>
            <w:tcBorders>
              <w:top w:val="nil"/>
              <w:left w:val="nil"/>
              <w:bottom w:val="nil"/>
              <w:right w:val="nil"/>
            </w:tcBorders>
            <w:vAlign w:val="bottom"/>
          </w:tcPr>
          <w:p w14:paraId="000AA14C" w14:textId="77777777" w:rsidR="00770D6B" w:rsidRPr="00701439" w:rsidRDefault="00770D6B" w:rsidP="00770D6B">
            <w:pPr>
              <w:jc w:val="right"/>
              <w:rPr>
                <w:rFonts w:ascii="Calibri" w:hAnsi="Calibri" w:cs="Calibri"/>
                <w:sz w:val="20"/>
                <w:szCs w:val="20"/>
              </w:rPr>
            </w:pPr>
            <w:r w:rsidRPr="00701439">
              <w:rPr>
                <w:rFonts w:ascii="Calibri" w:hAnsi="Calibri" w:cs="Calibri"/>
                <w:sz w:val="20"/>
                <w:szCs w:val="20"/>
              </w:rPr>
              <w:t>(3.8)</w:t>
            </w:r>
          </w:p>
        </w:tc>
        <w:tc>
          <w:tcPr>
            <w:tcW w:w="1286" w:type="dxa"/>
            <w:tcBorders>
              <w:top w:val="nil"/>
              <w:left w:val="nil"/>
              <w:bottom w:val="nil"/>
              <w:right w:val="nil"/>
            </w:tcBorders>
            <w:vAlign w:val="bottom"/>
          </w:tcPr>
          <w:p w14:paraId="32DA9356" w14:textId="77777777" w:rsidR="00770D6B" w:rsidRPr="00701439" w:rsidRDefault="00770D6B" w:rsidP="00770D6B">
            <w:pPr>
              <w:jc w:val="right"/>
              <w:rPr>
                <w:rFonts w:ascii="Calibri" w:hAnsi="Calibri" w:cs="Calibri"/>
                <w:sz w:val="20"/>
                <w:szCs w:val="20"/>
              </w:rPr>
            </w:pPr>
            <w:r w:rsidRPr="00701439">
              <w:rPr>
                <w:rFonts w:ascii="Calibri" w:hAnsi="Calibri" w:cs="Calibri"/>
                <w:sz w:val="20"/>
                <w:szCs w:val="20"/>
              </w:rPr>
              <w:t>-</w:t>
            </w:r>
          </w:p>
        </w:tc>
        <w:tc>
          <w:tcPr>
            <w:tcW w:w="1286" w:type="dxa"/>
            <w:tcBorders>
              <w:top w:val="nil"/>
              <w:left w:val="nil"/>
              <w:bottom w:val="nil"/>
              <w:right w:val="nil"/>
            </w:tcBorders>
            <w:vAlign w:val="bottom"/>
          </w:tcPr>
          <w:p w14:paraId="065322F6" w14:textId="77777777" w:rsidR="00770D6B" w:rsidRPr="00701439" w:rsidRDefault="00770D6B" w:rsidP="00770D6B">
            <w:pPr>
              <w:jc w:val="right"/>
              <w:rPr>
                <w:rFonts w:ascii="Calibri" w:hAnsi="Calibri" w:cs="Calibri"/>
                <w:sz w:val="20"/>
                <w:szCs w:val="20"/>
              </w:rPr>
            </w:pPr>
            <w:r w:rsidRPr="00701439">
              <w:rPr>
                <w:rFonts w:ascii="Calibri" w:hAnsi="Calibri" w:cs="Calibri"/>
                <w:sz w:val="20"/>
                <w:szCs w:val="20"/>
              </w:rPr>
              <w:t>(3.8)</w:t>
            </w:r>
          </w:p>
        </w:tc>
      </w:tr>
      <w:tr w:rsidR="00770D6B" w:rsidRPr="00701439" w14:paraId="23F4CF01" w14:textId="77777777" w:rsidTr="00770D6B">
        <w:trPr>
          <w:gridAfter w:val="1"/>
          <w:wAfter w:w="1283" w:type="dxa"/>
          <w:trHeight w:val="228"/>
        </w:trPr>
        <w:tc>
          <w:tcPr>
            <w:tcW w:w="2302" w:type="dxa"/>
            <w:tcBorders>
              <w:top w:val="nil"/>
              <w:left w:val="nil"/>
              <w:bottom w:val="nil"/>
              <w:right w:val="nil"/>
            </w:tcBorders>
            <w:vAlign w:val="bottom"/>
          </w:tcPr>
          <w:p w14:paraId="0F555678" w14:textId="77777777" w:rsidR="00770D6B" w:rsidRPr="00701439" w:rsidRDefault="00770D6B" w:rsidP="00770D6B">
            <w:pPr>
              <w:rPr>
                <w:rFonts w:ascii="Calibri" w:hAnsi="Calibri" w:cs="Arial"/>
                <w:sz w:val="20"/>
                <w:szCs w:val="20"/>
              </w:rPr>
            </w:pPr>
            <w:r w:rsidRPr="00701439">
              <w:rPr>
                <w:rFonts w:ascii="Calibri" w:hAnsi="Calibri" w:cs="Arial"/>
                <w:sz w:val="20"/>
                <w:szCs w:val="20"/>
              </w:rPr>
              <w:t>Impact of change in UK tax rate:</w:t>
            </w:r>
          </w:p>
        </w:tc>
        <w:tc>
          <w:tcPr>
            <w:tcW w:w="1276" w:type="dxa"/>
            <w:tcBorders>
              <w:top w:val="nil"/>
              <w:left w:val="nil"/>
              <w:bottom w:val="nil"/>
              <w:right w:val="nil"/>
            </w:tcBorders>
            <w:shd w:val="clear" w:color="auto" w:fill="auto"/>
            <w:vAlign w:val="bottom"/>
          </w:tcPr>
          <w:p w14:paraId="57E2ED11" w14:textId="77777777" w:rsidR="00770D6B" w:rsidRPr="00701439" w:rsidRDefault="00770D6B" w:rsidP="00770D6B">
            <w:pPr>
              <w:jc w:val="right"/>
              <w:rPr>
                <w:rFonts w:ascii="Calibri" w:hAnsi="Calibri" w:cs="Calibri"/>
                <w:sz w:val="20"/>
                <w:szCs w:val="20"/>
              </w:rPr>
            </w:pPr>
          </w:p>
        </w:tc>
        <w:tc>
          <w:tcPr>
            <w:tcW w:w="1417" w:type="dxa"/>
            <w:tcBorders>
              <w:top w:val="nil"/>
              <w:left w:val="nil"/>
              <w:bottom w:val="nil"/>
              <w:right w:val="nil"/>
            </w:tcBorders>
            <w:shd w:val="clear" w:color="auto" w:fill="auto"/>
            <w:vAlign w:val="bottom"/>
          </w:tcPr>
          <w:p w14:paraId="37AD9D36" w14:textId="77777777" w:rsidR="00770D6B" w:rsidRPr="00701439" w:rsidRDefault="00770D6B" w:rsidP="00770D6B">
            <w:pPr>
              <w:jc w:val="right"/>
              <w:rPr>
                <w:rFonts w:ascii="Calibri" w:hAnsi="Calibri" w:cs="Calibri"/>
                <w:sz w:val="20"/>
                <w:szCs w:val="20"/>
              </w:rPr>
            </w:pPr>
          </w:p>
        </w:tc>
        <w:tc>
          <w:tcPr>
            <w:tcW w:w="993" w:type="dxa"/>
            <w:tcBorders>
              <w:top w:val="nil"/>
              <w:left w:val="nil"/>
              <w:bottom w:val="nil"/>
              <w:right w:val="nil"/>
            </w:tcBorders>
            <w:shd w:val="clear" w:color="auto" w:fill="auto"/>
            <w:vAlign w:val="bottom"/>
          </w:tcPr>
          <w:p w14:paraId="1A74FA02" w14:textId="77777777" w:rsidR="00770D6B" w:rsidRPr="00701439" w:rsidRDefault="00770D6B" w:rsidP="00770D6B">
            <w:pPr>
              <w:jc w:val="right"/>
              <w:rPr>
                <w:rFonts w:ascii="Calibri" w:hAnsi="Calibri" w:cs="Calibri"/>
                <w:sz w:val="20"/>
                <w:szCs w:val="20"/>
              </w:rPr>
            </w:pPr>
          </w:p>
        </w:tc>
        <w:tc>
          <w:tcPr>
            <w:tcW w:w="1143" w:type="dxa"/>
            <w:tcBorders>
              <w:top w:val="nil"/>
              <w:left w:val="nil"/>
              <w:bottom w:val="nil"/>
              <w:right w:val="nil"/>
            </w:tcBorders>
            <w:vAlign w:val="bottom"/>
          </w:tcPr>
          <w:p w14:paraId="14A7ECF4" w14:textId="77777777" w:rsidR="00770D6B" w:rsidRPr="00701439" w:rsidRDefault="00770D6B" w:rsidP="00770D6B">
            <w:pPr>
              <w:jc w:val="right"/>
              <w:rPr>
                <w:rFonts w:ascii="Calibri" w:hAnsi="Calibri" w:cs="Calibri"/>
                <w:sz w:val="20"/>
                <w:szCs w:val="20"/>
              </w:rPr>
            </w:pPr>
          </w:p>
        </w:tc>
        <w:tc>
          <w:tcPr>
            <w:tcW w:w="1286" w:type="dxa"/>
            <w:tcBorders>
              <w:top w:val="nil"/>
              <w:left w:val="nil"/>
              <w:bottom w:val="nil"/>
              <w:right w:val="nil"/>
            </w:tcBorders>
            <w:vAlign w:val="bottom"/>
          </w:tcPr>
          <w:p w14:paraId="093A1866" w14:textId="77777777" w:rsidR="00770D6B" w:rsidRPr="00701439" w:rsidRDefault="00770D6B" w:rsidP="00770D6B">
            <w:pPr>
              <w:jc w:val="right"/>
              <w:rPr>
                <w:rFonts w:ascii="Calibri" w:hAnsi="Calibri" w:cs="Calibri"/>
                <w:sz w:val="20"/>
                <w:szCs w:val="20"/>
              </w:rPr>
            </w:pPr>
          </w:p>
        </w:tc>
        <w:tc>
          <w:tcPr>
            <w:tcW w:w="1286" w:type="dxa"/>
            <w:tcBorders>
              <w:top w:val="nil"/>
              <w:left w:val="nil"/>
              <w:bottom w:val="nil"/>
              <w:right w:val="nil"/>
            </w:tcBorders>
            <w:vAlign w:val="bottom"/>
          </w:tcPr>
          <w:p w14:paraId="14C6A6AC" w14:textId="77777777" w:rsidR="00770D6B" w:rsidRPr="00701439" w:rsidRDefault="00770D6B" w:rsidP="00770D6B">
            <w:pPr>
              <w:jc w:val="right"/>
              <w:rPr>
                <w:rFonts w:ascii="Calibri" w:hAnsi="Calibri" w:cs="Calibri"/>
                <w:sz w:val="20"/>
                <w:szCs w:val="20"/>
              </w:rPr>
            </w:pPr>
          </w:p>
        </w:tc>
      </w:tr>
      <w:tr w:rsidR="00770D6B" w:rsidRPr="00701439" w14:paraId="357F2774" w14:textId="77777777" w:rsidTr="00770D6B">
        <w:trPr>
          <w:gridAfter w:val="1"/>
          <w:wAfter w:w="1283" w:type="dxa"/>
          <w:trHeight w:val="240"/>
        </w:trPr>
        <w:tc>
          <w:tcPr>
            <w:tcW w:w="2302" w:type="dxa"/>
            <w:tcBorders>
              <w:top w:val="nil"/>
              <w:left w:val="nil"/>
              <w:bottom w:val="nil"/>
              <w:right w:val="nil"/>
            </w:tcBorders>
            <w:vAlign w:val="bottom"/>
          </w:tcPr>
          <w:p w14:paraId="01B62DE3" w14:textId="77777777" w:rsidR="00770D6B" w:rsidRPr="00701439" w:rsidRDefault="00770D6B" w:rsidP="00770D6B">
            <w:pPr>
              <w:rPr>
                <w:rFonts w:ascii="Calibri" w:hAnsi="Calibri" w:cs="Arial"/>
                <w:sz w:val="20"/>
                <w:szCs w:val="20"/>
              </w:rPr>
            </w:pPr>
            <w:r w:rsidRPr="00701439">
              <w:rPr>
                <w:rFonts w:ascii="Calibri" w:hAnsi="Calibri" w:cs="Arial"/>
                <w:sz w:val="20"/>
                <w:szCs w:val="20"/>
              </w:rPr>
              <w:t>- (charge)/credit to the income statement</w:t>
            </w:r>
          </w:p>
        </w:tc>
        <w:tc>
          <w:tcPr>
            <w:tcW w:w="1276" w:type="dxa"/>
            <w:tcBorders>
              <w:top w:val="nil"/>
              <w:left w:val="nil"/>
              <w:bottom w:val="nil"/>
              <w:right w:val="nil"/>
            </w:tcBorders>
            <w:shd w:val="clear" w:color="auto" w:fill="auto"/>
            <w:vAlign w:val="bottom"/>
          </w:tcPr>
          <w:p w14:paraId="450B0CBF" w14:textId="77777777" w:rsidR="00770D6B" w:rsidRPr="00701439" w:rsidRDefault="00770D6B" w:rsidP="00770D6B">
            <w:pPr>
              <w:jc w:val="right"/>
              <w:rPr>
                <w:rFonts w:ascii="Calibri" w:hAnsi="Calibri" w:cs="Calibri"/>
                <w:sz w:val="20"/>
                <w:szCs w:val="20"/>
              </w:rPr>
            </w:pPr>
            <w:r w:rsidRPr="00701439">
              <w:rPr>
                <w:rFonts w:ascii="Calibri" w:hAnsi="Calibri" w:cs="Calibri"/>
                <w:sz w:val="20"/>
                <w:szCs w:val="20"/>
              </w:rPr>
              <w:t>(3.2)</w:t>
            </w:r>
          </w:p>
        </w:tc>
        <w:tc>
          <w:tcPr>
            <w:tcW w:w="1417" w:type="dxa"/>
            <w:tcBorders>
              <w:top w:val="nil"/>
              <w:left w:val="nil"/>
              <w:bottom w:val="nil"/>
              <w:right w:val="nil"/>
            </w:tcBorders>
            <w:shd w:val="clear" w:color="auto" w:fill="auto"/>
            <w:vAlign w:val="bottom"/>
          </w:tcPr>
          <w:p w14:paraId="53F4C677" w14:textId="77777777" w:rsidR="00770D6B" w:rsidRPr="00701439" w:rsidRDefault="00770D6B" w:rsidP="00770D6B">
            <w:pPr>
              <w:jc w:val="right"/>
              <w:rPr>
                <w:rFonts w:ascii="Calibri" w:hAnsi="Calibri" w:cs="Calibri"/>
                <w:sz w:val="20"/>
                <w:szCs w:val="20"/>
              </w:rPr>
            </w:pPr>
            <w:r w:rsidRPr="00701439">
              <w:rPr>
                <w:rFonts w:ascii="Calibri" w:hAnsi="Calibri" w:cs="Calibri"/>
                <w:sz w:val="20"/>
                <w:szCs w:val="20"/>
              </w:rPr>
              <w:t>-</w:t>
            </w:r>
          </w:p>
        </w:tc>
        <w:tc>
          <w:tcPr>
            <w:tcW w:w="993" w:type="dxa"/>
            <w:tcBorders>
              <w:top w:val="nil"/>
              <w:left w:val="nil"/>
              <w:bottom w:val="nil"/>
              <w:right w:val="nil"/>
            </w:tcBorders>
            <w:shd w:val="clear" w:color="auto" w:fill="auto"/>
            <w:vAlign w:val="bottom"/>
          </w:tcPr>
          <w:p w14:paraId="706EB438" w14:textId="77777777" w:rsidR="00770D6B" w:rsidRPr="00701439" w:rsidRDefault="00770D6B" w:rsidP="00770D6B">
            <w:pPr>
              <w:jc w:val="right"/>
              <w:rPr>
                <w:rFonts w:ascii="Calibri" w:hAnsi="Calibri" w:cs="Calibri"/>
                <w:sz w:val="20"/>
                <w:szCs w:val="20"/>
              </w:rPr>
            </w:pPr>
            <w:r w:rsidRPr="00701439">
              <w:rPr>
                <w:rFonts w:ascii="Calibri" w:hAnsi="Calibri" w:cs="Calibri"/>
                <w:sz w:val="20"/>
                <w:szCs w:val="20"/>
              </w:rPr>
              <w:t>(3.2)</w:t>
            </w:r>
          </w:p>
        </w:tc>
        <w:tc>
          <w:tcPr>
            <w:tcW w:w="1143" w:type="dxa"/>
            <w:tcBorders>
              <w:top w:val="nil"/>
              <w:left w:val="nil"/>
              <w:bottom w:val="nil"/>
              <w:right w:val="nil"/>
            </w:tcBorders>
            <w:vAlign w:val="bottom"/>
          </w:tcPr>
          <w:p w14:paraId="6204C53F" w14:textId="77777777" w:rsidR="00770D6B" w:rsidRPr="00701439" w:rsidRDefault="00770D6B" w:rsidP="00770D6B">
            <w:pPr>
              <w:jc w:val="right"/>
              <w:rPr>
                <w:rFonts w:ascii="Calibri" w:hAnsi="Calibri" w:cs="Calibri"/>
                <w:sz w:val="20"/>
                <w:szCs w:val="20"/>
              </w:rPr>
            </w:pPr>
            <w:r w:rsidRPr="00701439">
              <w:rPr>
                <w:rFonts w:ascii="Calibri" w:hAnsi="Calibri" w:cs="Calibri"/>
                <w:sz w:val="20"/>
                <w:szCs w:val="20"/>
              </w:rPr>
              <w:t>5.0</w:t>
            </w:r>
          </w:p>
        </w:tc>
        <w:tc>
          <w:tcPr>
            <w:tcW w:w="1286" w:type="dxa"/>
            <w:tcBorders>
              <w:top w:val="nil"/>
              <w:left w:val="nil"/>
              <w:bottom w:val="nil"/>
              <w:right w:val="nil"/>
            </w:tcBorders>
            <w:vAlign w:val="bottom"/>
          </w:tcPr>
          <w:p w14:paraId="6C0FFA4B" w14:textId="77777777" w:rsidR="00770D6B" w:rsidRPr="00701439" w:rsidRDefault="00770D6B" w:rsidP="00770D6B">
            <w:pPr>
              <w:jc w:val="right"/>
              <w:rPr>
                <w:rFonts w:ascii="Calibri" w:hAnsi="Calibri" w:cs="Calibri"/>
                <w:sz w:val="20"/>
                <w:szCs w:val="20"/>
              </w:rPr>
            </w:pPr>
            <w:r w:rsidRPr="00701439">
              <w:rPr>
                <w:rFonts w:ascii="Calibri" w:hAnsi="Calibri" w:cs="Calibri"/>
                <w:sz w:val="20"/>
                <w:szCs w:val="20"/>
              </w:rPr>
              <w:t>-</w:t>
            </w:r>
          </w:p>
        </w:tc>
        <w:tc>
          <w:tcPr>
            <w:tcW w:w="1286" w:type="dxa"/>
            <w:tcBorders>
              <w:top w:val="nil"/>
              <w:left w:val="nil"/>
              <w:bottom w:val="nil"/>
              <w:right w:val="nil"/>
            </w:tcBorders>
            <w:vAlign w:val="bottom"/>
          </w:tcPr>
          <w:p w14:paraId="3C020B7A" w14:textId="77777777" w:rsidR="00770D6B" w:rsidRPr="00701439" w:rsidRDefault="00770D6B" w:rsidP="00770D6B">
            <w:pPr>
              <w:jc w:val="right"/>
              <w:rPr>
                <w:rFonts w:ascii="Calibri" w:hAnsi="Calibri" w:cs="Calibri"/>
                <w:sz w:val="20"/>
                <w:szCs w:val="20"/>
              </w:rPr>
            </w:pPr>
            <w:r w:rsidRPr="00701439">
              <w:rPr>
                <w:rFonts w:ascii="Calibri" w:hAnsi="Calibri" w:cs="Calibri"/>
                <w:sz w:val="20"/>
                <w:szCs w:val="20"/>
              </w:rPr>
              <w:t>5.0</w:t>
            </w:r>
          </w:p>
        </w:tc>
      </w:tr>
      <w:tr w:rsidR="00770D6B" w:rsidRPr="00701439" w14:paraId="53B87E2C" w14:textId="77777777" w:rsidTr="00770D6B">
        <w:trPr>
          <w:gridAfter w:val="1"/>
          <w:wAfter w:w="1283" w:type="dxa"/>
          <w:trHeight w:val="240"/>
        </w:trPr>
        <w:tc>
          <w:tcPr>
            <w:tcW w:w="2302" w:type="dxa"/>
            <w:tcBorders>
              <w:top w:val="nil"/>
              <w:left w:val="nil"/>
              <w:bottom w:val="nil"/>
              <w:right w:val="nil"/>
            </w:tcBorders>
            <w:vAlign w:val="bottom"/>
          </w:tcPr>
          <w:p w14:paraId="6A1968B3" w14:textId="77777777" w:rsidR="00770D6B" w:rsidRPr="00701439" w:rsidRDefault="00770D6B" w:rsidP="00770D6B">
            <w:pPr>
              <w:rPr>
                <w:rFonts w:ascii="Calibri" w:hAnsi="Calibri" w:cs="Arial"/>
                <w:sz w:val="20"/>
                <w:szCs w:val="20"/>
              </w:rPr>
            </w:pPr>
            <w:r w:rsidRPr="00701439">
              <w:rPr>
                <w:rFonts w:ascii="Calibri" w:hAnsi="Calibri" w:cs="Arial"/>
                <w:sz w:val="20"/>
                <w:szCs w:val="20"/>
              </w:rPr>
              <w:t>- credit/(charge) to other comprehensive income</w:t>
            </w:r>
          </w:p>
        </w:tc>
        <w:tc>
          <w:tcPr>
            <w:tcW w:w="1276" w:type="dxa"/>
            <w:tcBorders>
              <w:top w:val="nil"/>
              <w:left w:val="nil"/>
              <w:bottom w:val="nil"/>
              <w:right w:val="nil"/>
            </w:tcBorders>
            <w:shd w:val="clear" w:color="auto" w:fill="auto"/>
            <w:vAlign w:val="bottom"/>
          </w:tcPr>
          <w:p w14:paraId="6BD299E1" w14:textId="77777777" w:rsidR="00770D6B" w:rsidRPr="00701439" w:rsidRDefault="00770D6B" w:rsidP="00770D6B">
            <w:pPr>
              <w:jc w:val="right"/>
              <w:rPr>
                <w:rFonts w:ascii="Calibri" w:hAnsi="Calibri" w:cs="Calibri"/>
                <w:sz w:val="20"/>
                <w:szCs w:val="20"/>
              </w:rPr>
            </w:pPr>
            <w:r w:rsidRPr="00701439">
              <w:rPr>
                <w:rFonts w:ascii="Calibri" w:hAnsi="Calibri" w:cs="Calibri"/>
                <w:sz w:val="20"/>
                <w:szCs w:val="20"/>
              </w:rPr>
              <w:t>5.0</w:t>
            </w:r>
          </w:p>
        </w:tc>
        <w:tc>
          <w:tcPr>
            <w:tcW w:w="1417" w:type="dxa"/>
            <w:tcBorders>
              <w:top w:val="nil"/>
              <w:left w:val="nil"/>
              <w:bottom w:val="nil"/>
              <w:right w:val="nil"/>
            </w:tcBorders>
            <w:shd w:val="clear" w:color="auto" w:fill="auto"/>
            <w:vAlign w:val="bottom"/>
          </w:tcPr>
          <w:p w14:paraId="09663A70" w14:textId="77777777" w:rsidR="00770D6B" w:rsidRPr="00701439" w:rsidRDefault="00770D6B" w:rsidP="00770D6B">
            <w:pPr>
              <w:jc w:val="right"/>
              <w:rPr>
                <w:rFonts w:ascii="Calibri" w:hAnsi="Calibri" w:cs="Calibri"/>
                <w:sz w:val="20"/>
                <w:szCs w:val="20"/>
              </w:rPr>
            </w:pPr>
            <w:r w:rsidRPr="00701439">
              <w:rPr>
                <w:rFonts w:ascii="Calibri" w:hAnsi="Calibri" w:cs="Calibri"/>
                <w:sz w:val="20"/>
                <w:szCs w:val="20"/>
              </w:rPr>
              <w:t>-</w:t>
            </w:r>
          </w:p>
        </w:tc>
        <w:tc>
          <w:tcPr>
            <w:tcW w:w="993" w:type="dxa"/>
            <w:tcBorders>
              <w:top w:val="nil"/>
              <w:left w:val="nil"/>
              <w:bottom w:val="nil"/>
              <w:right w:val="nil"/>
            </w:tcBorders>
            <w:shd w:val="clear" w:color="auto" w:fill="auto"/>
            <w:vAlign w:val="bottom"/>
          </w:tcPr>
          <w:p w14:paraId="31DC8B2B" w14:textId="77777777" w:rsidR="00770D6B" w:rsidRPr="00701439" w:rsidRDefault="00770D6B" w:rsidP="00770D6B">
            <w:pPr>
              <w:jc w:val="right"/>
              <w:rPr>
                <w:rFonts w:ascii="Calibri" w:hAnsi="Calibri" w:cs="Calibri"/>
                <w:sz w:val="20"/>
                <w:szCs w:val="20"/>
              </w:rPr>
            </w:pPr>
            <w:r w:rsidRPr="00701439">
              <w:rPr>
                <w:rFonts w:ascii="Calibri" w:hAnsi="Calibri" w:cs="Calibri"/>
                <w:sz w:val="20"/>
                <w:szCs w:val="20"/>
              </w:rPr>
              <w:t>5.0</w:t>
            </w:r>
          </w:p>
        </w:tc>
        <w:tc>
          <w:tcPr>
            <w:tcW w:w="1143" w:type="dxa"/>
            <w:tcBorders>
              <w:top w:val="nil"/>
              <w:left w:val="nil"/>
              <w:bottom w:val="nil"/>
              <w:right w:val="nil"/>
            </w:tcBorders>
            <w:vAlign w:val="bottom"/>
          </w:tcPr>
          <w:p w14:paraId="74D3B81A" w14:textId="77777777" w:rsidR="00770D6B" w:rsidRPr="00701439" w:rsidRDefault="00770D6B" w:rsidP="00770D6B">
            <w:pPr>
              <w:jc w:val="right"/>
              <w:rPr>
                <w:rFonts w:ascii="Calibri" w:hAnsi="Calibri" w:cs="Calibri"/>
                <w:sz w:val="20"/>
                <w:szCs w:val="20"/>
              </w:rPr>
            </w:pPr>
            <w:r w:rsidRPr="00701439">
              <w:rPr>
                <w:rFonts w:ascii="Calibri" w:hAnsi="Calibri" w:cs="Calibri"/>
                <w:sz w:val="20"/>
                <w:szCs w:val="20"/>
              </w:rPr>
              <w:t>(6.4)</w:t>
            </w:r>
          </w:p>
        </w:tc>
        <w:tc>
          <w:tcPr>
            <w:tcW w:w="1286" w:type="dxa"/>
            <w:tcBorders>
              <w:top w:val="nil"/>
              <w:left w:val="nil"/>
              <w:bottom w:val="nil"/>
              <w:right w:val="nil"/>
            </w:tcBorders>
            <w:vAlign w:val="bottom"/>
          </w:tcPr>
          <w:p w14:paraId="794AA238" w14:textId="77777777" w:rsidR="00770D6B" w:rsidRPr="00701439" w:rsidRDefault="00770D6B" w:rsidP="00770D6B">
            <w:pPr>
              <w:jc w:val="right"/>
              <w:rPr>
                <w:rFonts w:ascii="Calibri" w:hAnsi="Calibri" w:cs="Calibri"/>
                <w:sz w:val="20"/>
                <w:szCs w:val="20"/>
              </w:rPr>
            </w:pPr>
            <w:r w:rsidRPr="00701439">
              <w:rPr>
                <w:rFonts w:ascii="Calibri" w:hAnsi="Calibri" w:cs="Calibri"/>
                <w:sz w:val="20"/>
                <w:szCs w:val="20"/>
              </w:rPr>
              <w:t>-</w:t>
            </w:r>
          </w:p>
        </w:tc>
        <w:tc>
          <w:tcPr>
            <w:tcW w:w="1286" w:type="dxa"/>
            <w:tcBorders>
              <w:top w:val="nil"/>
              <w:left w:val="nil"/>
              <w:bottom w:val="nil"/>
              <w:right w:val="nil"/>
            </w:tcBorders>
            <w:vAlign w:val="bottom"/>
          </w:tcPr>
          <w:p w14:paraId="3F3E4A63" w14:textId="77777777" w:rsidR="00770D6B" w:rsidRPr="00701439" w:rsidRDefault="00770D6B" w:rsidP="00770D6B">
            <w:pPr>
              <w:jc w:val="right"/>
              <w:rPr>
                <w:rFonts w:ascii="Calibri" w:hAnsi="Calibri" w:cs="Calibri"/>
                <w:sz w:val="20"/>
                <w:szCs w:val="20"/>
              </w:rPr>
            </w:pPr>
            <w:r w:rsidRPr="00701439">
              <w:rPr>
                <w:rFonts w:ascii="Calibri" w:hAnsi="Calibri" w:cs="Calibri"/>
                <w:sz w:val="20"/>
                <w:szCs w:val="20"/>
              </w:rPr>
              <w:t>(6.4)</w:t>
            </w:r>
          </w:p>
        </w:tc>
      </w:tr>
      <w:tr w:rsidR="00770D6B" w:rsidRPr="00701439" w14:paraId="03AF17F4" w14:textId="77777777" w:rsidTr="00770D6B">
        <w:trPr>
          <w:gridAfter w:val="1"/>
          <w:wAfter w:w="1283" w:type="dxa"/>
          <w:trHeight w:val="217"/>
        </w:trPr>
        <w:tc>
          <w:tcPr>
            <w:tcW w:w="2302" w:type="dxa"/>
            <w:tcBorders>
              <w:top w:val="nil"/>
              <w:left w:val="nil"/>
              <w:bottom w:val="nil"/>
              <w:right w:val="nil"/>
            </w:tcBorders>
            <w:vAlign w:val="bottom"/>
          </w:tcPr>
          <w:p w14:paraId="67CD3F64" w14:textId="77777777" w:rsidR="00770D6B" w:rsidRPr="00701439" w:rsidRDefault="00770D6B" w:rsidP="00770D6B">
            <w:pPr>
              <w:rPr>
                <w:rFonts w:ascii="Calibri" w:hAnsi="Calibri" w:cs="Arial"/>
                <w:b/>
                <w:sz w:val="20"/>
                <w:szCs w:val="20"/>
              </w:rPr>
            </w:pPr>
            <w:proofErr w:type="gramStart"/>
            <w:r w:rsidRPr="00701439">
              <w:rPr>
                <w:rFonts w:ascii="Calibri" w:hAnsi="Calibri" w:cs="Arial"/>
                <w:b/>
                <w:sz w:val="20"/>
                <w:szCs w:val="20"/>
              </w:rPr>
              <w:t>At</w:t>
            </w:r>
            <w:proofErr w:type="gramEnd"/>
            <w:r w:rsidRPr="00701439">
              <w:rPr>
                <w:rFonts w:ascii="Calibri" w:hAnsi="Calibri" w:cs="Arial"/>
                <w:b/>
                <w:sz w:val="20"/>
                <w:szCs w:val="20"/>
              </w:rPr>
              <w:t xml:space="preserve"> 31 December</w:t>
            </w:r>
          </w:p>
        </w:tc>
        <w:tc>
          <w:tcPr>
            <w:tcW w:w="1276" w:type="dxa"/>
            <w:tcBorders>
              <w:top w:val="single" w:sz="4" w:space="0" w:color="auto"/>
              <w:left w:val="nil"/>
              <w:bottom w:val="single" w:sz="12" w:space="0" w:color="auto"/>
              <w:right w:val="nil"/>
            </w:tcBorders>
            <w:shd w:val="clear" w:color="auto" w:fill="auto"/>
            <w:vAlign w:val="bottom"/>
          </w:tcPr>
          <w:p w14:paraId="4805BE43" w14:textId="77777777" w:rsidR="00770D6B" w:rsidRPr="00701439" w:rsidRDefault="00770D6B" w:rsidP="00770D6B">
            <w:pPr>
              <w:jc w:val="right"/>
              <w:rPr>
                <w:rFonts w:ascii="Calibri" w:hAnsi="Calibri" w:cs="Arial"/>
                <w:sz w:val="20"/>
                <w:szCs w:val="20"/>
              </w:rPr>
            </w:pPr>
            <w:r w:rsidRPr="00701439">
              <w:rPr>
                <w:rFonts w:ascii="Calibri" w:hAnsi="Calibri" w:cs="Arial"/>
                <w:sz w:val="20"/>
                <w:szCs w:val="20"/>
              </w:rPr>
              <w:t>14.5</w:t>
            </w:r>
          </w:p>
        </w:tc>
        <w:tc>
          <w:tcPr>
            <w:tcW w:w="1417" w:type="dxa"/>
            <w:tcBorders>
              <w:top w:val="single" w:sz="4" w:space="0" w:color="auto"/>
              <w:left w:val="nil"/>
              <w:bottom w:val="single" w:sz="12" w:space="0" w:color="auto"/>
              <w:right w:val="nil"/>
            </w:tcBorders>
            <w:shd w:val="clear" w:color="auto" w:fill="auto"/>
            <w:vAlign w:val="bottom"/>
          </w:tcPr>
          <w:p w14:paraId="1F60EF80" w14:textId="77777777" w:rsidR="00770D6B" w:rsidRPr="00701439" w:rsidRDefault="00770D6B" w:rsidP="00770D6B">
            <w:pPr>
              <w:jc w:val="right"/>
              <w:rPr>
                <w:rFonts w:ascii="Calibri" w:hAnsi="Calibri" w:cs="Arial"/>
                <w:sz w:val="20"/>
                <w:szCs w:val="20"/>
              </w:rPr>
            </w:pPr>
            <w:r w:rsidRPr="00701439">
              <w:rPr>
                <w:rFonts w:ascii="Calibri" w:hAnsi="Calibri" w:cs="Arial"/>
                <w:sz w:val="20"/>
                <w:szCs w:val="20"/>
              </w:rPr>
              <w:t>-</w:t>
            </w:r>
          </w:p>
        </w:tc>
        <w:tc>
          <w:tcPr>
            <w:tcW w:w="993" w:type="dxa"/>
            <w:tcBorders>
              <w:top w:val="single" w:sz="4" w:space="0" w:color="auto"/>
              <w:left w:val="nil"/>
              <w:bottom w:val="single" w:sz="12" w:space="0" w:color="auto"/>
              <w:right w:val="nil"/>
            </w:tcBorders>
            <w:shd w:val="clear" w:color="auto" w:fill="auto"/>
            <w:vAlign w:val="bottom"/>
          </w:tcPr>
          <w:p w14:paraId="64D0CF33" w14:textId="77777777" w:rsidR="00770D6B" w:rsidRPr="00701439" w:rsidRDefault="00770D6B" w:rsidP="00770D6B">
            <w:pPr>
              <w:jc w:val="right"/>
              <w:rPr>
                <w:rFonts w:ascii="Calibri" w:hAnsi="Calibri" w:cs="Arial"/>
                <w:sz w:val="20"/>
                <w:szCs w:val="20"/>
              </w:rPr>
            </w:pPr>
            <w:r w:rsidRPr="00701439">
              <w:rPr>
                <w:rFonts w:ascii="Calibri" w:hAnsi="Calibri" w:cs="Arial"/>
                <w:sz w:val="20"/>
                <w:szCs w:val="20"/>
              </w:rPr>
              <w:t>14.5</w:t>
            </w:r>
          </w:p>
        </w:tc>
        <w:tc>
          <w:tcPr>
            <w:tcW w:w="1143" w:type="dxa"/>
            <w:tcBorders>
              <w:top w:val="single" w:sz="4" w:space="0" w:color="auto"/>
              <w:left w:val="nil"/>
              <w:bottom w:val="single" w:sz="12" w:space="0" w:color="auto"/>
              <w:right w:val="nil"/>
            </w:tcBorders>
            <w:vAlign w:val="bottom"/>
          </w:tcPr>
          <w:p w14:paraId="39A9BF3B" w14:textId="77777777" w:rsidR="00770D6B" w:rsidRPr="00701439" w:rsidRDefault="00770D6B" w:rsidP="00770D6B">
            <w:pPr>
              <w:jc w:val="right"/>
              <w:rPr>
                <w:rFonts w:ascii="Calibri" w:hAnsi="Calibri" w:cs="Arial"/>
                <w:sz w:val="20"/>
                <w:szCs w:val="20"/>
              </w:rPr>
            </w:pPr>
            <w:r w:rsidRPr="00701439">
              <w:rPr>
                <w:rFonts w:ascii="Calibri" w:hAnsi="Calibri" w:cs="Arial"/>
                <w:sz w:val="20"/>
                <w:szCs w:val="20"/>
              </w:rPr>
              <w:t>6.9</w:t>
            </w:r>
          </w:p>
        </w:tc>
        <w:tc>
          <w:tcPr>
            <w:tcW w:w="1286" w:type="dxa"/>
            <w:tcBorders>
              <w:top w:val="single" w:sz="4" w:space="0" w:color="auto"/>
              <w:left w:val="nil"/>
              <w:bottom w:val="single" w:sz="12" w:space="0" w:color="auto"/>
              <w:right w:val="nil"/>
            </w:tcBorders>
            <w:vAlign w:val="bottom"/>
          </w:tcPr>
          <w:p w14:paraId="4019FCE5" w14:textId="77777777" w:rsidR="00770D6B" w:rsidRPr="00701439" w:rsidRDefault="00770D6B" w:rsidP="00770D6B">
            <w:pPr>
              <w:jc w:val="right"/>
              <w:rPr>
                <w:rFonts w:ascii="Calibri" w:hAnsi="Calibri" w:cs="Arial"/>
                <w:sz w:val="20"/>
                <w:szCs w:val="20"/>
              </w:rPr>
            </w:pPr>
            <w:r w:rsidRPr="00701439">
              <w:rPr>
                <w:rFonts w:ascii="Calibri" w:hAnsi="Calibri" w:cs="Arial"/>
                <w:sz w:val="20"/>
                <w:szCs w:val="20"/>
              </w:rPr>
              <w:t>-</w:t>
            </w:r>
          </w:p>
        </w:tc>
        <w:tc>
          <w:tcPr>
            <w:tcW w:w="1286" w:type="dxa"/>
            <w:tcBorders>
              <w:top w:val="single" w:sz="4" w:space="0" w:color="auto"/>
              <w:left w:val="nil"/>
              <w:bottom w:val="single" w:sz="12" w:space="0" w:color="auto"/>
              <w:right w:val="nil"/>
            </w:tcBorders>
            <w:vAlign w:val="bottom"/>
          </w:tcPr>
          <w:p w14:paraId="4007BB74" w14:textId="77777777" w:rsidR="00770D6B" w:rsidRPr="00701439" w:rsidRDefault="00770D6B" w:rsidP="00770D6B">
            <w:pPr>
              <w:jc w:val="right"/>
              <w:rPr>
                <w:rFonts w:ascii="Calibri" w:hAnsi="Calibri" w:cs="Arial"/>
                <w:sz w:val="20"/>
                <w:szCs w:val="20"/>
              </w:rPr>
            </w:pPr>
            <w:r w:rsidRPr="00701439">
              <w:rPr>
                <w:rFonts w:ascii="Calibri" w:hAnsi="Calibri" w:cs="Arial"/>
                <w:sz w:val="20"/>
                <w:szCs w:val="20"/>
              </w:rPr>
              <w:t>6.9</w:t>
            </w:r>
          </w:p>
        </w:tc>
      </w:tr>
      <w:bookmarkEnd w:id="20"/>
    </w:tbl>
    <w:p w14:paraId="2B7AFCE4" w14:textId="77777777" w:rsidR="00A3021A" w:rsidRPr="00701439" w:rsidRDefault="00A3021A" w:rsidP="00A3021A">
      <w:pPr>
        <w:autoSpaceDE w:val="0"/>
        <w:autoSpaceDN w:val="0"/>
        <w:adjustRightInd w:val="0"/>
        <w:jc w:val="both"/>
        <w:rPr>
          <w:rFonts w:asciiTheme="minorHAnsi" w:hAnsiTheme="minorHAnsi" w:cs="Poppins-Light"/>
          <w:sz w:val="20"/>
          <w:szCs w:val="20"/>
        </w:rPr>
      </w:pPr>
    </w:p>
    <w:bookmarkEnd w:id="19"/>
    <w:p w14:paraId="65EB0A45" w14:textId="77777777" w:rsidR="00A3021A" w:rsidRPr="00701439" w:rsidRDefault="00A3021A" w:rsidP="00A3021A">
      <w:pPr>
        <w:pStyle w:val="sectionheaderwithintext"/>
        <w:spacing w:before="0"/>
        <w:jc w:val="both"/>
        <w:rPr>
          <w:rFonts w:asciiTheme="minorHAnsi" w:hAnsiTheme="minorHAnsi" w:cs="Arial"/>
          <w:b/>
          <w:color w:val="4747FF"/>
          <w:sz w:val="22"/>
          <w:szCs w:val="22"/>
        </w:rPr>
      </w:pPr>
    </w:p>
    <w:p w14:paraId="29A9D59A" w14:textId="77777777" w:rsidR="00DA4F37" w:rsidRDefault="00DA4F37" w:rsidP="00A3021A">
      <w:pPr>
        <w:pStyle w:val="sectionheaderwithintext"/>
        <w:spacing w:before="0"/>
        <w:jc w:val="both"/>
        <w:rPr>
          <w:rFonts w:asciiTheme="minorHAnsi" w:hAnsiTheme="minorHAnsi" w:cs="Arial"/>
          <w:b/>
          <w:color w:val="4747FF"/>
          <w:sz w:val="22"/>
          <w:szCs w:val="22"/>
        </w:rPr>
      </w:pPr>
    </w:p>
    <w:p w14:paraId="04F5EA5D" w14:textId="77777777" w:rsidR="00A3021A" w:rsidRPr="00701439" w:rsidRDefault="00A3021A" w:rsidP="00A3021A">
      <w:pPr>
        <w:pStyle w:val="sectionheaderwithintext"/>
        <w:spacing w:before="0"/>
        <w:jc w:val="both"/>
        <w:rPr>
          <w:rFonts w:asciiTheme="minorHAnsi" w:hAnsiTheme="minorHAnsi" w:cs="Arial"/>
          <w:color w:val="4747FF"/>
          <w:sz w:val="22"/>
          <w:szCs w:val="22"/>
        </w:rPr>
      </w:pPr>
      <w:r w:rsidRPr="00701439">
        <w:rPr>
          <w:rFonts w:asciiTheme="minorHAnsi" w:hAnsiTheme="minorHAnsi" w:cs="Arial"/>
          <w:b/>
          <w:color w:val="4747FF"/>
          <w:sz w:val="22"/>
          <w:szCs w:val="22"/>
        </w:rPr>
        <w:lastRenderedPageBreak/>
        <w:t>6</w:t>
      </w:r>
      <w:r w:rsidRPr="00701439">
        <w:rPr>
          <w:rStyle w:val="bodycopynumber"/>
          <w:rFonts w:asciiTheme="minorHAnsi" w:hAnsiTheme="minorHAnsi" w:cs="Arial"/>
          <w:b/>
          <w:bCs/>
          <w:color w:val="4747FF"/>
          <w:sz w:val="22"/>
          <w:szCs w:val="22"/>
        </w:rPr>
        <w:t>.</w:t>
      </w:r>
      <w:r w:rsidRPr="00701439">
        <w:rPr>
          <w:rStyle w:val="bodycopynumber"/>
          <w:rFonts w:asciiTheme="minorHAnsi" w:hAnsiTheme="minorHAnsi" w:cs="Arial"/>
          <w:b/>
          <w:bCs/>
          <w:color w:val="4747FF"/>
          <w:sz w:val="22"/>
          <w:szCs w:val="22"/>
        </w:rPr>
        <w:tab/>
        <w:t>Earnings/(loss) per share</w:t>
      </w:r>
    </w:p>
    <w:p w14:paraId="692C9779" w14:textId="77777777" w:rsidR="00A3021A" w:rsidRPr="00701439" w:rsidRDefault="00A3021A" w:rsidP="00A3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sz w:val="20"/>
          <w:szCs w:val="20"/>
        </w:rPr>
      </w:pPr>
    </w:p>
    <w:p w14:paraId="6EBBE4CE" w14:textId="77777777" w:rsidR="00A3021A" w:rsidRPr="00701439" w:rsidRDefault="00A3021A" w:rsidP="00A3021A">
      <w:pPr>
        <w:pStyle w:val="bodycop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Poppins-Light"/>
          <w:color w:val="auto"/>
          <w:sz w:val="20"/>
          <w:lang w:eastAsia="en-GB"/>
        </w:rPr>
      </w:pPr>
      <w:r w:rsidRPr="00701439">
        <w:rPr>
          <w:rFonts w:asciiTheme="minorHAnsi" w:hAnsiTheme="minorHAnsi" w:cs="Poppins-Light"/>
          <w:color w:val="auto"/>
          <w:sz w:val="20"/>
          <w:lang w:eastAsia="en-GB"/>
        </w:rPr>
        <w:t>Basic earnings/(loss) per share (E/LPS) is calculated by dividing the profit/(loss) for the year attributable to equity shareholders by the weighted average number of ordinary shares outstanding during the year less the number of shares held by the Employee Benefit Trust which are used to satisfy the share awards such as DBP, PSP, LTIS, RSP and CSOP.</w:t>
      </w:r>
    </w:p>
    <w:p w14:paraId="3945A999" w14:textId="77777777" w:rsidR="00A3021A" w:rsidRPr="00701439" w:rsidRDefault="00A3021A" w:rsidP="00A3021A">
      <w:pPr>
        <w:pStyle w:val="bodycop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Poppins-Light"/>
          <w:color w:val="auto"/>
          <w:sz w:val="20"/>
          <w:lang w:eastAsia="en-GB"/>
        </w:rPr>
      </w:pPr>
      <w:r w:rsidRPr="00701439">
        <w:rPr>
          <w:rFonts w:asciiTheme="minorHAnsi" w:hAnsiTheme="minorHAnsi" w:cs="Poppins-Light"/>
          <w:color w:val="auto"/>
          <w:sz w:val="20"/>
          <w:lang w:eastAsia="en-GB"/>
        </w:rPr>
        <w:t>Diluted E/LPS calculates the effect on E/LPS assuming conversion of all dilutive potential ordinary shares. Dilutive potential ordinary shares are calculated as follows:</w:t>
      </w:r>
    </w:p>
    <w:p w14:paraId="408828AD" w14:textId="77777777" w:rsidR="00A3021A" w:rsidRPr="00701439" w:rsidRDefault="00A3021A" w:rsidP="00A3021A">
      <w:pPr>
        <w:pStyle w:val="bodycop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Poppins-Light"/>
          <w:color w:val="auto"/>
          <w:sz w:val="20"/>
          <w:lang w:eastAsia="en-GB"/>
        </w:rPr>
      </w:pPr>
      <w:r w:rsidRPr="00701439">
        <w:rPr>
          <w:rFonts w:asciiTheme="minorHAnsi" w:hAnsiTheme="minorHAnsi" w:cs="Poppins-Light"/>
          <w:color w:val="auto"/>
          <w:sz w:val="20"/>
          <w:lang w:eastAsia="en-GB"/>
        </w:rPr>
        <w:t>(</w:t>
      </w:r>
      <w:proofErr w:type="spellStart"/>
      <w:r w:rsidRPr="00701439">
        <w:rPr>
          <w:rFonts w:asciiTheme="minorHAnsi" w:hAnsiTheme="minorHAnsi" w:cs="Poppins-Light"/>
          <w:color w:val="auto"/>
          <w:sz w:val="20"/>
          <w:lang w:eastAsia="en-GB"/>
        </w:rPr>
        <w:t>i</w:t>
      </w:r>
      <w:proofErr w:type="spellEnd"/>
      <w:r w:rsidRPr="00701439">
        <w:rPr>
          <w:rFonts w:asciiTheme="minorHAnsi" w:hAnsiTheme="minorHAnsi" w:cs="Poppins-Light"/>
          <w:color w:val="auto"/>
          <w:sz w:val="20"/>
          <w:lang w:eastAsia="en-GB"/>
        </w:rPr>
        <w:t>) For share awards outstanding under performance-related share incentive schemes such as the Deferred Bonus Plan (DBP) (previously the Performance Share Plan (PSP)), the Long Term Incentive Scheme (LTIS), the Restricted Share Plan (RSP) and the Company Share Option Plan (CSOP), the number of dilutive potential ordinary shares is calculated based on the number of shares which would be issuable if: (</w:t>
      </w:r>
      <w:proofErr w:type="spellStart"/>
      <w:r w:rsidRPr="00701439">
        <w:rPr>
          <w:rFonts w:asciiTheme="minorHAnsi" w:hAnsiTheme="minorHAnsi" w:cs="Poppins-Light"/>
          <w:color w:val="auto"/>
          <w:sz w:val="20"/>
          <w:lang w:eastAsia="en-GB"/>
        </w:rPr>
        <w:t>i</w:t>
      </w:r>
      <w:proofErr w:type="spellEnd"/>
      <w:r w:rsidRPr="00701439">
        <w:rPr>
          <w:rFonts w:asciiTheme="minorHAnsi" w:hAnsiTheme="minorHAnsi" w:cs="Poppins-Light"/>
          <w:color w:val="auto"/>
          <w:sz w:val="20"/>
          <w:lang w:eastAsia="en-GB"/>
        </w:rPr>
        <w:t>) the end of the reporting period is assumed to be the end of the schemes’ performance period; and (ii) the performance targets have been met as at that date.</w:t>
      </w:r>
    </w:p>
    <w:p w14:paraId="428D435F" w14:textId="77777777" w:rsidR="00A3021A" w:rsidRPr="00701439" w:rsidRDefault="00A3021A" w:rsidP="00A3021A">
      <w:pPr>
        <w:pStyle w:val="bodycop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Poppins-Light"/>
          <w:color w:val="auto"/>
          <w:sz w:val="20"/>
          <w:lang w:eastAsia="en-GB"/>
        </w:rPr>
      </w:pPr>
      <w:r w:rsidRPr="00701439">
        <w:rPr>
          <w:rFonts w:asciiTheme="minorHAnsi" w:hAnsiTheme="minorHAnsi" w:cs="Poppins-Light"/>
          <w:color w:val="auto"/>
          <w:sz w:val="20"/>
          <w:lang w:eastAsia="en-GB"/>
        </w:rPr>
        <w:t>(ii) For share options outstanding under non-performance-related schemes such as the Save As You Earn scheme (SAYE), a calculation is performed to determine the number of shares that could have been acquired at fair value (determined as the average annual market share price of the Company’s shares) based on the monetary value of the subscription rights attached to outstanding share options. The number of shares calculated is compared with the number of share options outstanding, with the difference being the dilutive potential ordinary shares. The Group also presents an adjusted EPS, prior to the amortisation of acquisition intangibles and exceptional items.</w:t>
      </w:r>
    </w:p>
    <w:p w14:paraId="405E7B23" w14:textId="77777777" w:rsidR="00A3021A" w:rsidRPr="00701439" w:rsidRDefault="00A3021A" w:rsidP="00A3021A">
      <w:pPr>
        <w:pStyle w:val="bodycop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Poppins-Light"/>
          <w:sz w:val="20"/>
        </w:rPr>
      </w:pPr>
      <w:r w:rsidRPr="00701439">
        <w:rPr>
          <w:rFonts w:asciiTheme="minorHAnsi" w:hAnsiTheme="minorHAnsi" w:cs="Poppins-Light"/>
          <w:color w:val="auto"/>
          <w:sz w:val="20"/>
          <w:lang w:eastAsia="en-GB"/>
        </w:rPr>
        <w:t>Potential ordinary shares are treated as dilutive when, and only when, their conversion to ordinary shares would decrease earnings per share or increase loss per share.</w:t>
      </w:r>
    </w:p>
    <w:p w14:paraId="03A6CF93" w14:textId="77777777" w:rsidR="00A3021A" w:rsidRPr="00701439" w:rsidRDefault="00A3021A" w:rsidP="00A3021A">
      <w:pPr>
        <w:pStyle w:val="bodycop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Poppins-Light"/>
          <w:sz w:val="20"/>
        </w:rPr>
      </w:pPr>
      <w:r w:rsidRPr="00701439">
        <w:rPr>
          <w:rFonts w:asciiTheme="minorHAnsi" w:hAnsiTheme="minorHAnsi" w:cs="Poppins-Light"/>
          <w:sz w:val="20"/>
        </w:rPr>
        <w:t>Reconciliations of basic and diluted E/LPS for continuing operations and the Group are set out below:</w:t>
      </w:r>
    </w:p>
    <w:p w14:paraId="3175F66C" w14:textId="77777777" w:rsidR="00A3021A" w:rsidRPr="00701439" w:rsidRDefault="00A3021A" w:rsidP="00A3021A">
      <w:pPr>
        <w:pStyle w:val="bodycop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Arial"/>
          <w:sz w:val="20"/>
        </w:rPr>
      </w:pPr>
    </w:p>
    <w:tbl>
      <w:tblPr>
        <w:tblW w:w="9923" w:type="dxa"/>
        <w:tblLayout w:type="fixed"/>
        <w:tblLook w:val="0000" w:firstRow="0" w:lastRow="0" w:firstColumn="0" w:lastColumn="0" w:noHBand="0" w:noVBand="0"/>
      </w:tblPr>
      <w:tblGrid>
        <w:gridCol w:w="3544"/>
        <w:gridCol w:w="1134"/>
        <w:gridCol w:w="992"/>
        <w:gridCol w:w="993"/>
        <w:gridCol w:w="992"/>
        <w:gridCol w:w="1134"/>
        <w:gridCol w:w="1134"/>
      </w:tblGrid>
      <w:tr w:rsidR="00A3021A" w:rsidRPr="00701439" w14:paraId="2C90F275" w14:textId="77777777">
        <w:tc>
          <w:tcPr>
            <w:tcW w:w="3544" w:type="dxa"/>
          </w:tcPr>
          <w:p w14:paraId="157B53AB" w14:textId="77777777" w:rsidR="00A3021A" w:rsidRPr="00701439" w:rsidRDefault="00A3021A">
            <w:pPr>
              <w:jc w:val="right"/>
              <w:rPr>
                <w:rFonts w:asciiTheme="minorHAnsi" w:hAnsiTheme="minorHAnsi" w:cs="Arial"/>
                <w:sz w:val="20"/>
                <w:szCs w:val="20"/>
              </w:rPr>
            </w:pPr>
          </w:p>
        </w:tc>
        <w:tc>
          <w:tcPr>
            <w:tcW w:w="3119" w:type="dxa"/>
            <w:gridSpan w:val="3"/>
          </w:tcPr>
          <w:p w14:paraId="37459712" w14:textId="77777777" w:rsidR="00A3021A" w:rsidRPr="00701439" w:rsidRDefault="00A3021A">
            <w:pPr>
              <w:jc w:val="center"/>
              <w:rPr>
                <w:rFonts w:asciiTheme="minorHAnsi" w:hAnsiTheme="minorHAnsi" w:cs="Arial"/>
                <w:sz w:val="20"/>
                <w:szCs w:val="20"/>
              </w:rPr>
            </w:pPr>
            <w:r w:rsidRPr="00701439">
              <w:rPr>
                <w:rFonts w:asciiTheme="minorHAnsi" w:hAnsiTheme="minorHAnsi" w:cs="Arial"/>
                <w:sz w:val="20"/>
                <w:szCs w:val="20"/>
              </w:rPr>
              <w:t>2022</w:t>
            </w:r>
          </w:p>
        </w:tc>
        <w:tc>
          <w:tcPr>
            <w:tcW w:w="3260" w:type="dxa"/>
            <w:gridSpan w:val="3"/>
          </w:tcPr>
          <w:p w14:paraId="03C1601D" w14:textId="77777777" w:rsidR="00A3021A" w:rsidRPr="00701439" w:rsidRDefault="00A3021A">
            <w:pPr>
              <w:jc w:val="center"/>
              <w:rPr>
                <w:rFonts w:asciiTheme="minorHAnsi" w:hAnsiTheme="minorHAnsi" w:cs="Arial"/>
                <w:sz w:val="20"/>
                <w:szCs w:val="20"/>
              </w:rPr>
            </w:pPr>
            <w:r w:rsidRPr="00701439">
              <w:rPr>
                <w:rFonts w:asciiTheme="minorHAnsi" w:hAnsiTheme="minorHAnsi" w:cs="Arial"/>
                <w:sz w:val="20"/>
                <w:szCs w:val="20"/>
              </w:rPr>
              <w:t>2021</w:t>
            </w:r>
          </w:p>
        </w:tc>
      </w:tr>
      <w:tr w:rsidR="00A3021A" w:rsidRPr="00701439" w14:paraId="5D96259D" w14:textId="77777777">
        <w:tc>
          <w:tcPr>
            <w:tcW w:w="3544" w:type="dxa"/>
          </w:tcPr>
          <w:p w14:paraId="4FB235A4" w14:textId="77777777" w:rsidR="00A3021A" w:rsidRPr="00701439" w:rsidRDefault="00A3021A">
            <w:pPr>
              <w:jc w:val="right"/>
              <w:rPr>
                <w:rFonts w:asciiTheme="minorHAnsi" w:hAnsiTheme="minorHAnsi" w:cs="Arial"/>
                <w:sz w:val="20"/>
                <w:szCs w:val="20"/>
              </w:rPr>
            </w:pPr>
          </w:p>
        </w:tc>
        <w:tc>
          <w:tcPr>
            <w:tcW w:w="1134" w:type="dxa"/>
          </w:tcPr>
          <w:p w14:paraId="02C0A4D5" w14:textId="77777777" w:rsidR="00A3021A" w:rsidRPr="00701439" w:rsidRDefault="00A3021A">
            <w:pPr>
              <w:jc w:val="right"/>
              <w:rPr>
                <w:rFonts w:asciiTheme="minorHAnsi" w:hAnsiTheme="minorHAnsi" w:cs="Arial"/>
                <w:sz w:val="20"/>
                <w:szCs w:val="20"/>
              </w:rPr>
            </w:pPr>
          </w:p>
          <w:p w14:paraId="33802119" w14:textId="77777777" w:rsidR="00A3021A" w:rsidRPr="00701439" w:rsidRDefault="00A3021A">
            <w:pPr>
              <w:jc w:val="right"/>
              <w:rPr>
                <w:rFonts w:asciiTheme="minorHAnsi" w:hAnsiTheme="minorHAnsi" w:cs="Arial"/>
                <w:sz w:val="20"/>
                <w:szCs w:val="20"/>
              </w:rPr>
            </w:pPr>
          </w:p>
          <w:p w14:paraId="55828BE2" w14:textId="77777777" w:rsidR="00A3021A" w:rsidRPr="00701439" w:rsidRDefault="00A3021A">
            <w:pPr>
              <w:jc w:val="right"/>
              <w:rPr>
                <w:rFonts w:asciiTheme="minorHAnsi" w:hAnsiTheme="minorHAnsi" w:cs="Arial"/>
                <w:sz w:val="20"/>
                <w:szCs w:val="20"/>
              </w:rPr>
            </w:pPr>
          </w:p>
          <w:p w14:paraId="0C3D38BE"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Earnings </w:t>
            </w:r>
          </w:p>
        </w:tc>
        <w:tc>
          <w:tcPr>
            <w:tcW w:w="992" w:type="dxa"/>
          </w:tcPr>
          <w:p w14:paraId="23B68A1F" w14:textId="77777777" w:rsidR="00A3021A" w:rsidRPr="00701439" w:rsidRDefault="00A3021A">
            <w:pPr>
              <w:ind w:left="-108"/>
              <w:jc w:val="right"/>
              <w:rPr>
                <w:rFonts w:asciiTheme="minorHAnsi" w:hAnsiTheme="minorHAnsi" w:cs="Arial"/>
                <w:sz w:val="20"/>
                <w:szCs w:val="20"/>
              </w:rPr>
            </w:pPr>
            <w:r w:rsidRPr="00701439">
              <w:rPr>
                <w:rFonts w:asciiTheme="minorHAnsi" w:hAnsiTheme="minorHAnsi" w:cs="Arial"/>
                <w:sz w:val="20"/>
                <w:szCs w:val="20"/>
              </w:rPr>
              <w:t xml:space="preserve">Weighted average  </w:t>
            </w:r>
          </w:p>
          <w:p w14:paraId="2CDD8A79" w14:textId="77777777" w:rsidR="00A3021A" w:rsidRPr="00701439" w:rsidRDefault="00A3021A">
            <w:pPr>
              <w:ind w:left="-108"/>
              <w:jc w:val="right"/>
              <w:rPr>
                <w:rFonts w:asciiTheme="minorHAnsi" w:hAnsiTheme="minorHAnsi" w:cs="Arial"/>
                <w:sz w:val="20"/>
                <w:szCs w:val="20"/>
              </w:rPr>
            </w:pPr>
            <w:r w:rsidRPr="00701439">
              <w:rPr>
                <w:rFonts w:asciiTheme="minorHAnsi" w:hAnsiTheme="minorHAnsi" w:cs="Arial"/>
                <w:sz w:val="20"/>
                <w:szCs w:val="20"/>
              </w:rPr>
              <w:t xml:space="preserve">number  </w:t>
            </w:r>
          </w:p>
          <w:p w14:paraId="4A161B2C" w14:textId="77777777" w:rsidR="00A3021A" w:rsidRPr="00701439" w:rsidRDefault="00A3021A">
            <w:pPr>
              <w:ind w:left="-108"/>
              <w:jc w:val="right"/>
              <w:rPr>
                <w:rFonts w:asciiTheme="minorHAnsi" w:hAnsiTheme="minorHAnsi" w:cs="Arial"/>
                <w:sz w:val="20"/>
                <w:szCs w:val="20"/>
              </w:rPr>
            </w:pPr>
            <w:r w:rsidRPr="00701439">
              <w:rPr>
                <w:rFonts w:asciiTheme="minorHAnsi" w:hAnsiTheme="minorHAnsi" w:cs="Arial"/>
                <w:sz w:val="20"/>
                <w:szCs w:val="20"/>
              </w:rPr>
              <w:t>of shares </w:t>
            </w:r>
          </w:p>
        </w:tc>
        <w:tc>
          <w:tcPr>
            <w:tcW w:w="993" w:type="dxa"/>
          </w:tcPr>
          <w:p w14:paraId="4D1D514F" w14:textId="77777777" w:rsidR="00A3021A" w:rsidRPr="00701439" w:rsidRDefault="00A3021A">
            <w:pPr>
              <w:jc w:val="right"/>
              <w:rPr>
                <w:rFonts w:asciiTheme="minorHAnsi" w:hAnsiTheme="minorHAnsi" w:cs="Arial"/>
                <w:sz w:val="20"/>
                <w:szCs w:val="20"/>
              </w:rPr>
            </w:pPr>
          </w:p>
          <w:p w14:paraId="78C513DF"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 xml:space="preserve">Per  </w:t>
            </w:r>
          </w:p>
          <w:p w14:paraId="3B98397D"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 xml:space="preserve">share  </w:t>
            </w:r>
          </w:p>
          <w:p w14:paraId="59E24467"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amount </w:t>
            </w:r>
          </w:p>
        </w:tc>
        <w:tc>
          <w:tcPr>
            <w:tcW w:w="992" w:type="dxa"/>
          </w:tcPr>
          <w:p w14:paraId="58671502" w14:textId="77777777" w:rsidR="00A3021A" w:rsidRPr="00701439" w:rsidRDefault="00A3021A">
            <w:pPr>
              <w:jc w:val="right"/>
              <w:rPr>
                <w:rFonts w:asciiTheme="minorHAnsi" w:hAnsiTheme="minorHAnsi" w:cs="Arial"/>
                <w:sz w:val="20"/>
                <w:szCs w:val="20"/>
              </w:rPr>
            </w:pPr>
          </w:p>
          <w:p w14:paraId="059DD5A8" w14:textId="77777777" w:rsidR="00A3021A" w:rsidRPr="00701439" w:rsidRDefault="00A3021A">
            <w:pPr>
              <w:jc w:val="right"/>
              <w:rPr>
                <w:rFonts w:asciiTheme="minorHAnsi" w:hAnsiTheme="minorHAnsi" w:cs="Arial"/>
                <w:sz w:val="20"/>
                <w:szCs w:val="20"/>
              </w:rPr>
            </w:pPr>
          </w:p>
          <w:p w14:paraId="131A3F0A" w14:textId="77777777" w:rsidR="00A3021A" w:rsidRPr="00701439" w:rsidRDefault="00A3021A">
            <w:pPr>
              <w:jc w:val="right"/>
              <w:rPr>
                <w:rFonts w:asciiTheme="minorHAnsi" w:hAnsiTheme="minorHAnsi" w:cs="Arial"/>
                <w:sz w:val="20"/>
                <w:szCs w:val="20"/>
              </w:rPr>
            </w:pPr>
          </w:p>
          <w:p w14:paraId="70F10E2A" w14:textId="2F37A136" w:rsidR="00A3021A" w:rsidRPr="00701439" w:rsidRDefault="00A80CE6">
            <w:pPr>
              <w:jc w:val="right"/>
              <w:rPr>
                <w:rFonts w:asciiTheme="minorHAnsi" w:hAnsiTheme="minorHAnsi" w:cs="Arial"/>
                <w:sz w:val="20"/>
                <w:szCs w:val="20"/>
              </w:rPr>
            </w:pPr>
            <w:r w:rsidRPr="00701439">
              <w:rPr>
                <w:rFonts w:asciiTheme="minorHAnsi" w:hAnsiTheme="minorHAnsi" w:cs="Arial"/>
                <w:sz w:val="20"/>
                <w:szCs w:val="20"/>
              </w:rPr>
              <w:t>Earnings</w:t>
            </w:r>
            <w:r w:rsidR="00A3021A" w:rsidRPr="00701439">
              <w:rPr>
                <w:rFonts w:asciiTheme="minorHAnsi" w:hAnsiTheme="minorHAnsi" w:cs="Arial"/>
                <w:sz w:val="20"/>
                <w:szCs w:val="20"/>
              </w:rPr>
              <w:t> </w:t>
            </w:r>
          </w:p>
        </w:tc>
        <w:tc>
          <w:tcPr>
            <w:tcW w:w="1134" w:type="dxa"/>
          </w:tcPr>
          <w:p w14:paraId="6AB94F8D"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 xml:space="preserve">Weighted average  </w:t>
            </w:r>
          </w:p>
          <w:p w14:paraId="622DBC72"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 xml:space="preserve">number  </w:t>
            </w:r>
          </w:p>
          <w:p w14:paraId="0FA354A8"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of shares </w:t>
            </w:r>
          </w:p>
        </w:tc>
        <w:tc>
          <w:tcPr>
            <w:tcW w:w="1134" w:type="dxa"/>
          </w:tcPr>
          <w:p w14:paraId="07F37273" w14:textId="77777777" w:rsidR="00A3021A" w:rsidRPr="00701439" w:rsidRDefault="00A3021A">
            <w:pPr>
              <w:jc w:val="right"/>
              <w:rPr>
                <w:rFonts w:asciiTheme="minorHAnsi" w:hAnsiTheme="minorHAnsi" w:cs="Arial"/>
                <w:sz w:val="20"/>
                <w:szCs w:val="20"/>
              </w:rPr>
            </w:pPr>
          </w:p>
          <w:p w14:paraId="217A48D9"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 xml:space="preserve">Per  </w:t>
            </w:r>
          </w:p>
          <w:p w14:paraId="6B49609B"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 xml:space="preserve">share  </w:t>
            </w:r>
          </w:p>
          <w:p w14:paraId="790C07DA"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amount </w:t>
            </w:r>
          </w:p>
        </w:tc>
      </w:tr>
      <w:tr w:rsidR="00A3021A" w:rsidRPr="00701439" w14:paraId="44A5A4DB" w14:textId="77777777">
        <w:tc>
          <w:tcPr>
            <w:tcW w:w="3544" w:type="dxa"/>
            <w:tcBorders>
              <w:bottom w:val="single" w:sz="4" w:space="0" w:color="auto"/>
            </w:tcBorders>
          </w:tcPr>
          <w:p w14:paraId="642DD5C5"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Continuing operations</w:t>
            </w:r>
          </w:p>
        </w:tc>
        <w:tc>
          <w:tcPr>
            <w:tcW w:w="1134" w:type="dxa"/>
            <w:tcBorders>
              <w:top w:val="nil"/>
              <w:left w:val="nil"/>
              <w:bottom w:val="single" w:sz="4" w:space="0" w:color="auto"/>
              <w:right w:val="nil"/>
            </w:tcBorders>
          </w:tcPr>
          <w:p w14:paraId="4D6EC952" w14:textId="77777777" w:rsidR="00A3021A" w:rsidRPr="00701439" w:rsidRDefault="00A3021A">
            <w:pPr>
              <w:jc w:val="right"/>
              <w:rPr>
                <w:rFonts w:asciiTheme="minorHAnsi" w:hAnsiTheme="minorHAnsi" w:cs="Arial"/>
                <w:sz w:val="20"/>
                <w:szCs w:val="20"/>
                <w:lang w:val="fr-FR"/>
              </w:rPr>
            </w:pPr>
            <w:r w:rsidRPr="00701439">
              <w:rPr>
                <w:rFonts w:asciiTheme="minorHAnsi" w:hAnsiTheme="minorHAnsi" w:cs="Arial"/>
                <w:sz w:val="20"/>
                <w:szCs w:val="20"/>
                <w:lang w:val="fr-FR"/>
              </w:rPr>
              <w:t>£m </w:t>
            </w:r>
          </w:p>
        </w:tc>
        <w:tc>
          <w:tcPr>
            <w:tcW w:w="992" w:type="dxa"/>
            <w:tcBorders>
              <w:top w:val="nil"/>
              <w:left w:val="nil"/>
              <w:bottom w:val="single" w:sz="4" w:space="0" w:color="auto"/>
              <w:right w:val="nil"/>
            </w:tcBorders>
          </w:tcPr>
          <w:p w14:paraId="2E2E3811" w14:textId="77777777" w:rsidR="00A3021A" w:rsidRPr="00701439" w:rsidRDefault="00A3021A">
            <w:pPr>
              <w:ind w:left="-108"/>
              <w:jc w:val="right"/>
              <w:rPr>
                <w:rFonts w:asciiTheme="minorHAnsi" w:hAnsiTheme="minorHAnsi" w:cs="Arial"/>
                <w:sz w:val="20"/>
                <w:szCs w:val="20"/>
                <w:lang w:val="fr-FR"/>
              </w:rPr>
            </w:pPr>
            <w:proofErr w:type="gramStart"/>
            <w:r w:rsidRPr="00701439">
              <w:rPr>
                <w:rFonts w:asciiTheme="minorHAnsi" w:hAnsiTheme="minorHAnsi" w:cs="Arial"/>
                <w:sz w:val="20"/>
                <w:szCs w:val="20"/>
                <w:lang w:val="fr-FR"/>
              </w:rPr>
              <w:t>m</w:t>
            </w:r>
            <w:proofErr w:type="gramEnd"/>
            <w:r w:rsidRPr="00701439">
              <w:rPr>
                <w:rFonts w:asciiTheme="minorHAnsi" w:hAnsiTheme="minorHAnsi" w:cs="Arial"/>
                <w:sz w:val="20"/>
                <w:szCs w:val="20"/>
                <w:lang w:val="fr-FR"/>
              </w:rPr>
              <w:t> </w:t>
            </w:r>
          </w:p>
        </w:tc>
        <w:tc>
          <w:tcPr>
            <w:tcW w:w="993" w:type="dxa"/>
            <w:tcBorders>
              <w:top w:val="nil"/>
              <w:left w:val="nil"/>
              <w:bottom w:val="single" w:sz="4" w:space="0" w:color="auto"/>
              <w:right w:val="nil"/>
            </w:tcBorders>
          </w:tcPr>
          <w:p w14:paraId="3E299F85" w14:textId="77777777" w:rsidR="00A3021A" w:rsidRPr="00701439" w:rsidRDefault="00A3021A">
            <w:pPr>
              <w:jc w:val="right"/>
              <w:rPr>
                <w:rFonts w:asciiTheme="minorHAnsi" w:hAnsiTheme="minorHAnsi" w:cs="Arial"/>
                <w:sz w:val="20"/>
                <w:szCs w:val="20"/>
                <w:lang w:val="fr-FR"/>
              </w:rPr>
            </w:pPr>
            <w:proofErr w:type="gramStart"/>
            <w:r w:rsidRPr="00701439">
              <w:rPr>
                <w:rFonts w:asciiTheme="minorHAnsi" w:hAnsiTheme="minorHAnsi" w:cs="Arial"/>
                <w:sz w:val="20"/>
                <w:szCs w:val="20"/>
                <w:lang w:val="fr-FR"/>
              </w:rPr>
              <w:t>pence</w:t>
            </w:r>
            <w:proofErr w:type="gramEnd"/>
            <w:r w:rsidRPr="00701439">
              <w:rPr>
                <w:rFonts w:asciiTheme="minorHAnsi" w:hAnsiTheme="minorHAnsi" w:cs="Arial"/>
                <w:sz w:val="20"/>
                <w:szCs w:val="20"/>
                <w:lang w:val="fr-FR"/>
              </w:rPr>
              <w:t> </w:t>
            </w:r>
          </w:p>
        </w:tc>
        <w:tc>
          <w:tcPr>
            <w:tcW w:w="992" w:type="dxa"/>
            <w:tcBorders>
              <w:top w:val="nil"/>
              <w:left w:val="nil"/>
              <w:bottom w:val="single" w:sz="4" w:space="0" w:color="auto"/>
              <w:right w:val="nil"/>
            </w:tcBorders>
          </w:tcPr>
          <w:p w14:paraId="5DD985C2" w14:textId="77777777" w:rsidR="00A3021A" w:rsidRPr="00701439" w:rsidRDefault="00A3021A">
            <w:pPr>
              <w:jc w:val="right"/>
              <w:rPr>
                <w:rFonts w:asciiTheme="minorHAnsi" w:hAnsiTheme="minorHAnsi" w:cs="Arial"/>
                <w:sz w:val="20"/>
                <w:szCs w:val="20"/>
                <w:lang w:val="fr-FR"/>
              </w:rPr>
            </w:pPr>
            <w:r w:rsidRPr="00701439">
              <w:rPr>
                <w:rFonts w:asciiTheme="minorHAnsi" w:hAnsiTheme="minorHAnsi" w:cs="Arial"/>
                <w:sz w:val="20"/>
                <w:szCs w:val="20"/>
                <w:lang w:val="fr-FR"/>
              </w:rPr>
              <w:t>£m </w:t>
            </w:r>
          </w:p>
        </w:tc>
        <w:tc>
          <w:tcPr>
            <w:tcW w:w="1134" w:type="dxa"/>
            <w:tcBorders>
              <w:top w:val="nil"/>
              <w:left w:val="nil"/>
              <w:bottom w:val="single" w:sz="4" w:space="0" w:color="auto"/>
              <w:right w:val="nil"/>
            </w:tcBorders>
          </w:tcPr>
          <w:p w14:paraId="7CED5883" w14:textId="77777777" w:rsidR="00A3021A" w:rsidRPr="00701439" w:rsidRDefault="00A3021A">
            <w:pPr>
              <w:jc w:val="right"/>
              <w:rPr>
                <w:rFonts w:asciiTheme="minorHAnsi" w:hAnsiTheme="minorHAnsi" w:cs="Arial"/>
                <w:sz w:val="20"/>
                <w:szCs w:val="20"/>
                <w:lang w:val="fr-FR"/>
              </w:rPr>
            </w:pPr>
            <w:proofErr w:type="gramStart"/>
            <w:r w:rsidRPr="00701439">
              <w:rPr>
                <w:rFonts w:asciiTheme="minorHAnsi" w:hAnsiTheme="minorHAnsi" w:cs="Arial"/>
                <w:sz w:val="20"/>
                <w:szCs w:val="20"/>
                <w:lang w:val="fr-FR"/>
              </w:rPr>
              <w:t>m</w:t>
            </w:r>
            <w:proofErr w:type="gramEnd"/>
            <w:r w:rsidRPr="00701439">
              <w:rPr>
                <w:rFonts w:asciiTheme="minorHAnsi" w:hAnsiTheme="minorHAnsi" w:cs="Arial"/>
                <w:sz w:val="20"/>
                <w:szCs w:val="20"/>
                <w:lang w:val="fr-FR"/>
              </w:rPr>
              <w:t> </w:t>
            </w:r>
          </w:p>
        </w:tc>
        <w:tc>
          <w:tcPr>
            <w:tcW w:w="1134" w:type="dxa"/>
            <w:tcBorders>
              <w:top w:val="nil"/>
              <w:left w:val="nil"/>
              <w:bottom w:val="single" w:sz="4" w:space="0" w:color="auto"/>
              <w:right w:val="nil"/>
            </w:tcBorders>
          </w:tcPr>
          <w:p w14:paraId="38698F27" w14:textId="77777777" w:rsidR="00A3021A" w:rsidRPr="00701439" w:rsidRDefault="00A3021A">
            <w:pPr>
              <w:jc w:val="right"/>
              <w:rPr>
                <w:rFonts w:asciiTheme="minorHAnsi" w:hAnsiTheme="minorHAnsi" w:cs="Arial"/>
                <w:sz w:val="20"/>
                <w:szCs w:val="20"/>
                <w:lang w:val="fr-FR"/>
              </w:rPr>
            </w:pPr>
            <w:proofErr w:type="gramStart"/>
            <w:r w:rsidRPr="00701439">
              <w:rPr>
                <w:rFonts w:asciiTheme="minorHAnsi" w:hAnsiTheme="minorHAnsi" w:cs="Arial"/>
                <w:sz w:val="20"/>
                <w:szCs w:val="20"/>
                <w:lang w:val="fr-FR"/>
              </w:rPr>
              <w:t>pence</w:t>
            </w:r>
            <w:proofErr w:type="gramEnd"/>
            <w:r w:rsidRPr="00701439">
              <w:rPr>
                <w:rFonts w:asciiTheme="minorHAnsi" w:hAnsiTheme="minorHAnsi" w:cs="Arial"/>
                <w:sz w:val="20"/>
                <w:szCs w:val="20"/>
                <w:lang w:val="fr-FR"/>
              </w:rPr>
              <w:t> </w:t>
            </w:r>
          </w:p>
        </w:tc>
      </w:tr>
      <w:tr w:rsidR="00A3021A" w:rsidRPr="00701439" w14:paraId="48696F16" w14:textId="77777777">
        <w:tc>
          <w:tcPr>
            <w:tcW w:w="3544" w:type="dxa"/>
            <w:tcBorders>
              <w:top w:val="single" w:sz="4" w:space="0" w:color="auto"/>
            </w:tcBorders>
            <w:vAlign w:val="bottom"/>
          </w:tcPr>
          <w:p w14:paraId="21B24FA9" w14:textId="77777777" w:rsidR="00A3021A" w:rsidRPr="00701439" w:rsidRDefault="00A3021A">
            <w:pPr>
              <w:rPr>
                <w:rFonts w:asciiTheme="minorHAnsi" w:hAnsiTheme="minorHAnsi" w:cs="Arial"/>
                <w:b/>
                <w:sz w:val="20"/>
                <w:szCs w:val="20"/>
              </w:rPr>
            </w:pPr>
            <w:r w:rsidRPr="00701439">
              <w:rPr>
                <w:rFonts w:asciiTheme="minorHAnsi" w:hAnsiTheme="minorHAnsi" w:cs="Arial"/>
                <w:b/>
                <w:sz w:val="20"/>
                <w:szCs w:val="20"/>
              </w:rPr>
              <w:t xml:space="preserve">Basic earnings per share </w:t>
            </w:r>
          </w:p>
        </w:tc>
        <w:tc>
          <w:tcPr>
            <w:tcW w:w="1134" w:type="dxa"/>
            <w:tcBorders>
              <w:left w:val="nil"/>
              <w:bottom w:val="nil"/>
              <w:right w:val="nil"/>
            </w:tcBorders>
            <w:vAlign w:val="bottom"/>
          </w:tcPr>
          <w:p w14:paraId="50A6C1AA"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82.3</w:t>
            </w:r>
          </w:p>
        </w:tc>
        <w:tc>
          <w:tcPr>
            <w:tcW w:w="992" w:type="dxa"/>
            <w:tcBorders>
              <w:left w:val="nil"/>
              <w:bottom w:val="nil"/>
              <w:right w:val="nil"/>
            </w:tcBorders>
            <w:vAlign w:val="bottom"/>
          </w:tcPr>
          <w:p w14:paraId="2860643C" w14:textId="77777777" w:rsidR="00A3021A" w:rsidRPr="00701439" w:rsidRDefault="00A3021A">
            <w:pPr>
              <w:ind w:left="-108"/>
              <w:jc w:val="right"/>
              <w:rPr>
                <w:rFonts w:asciiTheme="minorHAnsi" w:hAnsiTheme="minorHAnsi" w:cstheme="minorHAnsi"/>
                <w:sz w:val="20"/>
                <w:szCs w:val="20"/>
              </w:rPr>
            </w:pPr>
            <w:r w:rsidRPr="00701439">
              <w:rPr>
                <w:rFonts w:asciiTheme="minorHAnsi" w:hAnsiTheme="minorHAnsi" w:cstheme="minorHAnsi"/>
                <w:sz w:val="20"/>
                <w:szCs w:val="20"/>
              </w:rPr>
              <w:t>250.9</w:t>
            </w:r>
          </w:p>
        </w:tc>
        <w:tc>
          <w:tcPr>
            <w:tcW w:w="993" w:type="dxa"/>
            <w:tcBorders>
              <w:left w:val="nil"/>
              <w:bottom w:val="nil"/>
              <w:right w:val="nil"/>
            </w:tcBorders>
            <w:vAlign w:val="bottom"/>
          </w:tcPr>
          <w:p w14:paraId="14F22498"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32.8</w:t>
            </w:r>
          </w:p>
        </w:tc>
        <w:tc>
          <w:tcPr>
            <w:tcW w:w="992" w:type="dxa"/>
            <w:tcBorders>
              <w:left w:val="nil"/>
              <w:bottom w:val="nil"/>
              <w:right w:val="nil"/>
            </w:tcBorders>
            <w:vAlign w:val="bottom"/>
          </w:tcPr>
          <w:p w14:paraId="2872AA0C"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134.6</w:t>
            </w:r>
          </w:p>
        </w:tc>
        <w:tc>
          <w:tcPr>
            <w:tcW w:w="1134" w:type="dxa"/>
            <w:tcBorders>
              <w:left w:val="nil"/>
              <w:bottom w:val="nil"/>
              <w:right w:val="nil"/>
            </w:tcBorders>
            <w:vAlign w:val="bottom"/>
          </w:tcPr>
          <w:p w14:paraId="51F24522" w14:textId="77777777" w:rsidR="00A3021A" w:rsidRPr="00701439" w:rsidRDefault="00A3021A">
            <w:pPr>
              <w:ind w:left="-108"/>
              <w:jc w:val="right"/>
              <w:rPr>
                <w:rFonts w:asciiTheme="minorHAnsi" w:hAnsiTheme="minorHAnsi" w:cstheme="minorHAnsi"/>
                <w:sz w:val="20"/>
                <w:szCs w:val="20"/>
              </w:rPr>
            </w:pPr>
            <w:r w:rsidRPr="00701439">
              <w:rPr>
                <w:rFonts w:asciiTheme="minorHAnsi" w:hAnsiTheme="minorHAnsi" w:cstheme="minorHAnsi"/>
                <w:sz w:val="20"/>
                <w:szCs w:val="20"/>
              </w:rPr>
              <w:t>250.7</w:t>
            </w:r>
          </w:p>
        </w:tc>
        <w:tc>
          <w:tcPr>
            <w:tcW w:w="1134" w:type="dxa"/>
            <w:tcBorders>
              <w:left w:val="nil"/>
              <w:bottom w:val="nil"/>
              <w:right w:val="nil"/>
            </w:tcBorders>
            <w:vAlign w:val="bottom"/>
          </w:tcPr>
          <w:p w14:paraId="5652FAB9"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53.7</w:t>
            </w:r>
          </w:p>
        </w:tc>
      </w:tr>
      <w:tr w:rsidR="00A3021A" w:rsidRPr="00701439" w14:paraId="3B6499C0" w14:textId="77777777">
        <w:tc>
          <w:tcPr>
            <w:tcW w:w="3544" w:type="dxa"/>
            <w:tcBorders>
              <w:bottom w:val="single" w:sz="4" w:space="0" w:color="auto"/>
            </w:tcBorders>
            <w:vAlign w:val="bottom"/>
          </w:tcPr>
          <w:p w14:paraId="0FD77DB4"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Dilutive effect of share options and awards</w:t>
            </w:r>
          </w:p>
        </w:tc>
        <w:tc>
          <w:tcPr>
            <w:tcW w:w="1134" w:type="dxa"/>
            <w:tcBorders>
              <w:top w:val="nil"/>
              <w:left w:val="nil"/>
              <w:bottom w:val="single" w:sz="4" w:space="0" w:color="auto"/>
              <w:right w:val="nil"/>
            </w:tcBorders>
            <w:vAlign w:val="bottom"/>
          </w:tcPr>
          <w:p w14:paraId="58FE2CA5"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w:t>
            </w:r>
          </w:p>
        </w:tc>
        <w:tc>
          <w:tcPr>
            <w:tcW w:w="992" w:type="dxa"/>
            <w:tcBorders>
              <w:top w:val="nil"/>
              <w:left w:val="nil"/>
              <w:bottom w:val="single" w:sz="4" w:space="0" w:color="auto"/>
              <w:right w:val="nil"/>
            </w:tcBorders>
            <w:vAlign w:val="bottom"/>
          </w:tcPr>
          <w:p w14:paraId="2A039002" w14:textId="77777777" w:rsidR="00A3021A" w:rsidRPr="00701439" w:rsidRDefault="00A3021A">
            <w:pPr>
              <w:ind w:left="-108"/>
              <w:jc w:val="center"/>
              <w:rPr>
                <w:rFonts w:asciiTheme="minorHAnsi" w:hAnsiTheme="minorHAnsi" w:cstheme="minorHAnsi"/>
                <w:color w:val="000000" w:themeColor="text1"/>
                <w:sz w:val="20"/>
                <w:szCs w:val="20"/>
              </w:rPr>
            </w:pPr>
            <w:r w:rsidRPr="00701439">
              <w:rPr>
                <w:rFonts w:asciiTheme="minorHAnsi" w:hAnsiTheme="minorHAnsi" w:cstheme="minorHAnsi"/>
                <w:color w:val="000000" w:themeColor="text1"/>
                <w:sz w:val="20"/>
                <w:szCs w:val="20"/>
              </w:rPr>
              <w:t xml:space="preserve">             2.8</w:t>
            </w:r>
          </w:p>
        </w:tc>
        <w:tc>
          <w:tcPr>
            <w:tcW w:w="993" w:type="dxa"/>
            <w:tcBorders>
              <w:top w:val="nil"/>
              <w:left w:val="nil"/>
              <w:bottom w:val="single" w:sz="4" w:space="0" w:color="auto"/>
              <w:right w:val="nil"/>
            </w:tcBorders>
            <w:vAlign w:val="bottom"/>
          </w:tcPr>
          <w:p w14:paraId="65B85CF0" w14:textId="77777777" w:rsidR="00A3021A" w:rsidRPr="00701439" w:rsidRDefault="00A3021A">
            <w:pPr>
              <w:jc w:val="right"/>
              <w:rPr>
                <w:rFonts w:asciiTheme="minorHAnsi" w:hAnsiTheme="minorHAnsi" w:cstheme="minorHAnsi"/>
                <w:color w:val="000000" w:themeColor="text1"/>
                <w:sz w:val="20"/>
                <w:szCs w:val="20"/>
              </w:rPr>
            </w:pPr>
            <w:r w:rsidRPr="00701439">
              <w:rPr>
                <w:rFonts w:asciiTheme="minorHAnsi" w:hAnsiTheme="minorHAnsi" w:cstheme="minorHAnsi"/>
                <w:color w:val="000000" w:themeColor="text1"/>
                <w:sz w:val="20"/>
                <w:szCs w:val="20"/>
              </w:rPr>
              <w:t>(0.4)</w:t>
            </w:r>
          </w:p>
        </w:tc>
        <w:tc>
          <w:tcPr>
            <w:tcW w:w="992" w:type="dxa"/>
            <w:tcBorders>
              <w:top w:val="nil"/>
              <w:left w:val="nil"/>
              <w:bottom w:val="single" w:sz="4" w:space="0" w:color="auto"/>
              <w:right w:val="nil"/>
            </w:tcBorders>
            <w:vAlign w:val="bottom"/>
          </w:tcPr>
          <w:p w14:paraId="6CD25693"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w:t>
            </w:r>
          </w:p>
        </w:tc>
        <w:tc>
          <w:tcPr>
            <w:tcW w:w="1134" w:type="dxa"/>
            <w:tcBorders>
              <w:top w:val="nil"/>
              <w:left w:val="nil"/>
              <w:bottom w:val="single" w:sz="4" w:space="0" w:color="auto"/>
              <w:right w:val="nil"/>
            </w:tcBorders>
            <w:vAlign w:val="bottom"/>
          </w:tcPr>
          <w:p w14:paraId="5C503B1D" w14:textId="77777777" w:rsidR="00A3021A" w:rsidRPr="00701439" w:rsidRDefault="00A3021A">
            <w:pPr>
              <w:ind w:left="-108"/>
              <w:jc w:val="right"/>
              <w:rPr>
                <w:rFonts w:asciiTheme="minorHAnsi" w:hAnsiTheme="minorHAnsi" w:cstheme="minorHAnsi"/>
                <w:sz w:val="20"/>
                <w:szCs w:val="20"/>
              </w:rPr>
            </w:pPr>
            <w:r w:rsidRPr="00701439">
              <w:rPr>
                <w:rFonts w:asciiTheme="minorHAnsi" w:hAnsiTheme="minorHAnsi" w:cstheme="minorHAnsi"/>
                <w:color w:val="000000" w:themeColor="text1"/>
                <w:sz w:val="20"/>
                <w:szCs w:val="20"/>
              </w:rPr>
              <w:t xml:space="preserve">            1.3</w:t>
            </w:r>
          </w:p>
        </w:tc>
        <w:tc>
          <w:tcPr>
            <w:tcW w:w="1134" w:type="dxa"/>
            <w:tcBorders>
              <w:top w:val="nil"/>
              <w:left w:val="nil"/>
              <w:bottom w:val="single" w:sz="4" w:space="0" w:color="auto"/>
              <w:right w:val="nil"/>
            </w:tcBorders>
            <w:vAlign w:val="bottom"/>
          </w:tcPr>
          <w:p w14:paraId="0CF8AF2A"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color w:val="000000" w:themeColor="text1"/>
                <w:sz w:val="20"/>
                <w:szCs w:val="20"/>
              </w:rPr>
              <w:t>(0.3)</w:t>
            </w:r>
          </w:p>
        </w:tc>
      </w:tr>
      <w:tr w:rsidR="00A3021A" w:rsidRPr="00701439" w14:paraId="40711807" w14:textId="77777777">
        <w:trPr>
          <w:trHeight w:val="223"/>
        </w:trPr>
        <w:tc>
          <w:tcPr>
            <w:tcW w:w="3544" w:type="dxa"/>
            <w:tcBorders>
              <w:top w:val="single" w:sz="4" w:space="0" w:color="auto"/>
              <w:bottom w:val="single" w:sz="12" w:space="0" w:color="auto"/>
            </w:tcBorders>
            <w:vAlign w:val="bottom"/>
          </w:tcPr>
          <w:p w14:paraId="1D6B3D22" w14:textId="77777777" w:rsidR="00A3021A" w:rsidRPr="00701439" w:rsidRDefault="00A3021A">
            <w:pPr>
              <w:rPr>
                <w:rFonts w:asciiTheme="minorHAnsi" w:hAnsiTheme="minorHAnsi" w:cs="Arial"/>
                <w:b/>
                <w:sz w:val="20"/>
                <w:szCs w:val="20"/>
              </w:rPr>
            </w:pPr>
            <w:r w:rsidRPr="00701439">
              <w:rPr>
                <w:rFonts w:asciiTheme="minorHAnsi" w:hAnsiTheme="minorHAnsi" w:cs="Arial"/>
                <w:b/>
                <w:sz w:val="20"/>
                <w:szCs w:val="20"/>
              </w:rPr>
              <w:t xml:space="preserve">Diluted earnings per share </w:t>
            </w:r>
          </w:p>
        </w:tc>
        <w:tc>
          <w:tcPr>
            <w:tcW w:w="1134" w:type="dxa"/>
            <w:tcBorders>
              <w:top w:val="single" w:sz="4" w:space="0" w:color="auto"/>
              <w:left w:val="nil"/>
              <w:bottom w:val="single" w:sz="12" w:space="0" w:color="auto"/>
              <w:right w:val="nil"/>
            </w:tcBorders>
          </w:tcPr>
          <w:p w14:paraId="361507C9"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82.3</w:t>
            </w:r>
          </w:p>
        </w:tc>
        <w:tc>
          <w:tcPr>
            <w:tcW w:w="992" w:type="dxa"/>
            <w:tcBorders>
              <w:top w:val="single" w:sz="4" w:space="0" w:color="auto"/>
              <w:left w:val="nil"/>
              <w:bottom w:val="single" w:sz="12" w:space="0" w:color="auto"/>
              <w:right w:val="nil"/>
            </w:tcBorders>
          </w:tcPr>
          <w:p w14:paraId="5FD879F7" w14:textId="77777777" w:rsidR="00A3021A" w:rsidRPr="00701439" w:rsidRDefault="00A3021A">
            <w:pPr>
              <w:ind w:left="-108"/>
              <w:jc w:val="right"/>
              <w:rPr>
                <w:rFonts w:asciiTheme="minorHAnsi" w:hAnsiTheme="minorHAnsi" w:cstheme="minorHAnsi"/>
                <w:color w:val="000000" w:themeColor="text1"/>
                <w:sz w:val="20"/>
                <w:szCs w:val="20"/>
              </w:rPr>
            </w:pPr>
            <w:r w:rsidRPr="00701439">
              <w:rPr>
                <w:rFonts w:asciiTheme="minorHAnsi" w:hAnsiTheme="minorHAnsi" w:cstheme="minorHAnsi"/>
                <w:color w:val="000000" w:themeColor="text1"/>
                <w:sz w:val="20"/>
                <w:szCs w:val="20"/>
              </w:rPr>
              <w:t>253.7</w:t>
            </w:r>
          </w:p>
        </w:tc>
        <w:tc>
          <w:tcPr>
            <w:tcW w:w="993" w:type="dxa"/>
            <w:tcBorders>
              <w:top w:val="single" w:sz="4" w:space="0" w:color="auto"/>
              <w:left w:val="nil"/>
              <w:bottom w:val="single" w:sz="12" w:space="0" w:color="auto"/>
              <w:right w:val="nil"/>
            </w:tcBorders>
          </w:tcPr>
          <w:p w14:paraId="0ECBF1AB" w14:textId="77777777" w:rsidR="00A3021A" w:rsidRPr="00701439" w:rsidRDefault="00A3021A">
            <w:pPr>
              <w:jc w:val="right"/>
              <w:rPr>
                <w:rFonts w:asciiTheme="minorHAnsi" w:hAnsiTheme="minorHAnsi" w:cstheme="minorHAnsi"/>
                <w:color w:val="000000" w:themeColor="text1"/>
                <w:sz w:val="20"/>
                <w:szCs w:val="20"/>
              </w:rPr>
            </w:pPr>
            <w:r w:rsidRPr="00701439">
              <w:rPr>
                <w:rFonts w:asciiTheme="minorHAnsi" w:hAnsiTheme="minorHAnsi" w:cstheme="minorHAnsi"/>
                <w:color w:val="000000" w:themeColor="text1"/>
                <w:sz w:val="20"/>
                <w:szCs w:val="20"/>
              </w:rPr>
              <w:t>32.4</w:t>
            </w:r>
          </w:p>
        </w:tc>
        <w:tc>
          <w:tcPr>
            <w:tcW w:w="992" w:type="dxa"/>
            <w:tcBorders>
              <w:top w:val="single" w:sz="4" w:space="0" w:color="auto"/>
              <w:left w:val="nil"/>
              <w:bottom w:val="single" w:sz="12" w:space="0" w:color="auto"/>
              <w:right w:val="nil"/>
            </w:tcBorders>
          </w:tcPr>
          <w:p w14:paraId="4102E70A"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134.6</w:t>
            </w:r>
          </w:p>
        </w:tc>
        <w:tc>
          <w:tcPr>
            <w:tcW w:w="1134" w:type="dxa"/>
            <w:tcBorders>
              <w:top w:val="single" w:sz="4" w:space="0" w:color="auto"/>
              <w:left w:val="nil"/>
              <w:bottom w:val="single" w:sz="12" w:space="0" w:color="auto"/>
              <w:right w:val="nil"/>
            </w:tcBorders>
          </w:tcPr>
          <w:p w14:paraId="27665422" w14:textId="77777777" w:rsidR="00A3021A" w:rsidRPr="00701439" w:rsidRDefault="00A3021A">
            <w:pPr>
              <w:ind w:left="-108"/>
              <w:jc w:val="right"/>
              <w:rPr>
                <w:rFonts w:asciiTheme="minorHAnsi" w:hAnsiTheme="minorHAnsi" w:cstheme="minorHAnsi"/>
                <w:sz w:val="20"/>
                <w:szCs w:val="20"/>
              </w:rPr>
            </w:pPr>
            <w:r w:rsidRPr="00701439">
              <w:rPr>
                <w:rFonts w:asciiTheme="minorHAnsi" w:hAnsiTheme="minorHAnsi" w:cstheme="minorHAnsi"/>
                <w:color w:val="000000" w:themeColor="text1"/>
                <w:sz w:val="20"/>
                <w:szCs w:val="20"/>
              </w:rPr>
              <w:t>252.0</w:t>
            </w:r>
          </w:p>
        </w:tc>
        <w:tc>
          <w:tcPr>
            <w:tcW w:w="1134" w:type="dxa"/>
            <w:tcBorders>
              <w:top w:val="single" w:sz="4" w:space="0" w:color="auto"/>
              <w:left w:val="nil"/>
              <w:bottom w:val="single" w:sz="12" w:space="0" w:color="auto"/>
              <w:right w:val="nil"/>
            </w:tcBorders>
          </w:tcPr>
          <w:p w14:paraId="1BB66C9A"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color w:val="000000" w:themeColor="text1"/>
                <w:sz w:val="20"/>
                <w:szCs w:val="20"/>
              </w:rPr>
              <w:t>53.4</w:t>
            </w:r>
          </w:p>
        </w:tc>
      </w:tr>
    </w:tbl>
    <w:p w14:paraId="500CD478" w14:textId="77777777" w:rsidR="00A3021A" w:rsidRPr="00701439" w:rsidRDefault="00A3021A" w:rsidP="00A3021A">
      <w:pPr>
        <w:jc w:val="both"/>
        <w:rPr>
          <w:rFonts w:asciiTheme="minorHAnsi" w:hAnsiTheme="minorHAnsi" w:cs="Arial"/>
          <w:sz w:val="20"/>
          <w:szCs w:val="20"/>
        </w:rPr>
      </w:pPr>
    </w:p>
    <w:tbl>
      <w:tblPr>
        <w:tblW w:w="9923" w:type="dxa"/>
        <w:tblLayout w:type="fixed"/>
        <w:tblLook w:val="0000" w:firstRow="0" w:lastRow="0" w:firstColumn="0" w:lastColumn="0" w:noHBand="0" w:noVBand="0"/>
      </w:tblPr>
      <w:tblGrid>
        <w:gridCol w:w="3544"/>
        <w:gridCol w:w="1134"/>
        <w:gridCol w:w="992"/>
        <w:gridCol w:w="993"/>
        <w:gridCol w:w="992"/>
        <w:gridCol w:w="1134"/>
        <w:gridCol w:w="1134"/>
      </w:tblGrid>
      <w:tr w:rsidR="00A3021A" w:rsidRPr="00701439" w14:paraId="2A66DB53" w14:textId="77777777">
        <w:tc>
          <w:tcPr>
            <w:tcW w:w="3544" w:type="dxa"/>
          </w:tcPr>
          <w:p w14:paraId="173FE86C" w14:textId="77777777" w:rsidR="00A3021A" w:rsidRPr="00701439" w:rsidRDefault="00A3021A">
            <w:pPr>
              <w:jc w:val="right"/>
              <w:rPr>
                <w:rFonts w:asciiTheme="minorHAnsi" w:hAnsiTheme="minorHAnsi" w:cs="Arial"/>
                <w:sz w:val="20"/>
                <w:szCs w:val="20"/>
              </w:rPr>
            </w:pPr>
          </w:p>
        </w:tc>
        <w:tc>
          <w:tcPr>
            <w:tcW w:w="3119" w:type="dxa"/>
            <w:gridSpan w:val="3"/>
          </w:tcPr>
          <w:p w14:paraId="09C42F22" w14:textId="77777777" w:rsidR="00A3021A" w:rsidRPr="00701439" w:rsidRDefault="00A3021A">
            <w:pPr>
              <w:jc w:val="center"/>
              <w:rPr>
                <w:rFonts w:asciiTheme="minorHAnsi" w:hAnsiTheme="minorHAnsi" w:cs="Arial"/>
                <w:sz w:val="20"/>
                <w:szCs w:val="20"/>
              </w:rPr>
            </w:pPr>
            <w:r w:rsidRPr="00701439">
              <w:rPr>
                <w:rFonts w:asciiTheme="minorHAnsi" w:hAnsiTheme="minorHAnsi" w:cs="Arial"/>
                <w:sz w:val="20"/>
                <w:szCs w:val="20"/>
              </w:rPr>
              <w:t>2022</w:t>
            </w:r>
          </w:p>
        </w:tc>
        <w:tc>
          <w:tcPr>
            <w:tcW w:w="3260" w:type="dxa"/>
            <w:gridSpan w:val="3"/>
          </w:tcPr>
          <w:p w14:paraId="4650F229" w14:textId="77777777" w:rsidR="00A3021A" w:rsidRPr="00701439" w:rsidRDefault="00A3021A">
            <w:pPr>
              <w:jc w:val="center"/>
              <w:rPr>
                <w:rFonts w:asciiTheme="minorHAnsi" w:hAnsiTheme="minorHAnsi" w:cs="Arial"/>
                <w:sz w:val="20"/>
                <w:szCs w:val="20"/>
              </w:rPr>
            </w:pPr>
            <w:r w:rsidRPr="00701439">
              <w:rPr>
                <w:rFonts w:asciiTheme="minorHAnsi" w:hAnsiTheme="minorHAnsi" w:cs="Arial"/>
                <w:sz w:val="20"/>
                <w:szCs w:val="20"/>
              </w:rPr>
              <w:t>2021</w:t>
            </w:r>
          </w:p>
        </w:tc>
      </w:tr>
      <w:tr w:rsidR="00A3021A" w:rsidRPr="00701439" w14:paraId="5542428A" w14:textId="77777777">
        <w:tc>
          <w:tcPr>
            <w:tcW w:w="3544" w:type="dxa"/>
          </w:tcPr>
          <w:p w14:paraId="46F8BD1E" w14:textId="77777777" w:rsidR="00A3021A" w:rsidRPr="00701439" w:rsidRDefault="00A3021A">
            <w:pPr>
              <w:jc w:val="right"/>
              <w:rPr>
                <w:rFonts w:asciiTheme="minorHAnsi" w:hAnsiTheme="minorHAnsi" w:cs="Arial"/>
                <w:sz w:val="20"/>
                <w:szCs w:val="20"/>
              </w:rPr>
            </w:pPr>
          </w:p>
        </w:tc>
        <w:tc>
          <w:tcPr>
            <w:tcW w:w="1134" w:type="dxa"/>
          </w:tcPr>
          <w:p w14:paraId="4F7C0A0E" w14:textId="77777777" w:rsidR="00A3021A" w:rsidRPr="00701439" w:rsidRDefault="00A3021A">
            <w:pPr>
              <w:jc w:val="right"/>
              <w:rPr>
                <w:rFonts w:asciiTheme="minorHAnsi" w:hAnsiTheme="minorHAnsi" w:cs="Arial"/>
                <w:sz w:val="20"/>
                <w:szCs w:val="20"/>
              </w:rPr>
            </w:pPr>
          </w:p>
          <w:p w14:paraId="649A92FA" w14:textId="77777777" w:rsidR="00A3021A" w:rsidRPr="00701439" w:rsidRDefault="00A3021A">
            <w:pPr>
              <w:jc w:val="right"/>
              <w:rPr>
                <w:rFonts w:asciiTheme="minorHAnsi" w:hAnsiTheme="minorHAnsi" w:cs="Arial"/>
                <w:sz w:val="20"/>
                <w:szCs w:val="20"/>
              </w:rPr>
            </w:pPr>
          </w:p>
          <w:p w14:paraId="19055D22" w14:textId="77777777" w:rsidR="00A3021A" w:rsidRPr="00701439" w:rsidRDefault="00A3021A">
            <w:pPr>
              <w:jc w:val="right"/>
              <w:rPr>
                <w:rFonts w:asciiTheme="minorHAnsi" w:hAnsiTheme="minorHAnsi" w:cs="Arial"/>
                <w:sz w:val="20"/>
                <w:szCs w:val="20"/>
              </w:rPr>
            </w:pPr>
          </w:p>
          <w:p w14:paraId="7DD2B2CC" w14:textId="043061B9" w:rsidR="00A3021A" w:rsidRPr="00701439" w:rsidRDefault="00A80CE6">
            <w:pPr>
              <w:jc w:val="right"/>
              <w:rPr>
                <w:rFonts w:asciiTheme="minorHAnsi" w:hAnsiTheme="minorHAnsi" w:cs="Arial"/>
                <w:sz w:val="20"/>
                <w:szCs w:val="20"/>
              </w:rPr>
            </w:pPr>
            <w:r w:rsidRPr="00701439">
              <w:rPr>
                <w:rFonts w:asciiTheme="minorHAnsi" w:hAnsiTheme="minorHAnsi" w:cs="Arial"/>
                <w:sz w:val="20"/>
                <w:szCs w:val="20"/>
              </w:rPr>
              <w:t>Earnings</w:t>
            </w:r>
            <w:r w:rsidR="00A3021A" w:rsidRPr="00701439">
              <w:rPr>
                <w:rFonts w:asciiTheme="minorHAnsi" w:hAnsiTheme="minorHAnsi" w:cs="Arial"/>
                <w:sz w:val="20"/>
                <w:szCs w:val="20"/>
              </w:rPr>
              <w:t> </w:t>
            </w:r>
          </w:p>
        </w:tc>
        <w:tc>
          <w:tcPr>
            <w:tcW w:w="992" w:type="dxa"/>
          </w:tcPr>
          <w:p w14:paraId="172226F6" w14:textId="77777777" w:rsidR="00A3021A" w:rsidRPr="00701439" w:rsidRDefault="00A3021A">
            <w:pPr>
              <w:ind w:left="-108"/>
              <w:jc w:val="right"/>
              <w:rPr>
                <w:rFonts w:asciiTheme="minorHAnsi" w:hAnsiTheme="minorHAnsi" w:cs="Arial"/>
                <w:sz w:val="20"/>
                <w:szCs w:val="20"/>
              </w:rPr>
            </w:pPr>
            <w:r w:rsidRPr="00701439">
              <w:rPr>
                <w:rFonts w:asciiTheme="minorHAnsi" w:hAnsiTheme="minorHAnsi" w:cs="Arial"/>
                <w:sz w:val="20"/>
                <w:szCs w:val="20"/>
              </w:rPr>
              <w:t xml:space="preserve">Weighted average  </w:t>
            </w:r>
          </w:p>
          <w:p w14:paraId="143D5FBF" w14:textId="77777777" w:rsidR="00A3021A" w:rsidRPr="00701439" w:rsidRDefault="00A3021A">
            <w:pPr>
              <w:ind w:left="-108"/>
              <w:jc w:val="right"/>
              <w:rPr>
                <w:rFonts w:asciiTheme="minorHAnsi" w:hAnsiTheme="minorHAnsi" w:cs="Arial"/>
                <w:sz w:val="20"/>
                <w:szCs w:val="20"/>
              </w:rPr>
            </w:pPr>
            <w:r w:rsidRPr="00701439">
              <w:rPr>
                <w:rFonts w:asciiTheme="minorHAnsi" w:hAnsiTheme="minorHAnsi" w:cs="Arial"/>
                <w:sz w:val="20"/>
                <w:szCs w:val="20"/>
              </w:rPr>
              <w:t xml:space="preserve">number  </w:t>
            </w:r>
          </w:p>
          <w:p w14:paraId="118ED498" w14:textId="77777777" w:rsidR="00A3021A" w:rsidRPr="00701439" w:rsidRDefault="00A3021A">
            <w:pPr>
              <w:ind w:left="-108"/>
              <w:jc w:val="right"/>
              <w:rPr>
                <w:rFonts w:asciiTheme="minorHAnsi" w:hAnsiTheme="minorHAnsi" w:cs="Arial"/>
                <w:sz w:val="20"/>
                <w:szCs w:val="20"/>
              </w:rPr>
            </w:pPr>
            <w:r w:rsidRPr="00701439">
              <w:rPr>
                <w:rFonts w:asciiTheme="minorHAnsi" w:hAnsiTheme="minorHAnsi" w:cs="Arial"/>
                <w:sz w:val="20"/>
                <w:szCs w:val="20"/>
              </w:rPr>
              <w:t>of shares </w:t>
            </w:r>
          </w:p>
        </w:tc>
        <w:tc>
          <w:tcPr>
            <w:tcW w:w="993" w:type="dxa"/>
          </w:tcPr>
          <w:p w14:paraId="2F7E7328" w14:textId="77777777" w:rsidR="00A3021A" w:rsidRPr="00701439" w:rsidRDefault="00A3021A">
            <w:pPr>
              <w:jc w:val="right"/>
              <w:rPr>
                <w:rFonts w:asciiTheme="minorHAnsi" w:hAnsiTheme="minorHAnsi" w:cs="Arial"/>
                <w:sz w:val="20"/>
                <w:szCs w:val="20"/>
              </w:rPr>
            </w:pPr>
          </w:p>
          <w:p w14:paraId="21149841"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 xml:space="preserve">Per  </w:t>
            </w:r>
          </w:p>
          <w:p w14:paraId="2E21BD79"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 xml:space="preserve">share  </w:t>
            </w:r>
          </w:p>
          <w:p w14:paraId="5F6E85D9"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amount </w:t>
            </w:r>
          </w:p>
        </w:tc>
        <w:tc>
          <w:tcPr>
            <w:tcW w:w="992" w:type="dxa"/>
          </w:tcPr>
          <w:p w14:paraId="2E11CD32" w14:textId="77777777" w:rsidR="00A3021A" w:rsidRPr="00701439" w:rsidRDefault="00A3021A">
            <w:pPr>
              <w:jc w:val="right"/>
              <w:rPr>
                <w:rFonts w:asciiTheme="minorHAnsi" w:hAnsiTheme="minorHAnsi" w:cs="Arial"/>
                <w:sz w:val="20"/>
                <w:szCs w:val="20"/>
              </w:rPr>
            </w:pPr>
          </w:p>
          <w:p w14:paraId="7BF9B833" w14:textId="77777777" w:rsidR="00A3021A" w:rsidRPr="00701439" w:rsidRDefault="00A3021A">
            <w:pPr>
              <w:jc w:val="right"/>
              <w:rPr>
                <w:rFonts w:asciiTheme="minorHAnsi" w:hAnsiTheme="minorHAnsi" w:cs="Arial"/>
                <w:sz w:val="20"/>
                <w:szCs w:val="20"/>
              </w:rPr>
            </w:pPr>
          </w:p>
          <w:p w14:paraId="361C6FD8" w14:textId="77777777" w:rsidR="00A3021A" w:rsidRPr="00701439" w:rsidRDefault="00A3021A">
            <w:pPr>
              <w:jc w:val="right"/>
              <w:rPr>
                <w:rFonts w:asciiTheme="minorHAnsi" w:hAnsiTheme="minorHAnsi" w:cs="Arial"/>
                <w:sz w:val="20"/>
                <w:szCs w:val="20"/>
              </w:rPr>
            </w:pPr>
          </w:p>
          <w:p w14:paraId="7BFB79EC"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Loss</w:t>
            </w:r>
          </w:p>
        </w:tc>
        <w:tc>
          <w:tcPr>
            <w:tcW w:w="1134" w:type="dxa"/>
          </w:tcPr>
          <w:p w14:paraId="7981455F"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 xml:space="preserve">Weighted average  </w:t>
            </w:r>
          </w:p>
          <w:p w14:paraId="6F4F4A6A"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 xml:space="preserve">number  </w:t>
            </w:r>
          </w:p>
          <w:p w14:paraId="4FE6BCEB"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of shares </w:t>
            </w:r>
          </w:p>
        </w:tc>
        <w:tc>
          <w:tcPr>
            <w:tcW w:w="1134" w:type="dxa"/>
          </w:tcPr>
          <w:p w14:paraId="61EA5950" w14:textId="77777777" w:rsidR="00A3021A" w:rsidRPr="00701439" w:rsidRDefault="00A3021A">
            <w:pPr>
              <w:jc w:val="right"/>
              <w:rPr>
                <w:rFonts w:asciiTheme="minorHAnsi" w:hAnsiTheme="minorHAnsi" w:cs="Arial"/>
                <w:sz w:val="20"/>
                <w:szCs w:val="20"/>
              </w:rPr>
            </w:pPr>
          </w:p>
          <w:p w14:paraId="76713903"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 xml:space="preserve">Per  </w:t>
            </w:r>
          </w:p>
          <w:p w14:paraId="70A517F5"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 xml:space="preserve">share  </w:t>
            </w:r>
          </w:p>
          <w:p w14:paraId="0894F331"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amount </w:t>
            </w:r>
          </w:p>
        </w:tc>
      </w:tr>
      <w:tr w:rsidR="00A3021A" w:rsidRPr="00701439" w14:paraId="39A6E989" w14:textId="77777777">
        <w:tc>
          <w:tcPr>
            <w:tcW w:w="3544" w:type="dxa"/>
            <w:tcBorders>
              <w:bottom w:val="single" w:sz="4" w:space="0" w:color="auto"/>
            </w:tcBorders>
          </w:tcPr>
          <w:p w14:paraId="69FF9A9F"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Group</w:t>
            </w:r>
          </w:p>
        </w:tc>
        <w:tc>
          <w:tcPr>
            <w:tcW w:w="1134" w:type="dxa"/>
            <w:tcBorders>
              <w:top w:val="nil"/>
              <w:left w:val="nil"/>
              <w:bottom w:val="single" w:sz="4" w:space="0" w:color="auto"/>
              <w:right w:val="nil"/>
            </w:tcBorders>
          </w:tcPr>
          <w:p w14:paraId="0DDBB496" w14:textId="77777777" w:rsidR="00A3021A" w:rsidRPr="00701439" w:rsidRDefault="00A3021A">
            <w:pPr>
              <w:jc w:val="right"/>
              <w:rPr>
                <w:rFonts w:asciiTheme="minorHAnsi" w:hAnsiTheme="minorHAnsi" w:cs="Arial"/>
                <w:sz w:val="20"/>
                <w:szCs w:val="20"/>
                <w:lang w:val="fr-FR"/>
              </w:rPr>
            </w:pPr>
            <w:r w:rsidRPr="00701439">
              <w:rPr>
                <w:rFonts w:asciiTheme="minorHAnsi" w:hAnsiTheme="minorHAnsi" w:cs="Arial"/>
                <w:sz w:val="20"/>
                <w:szCs w:val="20"/>
                <w:lang w:val="fr-FR"/>
              </w:rPr>
              <w:t>£m </w:t>
            </w:r>
          </w:p>
        </w:tc>
        <w:tc>
          <w:tcPr>
            <w:tcW w:w="992" w:type="dxa"/>
            <w:tcBorders>
              <w:top w:val="nil"/>
              <w:left w:val="nil"/>
              <w:bottom w:val="single" w:sz="4" w:space="0" w:color="auto"/>
              <w:right w:val="nil"/>
            </w:tcBorders>
          </w:tcPr>
          <w:p w14:paraId="40AB8468" w14:textId="77777777" w:rsidR="00A3021A" w:rsidRPr="00701439" w:rsidRDefault="00A3021A">
            <w:pPr>
              <w:ind w:left="-108"/>
              <w:jc w:val="right"/>
              <w:rPr>
                <w:rFonts w:asciiTheme="minorHAnsi" w:hAnsiTheme="minorHAnsi" w:cs="Arial"/>
                <w:sz w:val="20"/>
                <w:szCs w:val="20"/>
                <w:lang w:val="fr-FR"/>
              </w:rPr>
            </w:pPr>
            <w:proofErr w:type="gramStart"/>
            <w:r w:rsidRPr="00701439">
              <w:rPr>
                <w:rFonts w:asciiTheme="minorHAnsi" w:hAnsiTheme="minorHAnsi" w:cs="Arial"/>
                <w:sz w:val="20"/>
                <w:szCs w:val="20"/>
                <w:lang w:val="fr-FR"/>
              </w:rPr>
              <w:t>m</w:t>
            </w:r>
            <w:proofErr w:type="gramEnd"/>
            <w:r w:rsidRPr="00701439">
              <w:rPr>
                <w:rFonts w:asciiTheme="minorHAnsi" w:hAnsiTheme="minorHAnsi" w:cs="Arial"/>
                <w:sz w:val="20"/>
                <w:szCs w:val="20"/>
                <w:lang w:val="fr-FR"/>
              </w:rPr>
              <w:t> </w:t>
            </w:r>
          </w:p>
        </w:tc>
        <w:tc>
          <w:tcPr>
            <w:tcW w:w="993" w:type="dxa"/>
            <w:tcBorders>
              <w:top w:val="nil"/>
              <w:left w:val="nil"/>
              <w:bottom w:val="single" w:sz="4" w:space="0" w:color="auto"/>
              <w:right w:val="nil"/>
            </w:tcBorders>
          </w:tcPr>
          <w:p w14:paraId="0F03602D" w14:textId="77777777" w:rsidR="00A3021A" w:rsidRPr="00701439" w:rsidRDefault="00A3021A">
            <w:pPr>
              <w:jc w:val="right"/>
              <w:rPr>
                <w:rFonts w:asciiTheme="minorHAnsi" w:hAnsiTheme="minorHAnsi" w:cs="Arial"/>
                <w:sz w:val="20"/>
                <w:szCs w:val="20"/>
                <w:lang w:val="fr-FR"/>
              </w:rPr>
            </w:pPr>
            <w:proofErr w:type="gramStart"/>
            <w:r w:rsidRPr="00701439">
              <w:rPr>
                <w:rFonts w:asciiTheme="minorHAnsi" w:hAnsiTheme="minorHAnsi" w:cs="Arial"/>
                <w:sz w:val="20"/>
                <w:szCs w:val="20"/>
                <w:lang w:val="fr-FR"/>
              </w:rPr>
              <w:t>pence</w:t>
            </w:r>
            <w:proofErr w:type="gramEnd"/>
            <w:r w:rsidRPr="00701439">
              <w:rPr>
                <w:rFonts w:asciiTheme="minorHAnsi" w:hAnsiTheme="minorHAnsi" w:cs="Arial"/>
                <w:sz w:val="20"/>
                <w:szCs w:val="20"/>
                <w:lang w:val="fr-FR"/>
              </w:rPr>
              <w:t> </w:t>
            </w:r>
          </w:p>
        </w:tc>
        <w:tc>
          <w:tcPr>
            <w:tcW w:w="992" w:type="dxa"/>
            <w:tcBorders>
              <w:top w:val="nil"/>
              <w:left w:val="nil"/>
              <w:bottom w:val="single" w:sz="4" w:space="0" w:color="auto"/>
              <w:right w:val="nil"/>
            </w:tcBorders>
          </w:tcPr>
          <w:p w14:paraId="0F8D6263" w14:textId="77777777" w:rsidR="00A3021A" w:rsidRPr="00701439" w:rsidRDefault="00A3021A">
            <w:pPr>
              <w:jc w:val="right"/>
              <w:rPr>
                <w:rFonts w:asciiTheme="minorHAnsi" w:hAnsiTheme="minorHAnsi" w:cs="Arial"/>
                <w:sz w:val="20"/>
                <w:szCs w:val="20"/>
                <w:lang w:val="fr-FR"/>
              </w:rPr>
            </w:pPr>
            <w:r w:rsidRPr="00701439">
              <w:rPr>
                <w:rFonts w:asciiTheme="minorHAnsi" w:hAnsiTheme="minorHAnsi" w:cs="Arial"/>
                <w:sz w:val="20"/>
                <w:szCs w:val="20"/>
                <w:lang w:val="fr-FR"/>
              </w:rPr>
              <w:t>£m </w:t>
            </w:r>
          </w:p>
        </w:tc>
        <w:tc>
          <w:tcPr>
            <w:tcW w:w="1134" w:type="dxa"/>
            <w:tcBorders>
              <w:top w:val="nil"/>
              <w:left w:val="nil"/>
              <w:bottom w:val="single" w:sz="4" w:space="0" w:color="auto"/>
              <w:right w:val="nil"/>
            </w:tcBorders>
          </w:tcPr>
          <w:p w14:paraId="3E0420BE" w14:textId="77777777" w:rsidR="00A3021A" w:rsidRPr="00701439" w:rsidRDefault="00A3021A">
            <w:pPr>
              <w:jc w:val="right"/>
              <w:rPr>
                <w:rFonts w:asciiTheme="minorHAnsi" w:hAnsiTheme="minorHAnsi" w:cs="Arial"/>
                <w:sz w:val="20"/>
                <w:szCs w:val="20"/>
                <w:lang w:val="fr-FR"/>
              </w:rPr>
            </w:pPr>
            <w:proofErr w:type="gramStart"/>
            <w:r w:rsidRPr="00701439">
              <w:rPr>
                <w:rFonts w:asciiTheme="minorHAnsi" w:hAnsiTheme="minorHAnsi" w:cs="Arial"/>
                <w:sz w:val="20"/>
                <w:szCs w:val="20"/>
                <w:lang w:val="fr-FR"/>
              </w:rPr>
              <w:t>m</w:t>
            </w:r>
            <w:proofErr w:type="gramEnd"/>
            <w:r w:rsidRPr="00701439">
              <w:rPr>
                <w:rFonts w:asciiTheme="minorHAnsi" w:hAnsiTheme="minorHAnsi" w:cs="Arial"/>
                <w:sz w:val="20"/>
                <w:szCs w:val="20"/>
                <w:lang w:val="fr-FR"/>
              </w:rPr>
              <w:t> </w:t>
            </w:r>
          </w:p>
        </w:tc>
        <w:tc>
          <w:tcPr>
            <w:tcW w:w="1134" w:type="dxa"/>
            <w:tcBorders>
              <w:top w:val="nil"/>
              <w:left w:val="nil"/>
              <w:bottom w:val="single" w:sz="4" w:space="0" w:color="auto"/>
              <w:right w:val="nil"/>
            </w:tcBorders>
          </w:tcPr>
          <w:p w14:paraId="3F68FC61" w14:textId="77777777" w:rsidR="00A3021A" w:rsidRPr="00701439" w:rsidRDefault="00A3021A">
            <w:pPr>
              <w:jc w:val="right"/>
              <w:rPr>
                <w:rFonts w:asciiTheme="minorHAnsi" w:hAnsiTheme="minorHAnsi" w:cs="Arial"/>
                <w:sz w:val="20"/>
                <w:szCs w:val="20"/>
                <w:lang w:val="fr-FR"/>
              </w:rPr>
            </w:pPr>
            <w:proofErr w:type="gramStart"/>
            <w:r w:rsidRPr="00701439">
              <w:rPr>
                <w:rFonts w:asciiTheme="minorHAnsi" w:hAnsiTheme="minorHAnsi" w:cs="Arial"/>
                <w:sz w:val="20"/>
                <w:szCs w:val="20"/>
                <w:lang w:val="fr-FR"/>
              </w:rPr>
              <w:t>pence</w:t>
            </w:r>
            <w:proofErr w:type="gramEnd"/>
            <w:r w:rsidRPr="00701439">
              <w:rPr>
                <w:rFonts w:asciiTheme="minorHAnsi" w:hAnsiTheme="minorHAnsi" w:cs="Arial"/>
                <w:sz w:val="20"/>
                <w:szCs w:val="20"/>
                <w:lang w:val="fr-FR"/>
              </w:rPr>
              <w:t> </w:t>
            </w:r>
          </w:p>
        </w:tc>
      </w:tr>
      <w:tr w:rsidR="00A3021A" w:rsidRPr="00701439" w14:paraId="08DC72D7" w14:textId="77777777">
        <w:tc>
          <w:tcPr>
            <w:tcW w:w="3544" w:type="dxa"/>
            <w:tcBorders>
              <w:top w:val="single" w:sz="4" w:space="0" w:color="auto"/>
            </w:tcBorders>
            <w:vAlign w:val="bottom"/>
          </w:tcPr>
          <w:p w14:paraId="5359ED82" w14:textId="77777777" w:rsidR="00A3021A" w:rsidRPr="00701439" w:rsidRDefault="00A3021A">
            <w:pPr>
              <w:rPr>
                <w:rFonts w:asciiTheme="minorHAnsi" w:hAnsiTheme="minorHAnsi" w:cs="Arial"/>
                <w:b/>
                <w:sz w:val="20"/>
                <w:szCs w:val="20"/>
              </w:rPr>
            </w:pPr>
            <w:r w:rsidRPr="00701439">
              <w:rPr>
                <w:rFonts w:asciiTheme="minorHAnsi" w:hAnsiTheme="minorHAnsi" w:cs="Arial"/>
                <w:b/>
                <w:sz w:val="20"/>
                <w:szCs w:val="20"/>
              </w:rPr>
              <w:t xml:space="preserve">Basic earnings/(loss) per share </w:t>
            </w:r>
          </w:p>
        </w:tc>
        <w:tc>
          <w:tcPr>
            <w:tcW w:w="1134" w:type="dxa"/>
            <w:tcBorders>
              <w:left w:val="nil"/>
              <w:bottom w:val="nil"/>
              <w:right w:val="nil"/>
            </w:tcBorders>
            <w:vAlign w:val="bottom"/>
          </w:tcPr>
          <w:p w14:paraId="3BF96BAB"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77.4</w:t>
            </w:r>
          </w:p>
        </w:tc>
        <w:tc>
          <w:tcPr>
            <w:tcW w:w="992" w:type="dxa"/>
            <w:tcBorders>
              <w:left w:val="nil"/>
              <w:bottom w:val="nil"/>
              <w:right w:val="nil"/>
            </w:tcBorders>
            <w:vAlign w:val="bottom"/>
          </w:tcPr>
          <w:p w14:paraId="6AA457FC" w14:textId="77777777" w:rsidR="00A3021A" w:rsidRPr="00701439" w:rsidRDefault="00A3021A">
            <w:pPr>
              <w:ind w:left="-108"/>
              <w:jc w:val="right"/>
              <w:rPr>
                <w:rFonts w:asciiTheme="minorHAnsi" w:hAnsiTheme="minorHAnsi" w:cstheme="minorHAnsi"/>
                <w:sz w:val="20"/>
                <w:szCs w:val="20"/>
              </w:rPr>
            </w:pPr>
            <w:r w:rsidRPr="00701439">
              <w:rPr>
                <w:rFonts w:asciiTheme="minorHAnsi" w:hAnsiTheme="minorHAnsi" w:cstheme="minorHAnsi"/>
                <w:sz w:val="20"/>
                <w:szCs w:val="20"/>
              </w:rPr>
              <w:t>250.9</w:t>
            </w:r>
          </w:p>
        </w:tc>
        <w:tc>
          <w:tcPr>
            <w:tcW w:w="993" w:type="dxa"/>
            <w:tcBorders>
              <w:left w:val="nil"/>
              <w:bottom w:val="nil"/>
              <w:right w:val="nil"/>
            </w:tcBorders>
            <w:vAlign w:val="bottom"/>
          </w:tcPr>
          <w:p w14:paraId="3DD048B9"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30.8</w:t>
            </w:r>
          </w:p>
        </w:tc>
        <w:tc>
          <w:tcPr>
            <w:tcW w:w="992" w:type="dxa"/>
            <w:tcBorders>
              <w:left w:val="nil"/>
              <w:bottom w:val="nil"/>
              <w:right w:val="nil"/>
            </w:tcBorders>
            <w:vAlign w:val="bottom"/>
          </w:tcPr>
          <w:p w14:paraId="7A82A371"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(32.1)</w:t>
            </w:r>
          </w:p>
        </w:tc>
        <w:tc>
          <w:tcPr>
            <w:tcW w:w="1134" w:type="dxa"/>
            <w:tcBorders>
              <w:left w:val="nil"/>
              <w:bottom w:val="nil"/>
              <w:right w:val="nil"/>
            </w:tcBorders>
            <w:vAlign w:val="bottom"/>
          </w:tcPr>
          <w:p w14:paraId="00C515C6" w14:textId="77777777" w:rsidR="00A3021A" w:rsidRPr="00701439" w:rsidRDefault="00A3021A">
            <w:pPr>
              <w:ind w:left="-108"/>
              <w:jc w:val="right"/>
              <w:rPr>
                <w:rFonts w:asciiTheme="minorHAnsi" w:hAnsiTheme="minorHAnsi" w:cstheme="minorHAnsi"/>
                <w:sz w:val="20"/>
                <w:szCs w:val="20"/>
              </w:rPr>
            </w:pPr>
            <w:r w:rsidRPr="00701439">
              <w:rPr>
                <w:rFonts w:asciiTheme="minorHAnsi" w:hAnsiTheme="minorHAnsi" w:cstheme="minorHAnsi"/>
                <w:sz w:val="20"/>
                <w:szCs w:val="20"/>
              </w:rPr>
              <w:t>250.7</w:t>
            </w:r>
          </w:p>
        </w:tc>
        <w:tc>
          <w:tcPr>
            <w:tcW w:w="1134" w:type="dxa"/>
            <w:tcBorders>
              <w:left w:val="nil"/>
              <w:bottom w:val="nil"/>
              <w:right w:val="nil"/>
            </w:tcBorders>
            <w:vAlign w:val="bottom"/>
          </w:tcPr>
          <w:p w14:paraId="23E0F9D0"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(12.8)</w:t>
            </w:r>
          </w:p>
        </w:tc>
      </w:tr>
      <w:tr w:rsidR="00A3021A" w:rsidRPr="00701439" w14:paraId="37599901" w14:textId="77777777">
        <w:tc>
          <w:tcPr>
            <w:tcW w:w="3544" w:type="dxa"/>
            <w:tcBorders>
              <w:bottom w:val="single" w:sz="4" w:space="0" w:color="auto"/>
            </w:tcBorders>
            <w:vAlign w:val="bottom"/>
          </w:tcPr>
          <w:p w14:paraId="0C2E4BA8"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Dilutive effect of share options and awards</w:t>
            </w:r>
          </w:p>
        </w:tc>
        <w:tc>
          <w:tcPr>
            <w:tcW w:w="1134" w:type="dxa"/>
            <w:tcBorders>
              <w:top w:val="nil"/>
              <w:left w:val="nil"/>
              <w:bottom w:val="single" w:sz="4" w:space="0" w:color="auto"/>
              <w:right w:val="nil"/>
            </w:tcBorders>
            <w:vAlign w:val="bottom"/>
          </w:tcPr>
          <w:p w14:paraId="671927EF"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w:t>
            </w:r>
          </w:p>
        </w:tc>
        <w:tc>
          <w:tcPr>
            <w:tcW w:w="992" w:type="dxa"/>
            <w:tcBorders>
              <w:top w:val="nil"/>
              <w:left w:val="nil"/>
              <w:bottom w:val="single" w:sz="4" w:space="0" w:color="auto"/>
              <w:right w:val="nil"/>
            </w:tcBorders>
            <w:vAlign w:val="bottom"/>
          </w:tcPr>
          <w:p w14:paraId="4B1DF159" w14:textId="77777777" w:rsidR="00A3021A" w:rsidRPr="00701439" w:rsidRDefault="00A3021A">
            <w:pPr>
              <w:ind w:left="-108"/>
              <w:jc w:val="right"/>
              <w:rPr>
                <w:rFonts w:asciiTheme="minorHAnsi" w:hAnsiTheme="minorHAnsi" w:cstheme="minorHAnsi"/>
                <w:color w:val="000000" w:themeColor="text1"/>
                <w:sz w:val="20"/>
                <w:szCs w:val="20"/>
              </w:rPr>
            </w:pPr>
            <w:r w:rsidRPr="00701439">
              <w:rPr>
                <w:rFonts w:asciiTheme="minorHAnsi" w:hAnsiTheme="minorHAnsi" w:cstheme="minorHAnsi"/>
                <w:color w:val="000000" w:themeColor="text1"/>
                <w:sz w:val="20"/>
                <w:szCs w:val="20"/>
              </w:rPr>
              <w:t>2.8</w:t>
            </w:r>
          </w:p>
        </w:tc>
        <w:tc>
          <w:tcPr>
            <w:tcW w:w="993" w:type="dxa"/>
            <w:tcBorders>
              <w:top w:val="nil"/>
              <w:left w:val="nil"/>
              <w:bottom w:val="single" w:sz="4" w:space="0" w:color="auto"/>
              <w:right w:val="nil"/>
            </w:tcBorders>
            <w:vAlign w:val="bottom"/>
          </w:tcPr>
          <w:p w14:paraId="56C0CCAE" w14:textId="77777777" w:rsidR="00A3021A" w:rsidRPr="00701439" w:rsidRDefault="00A3021A">
            <w:pPr>
              <w:jc w:val="right"/>
              <w:rPr>
                <w:rFonts w:asciiTheme="minorHAnsi" w:hAnsiTheme="minorHAnsi" w:cstheme="minorHAnsi"/>
                <w:color w:val="000000" w:themeColor="text1"/>
                <w:sz w:val="20"/>
                <w:szCs w:val="20"/>
              </w:rPr>
            </w:pPr>
            <w:r w:rsidRPr="00701439">
              <w:rPr>
                <w:rFonts w:asciiTheme="minorHAnsi" w:hAnsiTheme="minorHAnsi" w:cstheme="minorHAnsi"/>
                <w:color w:val="000000" w:themeColor="text1"/>
                <w:sz w:val="20"/>
                <w:szCs w:val="20"/>
              </w:rPr>
              <w:t>(0.3)</w:t>
            </w:r>
          </w:p>
        </w:tc>
        <w:tc>
          <w:tcPr>
            <w:tcW w:w="992" w:type="dxa"/>
            <w:tcBorders>
              <w:top w:val="nil"/>
              <w:left w:val="nil"/>
              <w:bottom w:val="single" w:sz="4" w:space="0" w:color="auto"/>
              <w:right w:val="nil"/>
            </w:tcBorders>
            <w:vAlign w:val="bottom"/>
          </w:tcPr>
          <w:p w14:paraId="3D7917E3"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w:t>
            </w:r>
          </w:p>
        </w:tc>
        <w:tc>
          <w:tcPr>
            <w:tcW w:w="1134" w:type="dxa"/>
            <w:tcBorders>
              <w:top w:val="nil"/>
              <w:left w:val="nil"/>
              <w:bottom w:val="single" w:sz="4" w:space="0" w:color="auto"/>
              <w:right w:val="nil"/>
            </w:tcBorders>
            <w:vAlign w:val="bottom"/>
          </w:tcPr>
          <w:p w14:paraId="69962FC9" w14:textId="77777777" w:rsidR="00A3021A" w:rsidRPr="00701439" w:rsidRDefault="00A3021A">
            <w:pPr>
              <w:ind w:left="-108"/>
              <w:jc w:val="right"/>
              <w:rPr>
                <w:rFonts w:asciiTheme="minorHAnsi" w:hAnsiTheme="minorHAnsi" w:cstheme="minorHAnsi"/>
                <w:sz w:val="20"/>
                <w:szCs w:val="20"/>
              </w:rPr>
            </w:pPr>
            <w:r w:rsidRPr="00701439">
              <w:rPr>
                <w:rFonts w:asciiTheme="minorHAnsi" w:hAnsiTheme="minorHAnsi" w:cstheme="minorHAnsi"/>
                <w:color w:val="000000" w:themeColor="text1"/>
                <w:sz w:val="20"/>
                <w:szCs w:val="20"/>
              </w:rPr>
              <w:t>-</w:t>
            </w:r>
          </w:p>
        </w:tc>
        <w:tc>
          <w:tcPr>
            <w:tcW w:w="1134" w:type="dxa"/>
            <w:tcBorders>
              <w:top w:val="nil"/>
              <w:left w:val="nil"/>
              <w:bottom w:val="single" w:sz="4" w:space="0" w:color="auto"/>
              <w:right w:val="nil"/>
            </w:tcBorders>
            <w:vAlign w:val="bottom"/>
          </w:tcPr>
          <w:p w14:paraId="41B4276F"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color w:val="000000" w:themeColor="text1"/>
                <w:sz w:val="20"/>
                <w:szCs w:val="20"/>
              </w:rPr>
              <w:t>-</w:t>
            </w:r>
          </w:p>
        </w:tc>
      </w:tr>
      <w:tr w:rsidR="00A3021A" w:rsidRPr="00701439" w14:paraId="0C5EF455" w14:textId="77777777">
        <w:trPr>
          <w:trHeight w:val="223"/>
        </w:trPr>
        <w:tc>
          <w:tcPr>
            <w:tcW w:w="3544" w:type="dxa"/>
            <w:tcBorders>
              <w:top w:val="single" w:sz="4" w:space="0" w:color="auto"/>
              <w:bottom w:val="single" w:sz="12" w:space="0" w:color="auto"/>
            </w:tcBorders>
            <w:vAlign w:val="bottom"/>
          </w:tcPr>
          <w:p w14:paraId="034F8060" w14:textId="77777777" w:rsidR="00A3021A" w:rsidRPr="00701439" w:rsidRDefault="00A3021A">
            <w:pPr>
              <w:rPr>
                <w:rFonts w:asciiTheme="minorHAnsi" w:hAnsiTheme="minorHAnsi" w:cs="Arial"/>
                <w:b/>
                <w:sz w:val="20"/>
                <w:szCs w:val="20"/>
              </w:rPr>
            </w:pPr>
            <w:r w:rsidRPr="00701439">
              <w:rPr>
                <w:rFonts w:asciiTheme="minorHAnsi" w:hAnsiTheme="minorHAnsi" w:cs="Arial"/>
                <w:b/>
                <w:sz w:val="20"/>
                <w:szCs w:val="20"/>
              </w:rPr>
              <w:t xml:space="preserve">Diluted earnings/(loss) per share </w:t>
            </w:r>
          </w:p>
        </w:tc>
        <w:tc>
          <w:tcPr>
            <w:tcW w:w="1134" w:type="dxa"/>
            <w:tcBorders>
              <w:top w:val="single" w:sz="4" w:space="0" w:color="auto"/>
              <w:left w:val="nil"/>
              <w:bottom w:val="single" w:sz="12" w:space="0" w:color="auto"/>
              <w:right w:val="nil"/>
            </w:tcBorders>
          </w:tcPr>
          <w:p w14:paraId="1BFCA185"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77.4</w:t>
            </w:r>
          </w:p>
        </w:tc>
        <w:tc>
          <w:tcPr>
            <w:tcW w:w="992" w:type="dxa"/>
            <w:tcBorders>
              <w:top w:val="single" w:sz="4" w:space="0" w:color="auto"/>
              <w:left w:val="nil"/>
              <w:bottom w:val="single" w:sz="12" w:space="0" w:color="auto"/>
              <w:right w:val="nil"/>
            </w:tcBorders>
          </w:tcPr>
          <w:p w14:paraId="45CD191A" w14:textId="77777777" w:rsidR="00A3021A" w:rsidRPr="00701439" w:rsidRDefault="00A3021A">
            <w:pPr>
              <w:ind w:left="-108"/>
              <w:jc w:val="right"/>
              <w:rPr>
                <w:rFonts w:asciiTheme="minorHAnsi" w:hAnsiTheme="minorHAnsi" w:cstheme="minorHAnsi"/>
                <w:color w:val="000000" w:themeColor="text1"/>
                <w:sz w:val="20"/>
                <w:szCs w:val="20"/>
              </w:rPr>
            </w:pPr>
            <w:r w:rsidRPr="00701439">
              <w:rPr>
                <w:rFonts w:asciiTheme="minorHAnsi" w:hAnsiTheme="minorHAnsi" w:cstheme="minorHAnsi"/>
                <w:color w:val="000000" w:themeColor="text1"/>
                <w:sz w:val="20"/>
                <w:szCs w:val="20"/>
              </w:rPr>
              <w:t>253.7</w:t>
            </w:r>
          </w:p>
        </w:tc>
        <w:tc>
          <w:tcPr>
            <w:tcW w:w="993" w:type="dxa"/>
            <w:tcBorders>
              <w:top w:val="single" w:sz="4" w:space="0" w:color="auto"/>
              <w:left w:val="nil"/>
              <w:bottom w:val="single" w:sz="12" w:space="0" w:color="auto"/>
              <w:right w:val="nil"/>
            </w:tcBorders>
          </w:tcPr>
          <w:p w14:paraId="6848C43F" w14:textId="77777777" w:rsidR="00A3021A" w:rsidRPr="00701439" w:rsidRDefault="00A3021A">
            <w:pPr>
              <w:jc w:val="right"/>
              <w:rPr>
                <w:rFonts w:asciiTheme="minorHAnsi" w:hAnsiTheme="minorHAnsi" w:cstheme="minorHAnsi"/>
                <w:color w:val="000000" w:themeColor="text1"/>
                <w:sz w:val="20"/>
                <w:szCs w:val="20"/>
              </w:rPr>
            </w:pPr>
            <w:r w:rsidRPr="00701439">
              <w:rPr>
                <w:rFonts w:asciiTheme="minorHAnsi" w:hAnsiTheme="minorHAnsi" w:cstheme="minorHAnsi"/>
                <w:color w:val="000000" w:themeColor="text1"/>
                <w:sz w:val="20"/>
                <w:szCs w:val="20"/>
              </w:rPr>
              <w:t>30.5</w:t>
            </w:r>
          </w:p>
        </w:tc>
        <w:tc>
          <w:tcPr>
            <w:tcW w:w="992" w:type="dxa"/>
            <w:tcBorders>
              <w:top w:val="single" w:sz="4" w:space="0" w:color="auto"/>
              <w:left w:val="nil"/>
              <w:bottom w:val="single" w:sz="12" w:space="0" w:color="auto"/>
              <w:right w:val="nil"/>
            </w:tcBorders>
          </w:tcPr>
          <w:p w14:paraId="4A9DA1DE"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(32.1)</w:t>
            </w:r>
          </w:p>
        </w:tc>
        <w:tc>
          <w:tcPr>
            <w:tcW w:w="1134" w:type="dxa"/>
            <w:tcBorders>
              <w:top w:val="single" w:sz="4" w:space="0" w:color="auto"/>
              <w:left w:val="nil"/>
              <w:bottom w:val="single" w:sz="12" w:space="0" w:color="auto"/>
              <w:right w:val="nil"/>
            </w:tcBorders>
          </w:tcPr>
          <w:p w14:paraId="1C579A97" w14:textId="77777777" w:rsidR="00A3021A" w:rsidRPr="00701439" w:rsidRDefault="00A3021A">
            <w:pPr>
              <w:ind w:left="-108"/>
              <w:jc w:val="right"/>
              <w:rPr>
                <w:rFonts w:asciiTheme="minorHAnsi" w:hAnsiTheme="minorHAnsi" w:cstheme="minorHAnsi"/>
                <w:sz w:val="20"/>
                <w:szCs w:val="20"/>
              </w:rPr>
            </w:pPr>
            <w:r w:rsidRPr="00701439">
              <w:rPr>
                <w:rFonts w:asciiTheme="minorHAnsi" w:hAnsiTheme="minorHAnsi" w:cstheme="minorHAnsi"/>
                <w:color w:val="000000" w:themeColor="text1"/>
                <w:sz w:val="20"/>
                <w:szCs w:val="20"/>
              </w:rPr>
              <w:t>250.7</w:t>
            </w:r>
          </w:p>
        </w:tc>
        <w:tc>
          <w:tcPr>
            <w:tcW w:w="1134" w:type="dxa"/>
            <w:tcBorders>
              <w:top w:val="single" w:sz="4" w:space="0" w:color="auto"/>
              <w:left w:val="nil"/>
              <w:bottom w:val="single" w:sz="12" w:space="0" w:color="auto"/>
              <w:right w:val="nil"/>
            </w:tcBorders>
          </w:tcPr>
          <w:p w14:paraId="67D25DA2"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color w:val="000000" w:themeColor="text1"/>
                <w:sz w:val="20"/>
                <w:szCs w:val="20"/>
              </w:rPr>
              <w:t>(12.8)</w:t>
            </w:r>
          </w:p>
        </w:tc>
      </w:tr>
    </w:tbl>
    <w:p w14:paraId="31D02A9C" w14:textId="77777777" w:rsidR="00A3021A" w:rsidRPr="00701439" w:rsidRDefault="00A3021A" w:rsidP="00A3021A">
      <w:pPr>
        <w:jc w:val="both"/>
        <w:rPr>
          <w:rFonts w:asciiTheme="minorHAnsi" w:hAnsiTheme="minorHAnsi" w:cs="Arial"/>
          <w:sz w:val="20"/>
          <w:szCs w:val="20"/>
        </w:rPr>
      </w:pPr>
    </w:p>
    <w:p w14:paraId="19FF7253" w14:textId="77777777" w:rsidR="00A3021A" w:rsidRPr="00701439" w:rsidRDefault="00A3021A" w:rsidP="00A3021A">
      <w:pPr>
        <w:jc w:val="both"/>
        <w:rPr>
          <w:rFonts w:asciiTheme="minorHAnsi" w:hAnsiTheme="minorHAnsi" w:cs="Arial"/>
          <w:sz w:val="20"/>
          <w:szCs w:val="20"/>
        </w:rPr>
      </w:pPr>
      <w:r w:rsidRPr="00701439">
        <w:rPr>
          <w:rFonts w:asciiTheme="minorHAnsi" w:hAnsiTheme="minorHAnsi" w:cs="Arial"/>
          <w:sz w:val="20"/>
          <w:szCs w:val="20"/>
        </w:rPr>
        <w:t>The directors have elected to show an adjusted earnings per share prior to the amortisation of acquisition intangibles which arose on the acquisition of Moneybarn in August 2014 and prior to exceptional items (see note 3). This is presented to show the adjusted earnings per share generated by the continuing and Group operations. A reconciliation of continuing and Group basic/diluted earnings/(loss) per share to adjusted basic and diluted earnings per share is as follows:</w:t>
      </w:r>
    </w:p>
    <w:p w14:paraId="7FE6405A" w14:textId="77777777" w:rsidR="00C1190F" w:rsidRPr="00701439" w:rsidRDefault="00C1190F" w:rsidP="00A3021A">
      <w:pPr>
        <w:jc w:val="both"/>
        <w:rPr>
          <w:rFonts w:asciiTheme="minorHAnsi" w:hAnsiTheme="minorHAnsi" w:cs="Arial"/>
          <w:sz w:val="20"/>
          <w:szCs w:val="20"/>
        </w:rPr>
      </w:pPr>
    </w:p>
    <w:p w14:paraId="004E1FDB" w14:textId="77777777" w:rsidR="00C1190F" w:rsidRPr="00701439" w:rsidRDefault="00C1190F" w:rsidP="00A3021A">
      <w:pPr>
        <w:jc w:val="both"/>
        <w:rPr>
          <w:rFonts w:asciiTheme="minorHAnsi" w:hAnsiTheme="minorHAnsi" w:cs="Arial"/>
          <w:sz w:val="20"/>
          <w:szCs w:val="20"/>
        </w:rPr>
      </w:pPr>
    </w:p>
    <w:p w14:paraId="118B3665" w14:textId="77777777" w:rsidR="00C1190F" w:rsidRPr="00701439" w:rsidRDefault="00C1190F" w:rsidP="00A3021A">
      <w:pPr>
        <w:jc w:val="both"/>
        <w:rPr>
          <w:rFonts w:asciiTheme="minorHAnsi" w:hAnsiTheme="minorHAnsi" w:cs="Arial"/>
          <w:sz w:val="20"/>
          <w:szCs w:val="20"/>
        </w:rPr>
      </w:pPr>
    </w:p>
    <w:p w14:paraId="53DE678C" w14:textId="77777777" w:rsidR="00C1190F" w:rsidRPr="00701439" w:rsidRDefault="00C1190F" w:rsidP="00A3021A">
      <w:pPr>
        <w:jc w:val="both"/>
        <w:rPr>
          <w:rFonts w:asciiTheme="minorHAnsi" w:hAnsiTheme="minorHAnsi" w:cs="Arial"/>
          <w:sz w:val="20"/>
          <w:szCs w:val="20"/>
        </w:rPr>
      </w:pPr>
    </w:p>
    <w:p w14:paraId="594361B2" w14:textId="77777777" w:rsidR="00C1190F" w:rsidRPr="00701439" w:rsidRDefault="00C1190F" w:rsidP="00A3021A">
      <w:pPr>
        <w:jc w:val="both"/>
        <w:rPr>
          <w:rFonts w:asciiTheme="minorHAnsi" w:hAnsiTheme="minorHAnsi" w:cs="Arial"/>
          <w:sz w:val="20"/>
          <w:szCs w:val="20"/>
        </w:rPr>
      </w:pPr>
    </w:p>
    <w:p w14:paraId="470ACFE8" w14:textId="77777777" w:rsidR="00C1190F" w:rsidRPr="00701439" w:rsidRDefault="00C1190F" w:rsidP="00A3021A">
      <w:pPr>
        <w:jc w:val="both"/>
        <w:rPr>
          <w:rFonts w:asciiTheme="minorHAnsi" w:hAnsiTheme="minorHAnsi" w:cs="Arial"/>
          <w:sz w:val="20"/>
          <w:szCs w:val="20"/>
        </w:rPr>
      </w:pPr>
    </w:p>
    <w:p w14:paraId="6A4F4CE5" w14:textId="77777777" w:rsidR="00A3021A" w:rsidRPr="00701439" w:rsidRDefault="00A3021A" w:rsidP="00A3021A">
      <w:pPr>
        <w:pStyle w:val="bodycop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Arial"/>
          <w:sz w:val="20"/>
        </w:rPr>
      </w:pPr>
    </w:p>
    <w:p w14:paraId="7AAF1B71" w14:textId="538C825B" w:rsidR="00DA4F37" w:rsidRPr="00701439" w:rsidRDefault="00DA4F37" w:rsidP="00DA4F37">
      <w:pPr>
        <w:pStyle w:val="sectionheaderwithintext"/>
        <w:spacing w:before="0"/>
        <w:jc w:val="both"/>
        <w:rPr>
          <w:rFonts w:asciiTheme="minorHAnsi" w:hAnsiTheme="minorHAnsi" w:cs="Arial"/>
          <w:color w:val="4747FF"/>
          <w:sz w:val="22"/>
          <w:szCs w:val="22"/>
        </w:rPr>
      </w:pPr>
      <w:r w:rsidRPr="00701439">
        <w:rPr>
          <w:rFonts w:asciiTheme="minorHAnsi" w:hAnsiTheme="minorHAnsi" w:cs="Arial"/>
          <w:b/>
          <w:color w:val="4747FF"/>
          <w:sz w:val="22"/>
          <w:szCs w:val="22"/>
        </w:rPr>
        <w:lastRenderedPageBreak/>
        <w:t>6</w:t>
      </w:r>
      <w:r w:rsidRPr="00701439">
        <w:rPr>
          <w:rStyle w:val="bodycopynumber"/>
          <w:rFonts w:asciiTheme="minorHAnsi" w:hAnsiTheme="minorHAnsi" w:cs="Arial"/>
          <w:b/>
          <w:bCs/>
          <w:color w:val="4747FF"/>
          <w:sz w:val="22"/>
          <w:szCs w:val="22"/>
        </w:rPr>
        <w:t>.</w:t>
      </w:r>
      <w:r w:rsidRPr="00701439">
        <w:rPr>
          <w:rStyle w:val="bodycopynumber"/>
          <w:rFonts w:asciiTheme="minorHAnsi" w:hAnsiTheme="minorHAnsi" w:cs="Arial"/>
          <w:b/>
          <w:bCs/>
          <w:color w:val="4747FF"/>
          <w:sz w:val="22"/>
          <w:szCs w:val="22"/>
        </w:rPr>
        <w:tab/>
        <w:t>Earnings/(loss) per share</w:t>
      </w:r>
      <w:r>
        <w:rPr>
          <w:rStyle w:val="bodycopynumber"/>
          <w:rFonts w:asciiTheme="minorHAnsi" w:hAnsiTheme="minorHAnsi" w:cs="Arial"/>
          <w:b/>
          <w:bCs/>
          <w:color w:val="4747FF"/>
          <w:sz w:val="22"/>
          <w:szCs w:val="22"/>
        </w:rPr>
        <w:t xml:space="preserve"> (continued)</w:t>
      </w:r>
    </w:p>
    <w:p w14:paraId="771B9BE8" w14:textId="77777777" w:rsidR="00DA4F37" w:rsidRPr="00701439" w:rsidRDefault="00DA4F37" w:rsidP="00A3021A">
      <w:pPr>
        <w:pStyle w:val="bodycop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Arial"/>
          <w:sz w:val="20"/>
        </w:rPr>
      </w:pPr>
    </w:p>
    <w:tbl>
      <w:tblPr>
        <w:tblW w:w="9923" w:type="dxa"/>
        <w:tblLayout w:type="fixed"/>
        <w:tblLook w:val="0000" w:firstRow="0" w:lastRow="0" w:firstColumn="0" w:lastColumn="0" w:noHBand="0" w:noVBand="0"/>
      </w:tblPr>
      <w:tblGrid>
        <w:gridCol w:w="3686"/>
        <w:gridCol w:w="992"/>
        <w:gridCol w:w="1134"/>
        <w:gridCol w:w="992"/>
        <w:gridCol w:w="993"/>
        <w:gridCol w:w="1134"/>
        <w:gridCol w:w="992"/>
      </w:tblGrid>
      <w:tr w:rsidR="00A3021A" w:rsidRPr="00701439" w14:paraId="66FFE802" w14:textId="77777777">
        <w:tc>
          <w:tcPr>
            <w:tcW w:w="3686" w:type="dxa"/>
          </w:tcPr>
          <w:p w14:paraId="7F45DC3B" w14:textId="77777777" w:rsidR="00A3021A" w:rsidRPr="00701439" w:rsidRDefault="00A3021A">
            <w:pPr>
              <w:jc w:val="right"/>
              <w:rPr>
                <w:rFonts w:asciiTheme="minorHAnsi" w:hAnsiTheme="minorHAnsi" w:cs="Arial"/>
                <w:sz w:val="20"/>
                <w:szCs w:val="20"/>
              </w:rPr>
            </w:pPr>
          </w:p>
        </w:tc>
        <w:tc>
          <w:tcPr>
            <w:tcW w:w="3118" w:type="dxa"/>
            <w:gridSpan w:val="3"/>
          </w:tcPr>
          <w:p w14:paraId="361ECAFB" w14:textId="77777777" w:rsidR="00A3021A" w:rsidRPr="00701439" w:rsidRDefault="00A3021A">
            <w:pPr>
              <w:jc w:val="center"/>
              <w:rPr>
                <w:rFonts w:asciiTheme="minorHAnsi" w:hAnsiTheme="minorHAnsi" w:cs="Arial"/>
                <w:sz w:val="20"/>
                <w:szCs w:val="20"/>
              </w:rPr>
            </w:pPr>
            <w:r w:rsidRPr="00701439">
              <w:rPr>
                <w:rFonts w:asciiTheme="minorHAnsi" w:hAnsiTheme="minorHAnsi" w:cs="Arial"/>
                <w:sz w:val="20"/>
                <w:szCs w:val="20"/>
              </w:rPr>
              <w:t>2022</w:t>
            </w:r>
          </w:p>
        </w:tc>
        <w:tc>
          <w:tcPr>
            <w:tcW w:w="3119" w:type="dxa"/>
            <w:gridSpan w:val="3"/>
          </w:tcPr>
          <w:p w14:paraId="565DC949" w14:textId="77777777" w:rsidR="00A3021A" w:rsidRPr="00701439" w:rsidRDefault="00A3021A">
            <w:pPr>
              <w:jc w:val="center"/>
              <w:rPr>
                <w:rFonts w:asciiTheme="minorHAnsi" w:hAnsiTheme="minorHAnsi" w:cs="Arial"/>
                <w:sz w:val="20"/>
                <w:szCs w:val="20"/>
              </w:rPr>
            </w:pPr>
            <w:r w:rsidRPr="00701439">
              <w:rPr>
                <w:rFonts w:asciiTheme="minorHAnsi" w:hAnsiTheme="minorHAnsi" w:cs="Arial"/>
                <w:sz w:val="20"/>
                <w:szCs w:val="20"/>
              </w:rPr>
              <w:t>2021</w:t>
            </w:r>
          </w:p>
        </w:tc>
      </w:tr>
      <w:tr w:rsidR="00A3021A" w:rsidRPr="00701439" w14:paraId="55EFA943" w14:textId="77777777">
        <w:tc>
          <w:tcPr>
            <w:tcW w:w="3686" w:type="dxa"/>
          </w:tcPr>
          <w:p w14:paraId="0274838D" w14:textId="77777777" w:rsidR="00A3021A" w:rsidRPr="00701439" w:rsidRDefault="00A3021A">
            <w:pPr>
              <w:jc w:val="right"/>
              <w:rPr>
                <w:rFonts w:asciiTheme="minorHAnsi" w:hAnsiTheme="minorHAnsi" w:cs="Arial"/>
                <w:sz w:val="20"/>
                <w:szCs w:val="20"/>
              </w:rPr>
            </w:pPr>
          </w:p>
        </w:tc>
        <w:tc>
          <w:tcPr>
            <w:tcW w:w="992" w:type="dxa"/>
          </w:tcPr>
          <w:p w14:paraId="4AE75E23" w14:textId="77777777" w:rsidR="00A3021A" w:rsidRPr="00701439" w:rsidRDefault="00A3021A">
            <w:pPr>
              <w:jc w:val="right"/>
              <w:rPr>
                <w:rFonts w:asciiTheme="minorHAnsi" w:hAnsiTheme="minorHAnsi" w:cs="Arial"/>
                <w:sz w:val="20"/>
                <w:szCs w:val="20"/>
              </w:rPr>
            </w:pPr>
          </w:p>
          <w:p w14:paraId="29133B1C" w14:textId="77777777" w:rsidR="00A3021A" w:rsidRPr="00701439" w:rsidRDefault="00A3021A">
            <w:pPr>
              <w:jc w:val="right"/>
              <w:rPr>
                <w:rFonts w:asciiTheme="minorHAnsi" w:hAnsiTheme="minorHAnsi" w:cs="Arial"/>
                <w:sz w:val="20"/>
                <w:szCs w:val="20"/>
              </w:rPr>
            </w:pPr>
          </w:p>
          <w:p w14:paraId="61CF7C35" w14:textId="77777777" w:rsidR="00A3021A" w:rsidRPr="00701439" w:rsidRDefault="00A3021A">
            <w:pPr>
              <w:jc w:val="right"/>
              <w:rPr>
                <w:rFonts w:asciiTheme="minorHAnsi" w:hAnsiTheme="minorHAnsi" w:cs="Arial"/>
                <w:sz w:val="20"/>
                <w:szCs w:val="20"/>
              </w:rPr>
            </w:pPr>
          </w:p>
          <w:p w14:paraId="6FDCF1B1"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Earnings </w:t>
            </w:r>
          </w:p>
        </w:tc>
        <w:tc>
          <w:tcPr>
            <w:tcW w:w="1134" w:type="dxa"/>
          </w:tcPr>
          <w:p w14:paraId="0A30F77C"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 xml:space="preserve">Weighted  </w:t>
            </w:r>
          </w:p>
          <w:p w14:paraId="1392FDFB"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 xml:space="preserve">average  </w:t>
            </w:r>
          </w:p>
          <w:p w14:paraId="092646ED"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 xml:space="preserve">number  </w:t>
            </w:r>
          </w:p>
          <w:p w14:paraId="1C7BA32E"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of shares </w:t>
            </w:r>
          </w:p>
        </w:tc>
        <w:tc>
          <w:tcPr>
            <w:tcW w:w="992" w:type="dxa"/>
          </w:tcPr>
          <w:p w14:paraId="4E2FCE36" w14:textId="77777777" w:rsidR="00A3021A" w:rsidRPr="00701439" w:rsidRDefault="00A3021A">
            <w:pPr>
              <w:jc w:val="right"/>
              <w:rPr>
                <w:rFonts w:asciiTheme="minorHAnsi" w:hAnsiTheme="minorHAnsi" w:cs="Arial"/>
                <w:sz w:val="20"/>
                <w:szCs w:val="20"/>
              </w:rPr>
            </w:pPr>
          </w:p>
          <w:p w14:paraId="1B06D7CB"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 xml:space="preserve">Per  </w:t>
            </w:r>
          </w:p>
          <w:p w14:paraId="709148FB"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 xml:space="preserve">share  </w:t>
            </w:r>
          </w:p>
          <w:p w14:paraId="10A9B4E8"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amount </w:t>
            </w:r>
          </w:p>
        </w:tc>
        <w:tc>
          <w:tcPr>
            <w:tcW w:w="993" w:type="dxa"/>
          </w:tcPr>
          <w:p w14:paraId="598DD529" w14:textId="77777777" w:rsidR="00A3021A" w:rsidRPr="00701439" w:rsidRDefault="00A3021A">
            <w:pPr>
              <w:jc w:val="right"/>
              <w:rPr>
                <w:rFonts w:asciiTheme="minorHAnsi" w:hAnsiTheme="minorHAnsi" w:cs="Arial"/>
                <w:sz w:val="20"/>
                <w:szCs w:val="20"/>
              </w:rPr>
            </w:pPr>
          </w:p>
          <w:p w14:paraId="31377E88" w14:textId="77777777" w:rsidR="00A3021A" w:rsidRPr="00701439" w:rsidRDefault="00A3021A">
            <w:pPr>
              <w:jc w:val="right"/>
              <w:rPr>
                <w:rFonts w:asciiTheme="minorHAnsi" w:hAnsiTheme="minorHAnsi" w:cs="Arial"/>
                <w:sz w:val="20"/>
                <w:szCs w:val="20"/>
              </w:rPr>
            </w:pPr>
          </w:p>
          <w:p w14:paraId="38FDEBD1" w14:textId="77777777" w:rsidR="00A3021A" w:rsidRPr="00701439" w:rsidRDefault="00A3021A">
            <w:pPr>
              <w:jc w:val="right"/>
              <w:rPr>
                <w:rFonts w:asciiTheme="minorHAnsi" w:hAnsiTheme="minorHAnsi" w:cs="Arial"/>
                <w:sz w:val="20"/>
                <w:szCs w:val="20"/>
              </w:rPr>
            </w:pPr>
          </w:p>
          <w:p w14:paraId="004C848D"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Earnings </w:t>
            </w:r>
          </w:p>
        </w:tc>
        <w:tc>
          <w:tcPr>
            <w:tcW w:w="1134" w:type="dxa"/>
          </w:tcPr>
          <w:p w14:paraId="1285BD9D"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 xml:space="preserve">Weighted  </w:t>
            </w:r>
          </w:p>
          <w:p w14:paraId="2FC7DFD8"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 xml:space="preserve">average  </w:t>
            </w:r>
          </w:p>
          <w:p w14:paraId="21E31EF8"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 xml:space="preserve">number  </w:t>
            </w:r>
          </w:p>
          <w:p w14:paraId="2127D04F"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of shares </w:t>
            </w:r>
          </w:p>
        </w:tc>
        <w:tc>
          <w:tcPr>
            <w:tcW w:w="992" w:type="dxa"/>
          </w:tcPr>
          <w:p w14:paraId="0F6F33BB" w14:textId="77777777" w:rsidR="00A3021A" w:rsidRPr="00701439" w:rsidRDefault="00A3021A">
            <w:pPr>
              <w:jc w:val="right"/>
              <w:rPr>
                <w:rFonts w:asciiTheme="minorHAnsi" w:hAnsiTheme="minorHAnsi" w:cs="Arial"/>
                <w:sz w:val="20"/>
                <w:szCs w:val="20"/>
              </w:rPr>
            </w:pPr>
          </w:p>
          <w:p w14:paraId="382035EC"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 xml:space="preserve">Per   </w:t>
            </w:r>
          </w:p>
          <w:p w14:paraId="46C15FEC"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share </w:t>
            </w:r>
          </w:p>
          <w:p w14:paraId="0389BBA0"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 xml:space="preserve">  amount  </w:t>
            </w:r>
          </w:p>
        </w:tc>
      </w:tr>
      <w:tr w:rsidR="00A3021A" w:rsidRPr="00701439" w14:paraId="52BBE51C" w14:textId="77777777">
        <w:tc>
          <w:tcPr>
            <w:tcW w:w="3686" w:type="dxa"/>
          </w:tcPr>
          <w:p w14:paraId="663D5BC2"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Continuing operations</w:t>
            </w:r>
          </w:p>
        </w:tc>
        <w:tc>
          <w:tcPr>
            <w:tcW w:w="992" w:type="dxa"/>
            <w:tcBorders>
              <w:top w:val="nil"/>
              <w:left w:val="nil"/>
              <w:bottom w:val="single" w:sz="4" w:space="0" w:color="auto"/>
              <w:right w:val="nil"/>
            </w:tcBorders>
          </w:tcPr>
          <w:p w14:paraId="5AF61B4F" w14:textId="77777777" w:rsidR="00A3021A" w:rsidRPr="00701439" w:rsidRDefault="00A3021A">
            <w:pPr>
              <w:jc w:val="right"/>
              <w:rPr>
                <w:rFonts w:asciiTheme="minorHAnsi" w:hAnsiTheme="minorHAnsi" w:cs="Arial"/>
                <w:sz w:val="20"/>
                <w:szCs w:val="20"/>
                <w:lang w:val="fr-FR"/>
              </w:rPr>
            </w:pPr>
            <w:r w:rsidRPr="00701439">
              <w:rPr>
                <w:rFonts w:asciiTheme="minorHAnsi" w:hAnsiTheme="minorHAnsi" w:cs="Arial"/>
                <w:sz w:val="20"/>
                <w:szCs w:val="20"/>
                <w:lang w:val="fr-FR"/>
              </w:rPr>
              <w:t>£m </w:t>
            </w:r>
          </w:p>
        </w:tc>
        <w:tc>
          <w:tcPr>
            <w:tcW w:w="1134" w:type="dxa"/>
            <w:tcBorders>
              <w:top w:val="nil"/>
              <w:left w:val="nil"/>
              <w:bottom w:val="single" w:sz="4" w:space="0" w:color="auto"/>
              <w:right w:val="nil"/>
            </w:tcBorders>
          </w:tcPr>
          <w:p w14:paraId="2E828CE0" w14:textId="77777777" w:rsidR="00A3021A" w:rsidRPr="00701439" w:rsidRDefault="00A3021A">
            <w:pPr>
              <w:jc w:val="right"/>
              <w:rPr>
                <w:rFonts w:asciiTheme="minorHAnsi" w:hAnsiTheme="minorHAnsi" w:cs="Arial"/>
                <w:sz w:val="20"/>
                <w:szCs w:val="20"/>
                <w:lang w:val="fr-FR"/>
              </w:rPr>
            </w:pPr>
            <w:proofErr w:type="gramStart"/>
            <w:r w:rsidRPr="00701439">
              <w:rPr>
                <w:rFonts w:asciiTheme="minorHAnsi" w:hAnsiTheme="minorHAnsi" w:cs="Arial"/>
                <w:sz w:val="20"/>
                <w:szCs w:val="20"/>
                <w:lang w:val="fr-FR"/>
              </w:rPr>
              <w:t>m</w:t>
            </w:r>
            <w:proofErr w:type="gramEnd"/>
            <w:r w:rsidRPr="00701439">
              <w:rPr>
                <w:rFonts w:asciiTheme="minorHAnsi" w:hAnsiTheme="minorHAnsi" w:cs="Arial"/>
                <w:sz w:val="20"/>
                <w:szCs w:val="20"/>
                <w:lang w:val="fr-FR"/>
              </w:rPr>
              <w:t> </w:t>
            </w:r>
          </w:p>
        </w:tc>
        <w:tc>
          <w:tcPr>
            <w:tcW w:w="992" w:type="dxa"/>
            <w:tcBorders>
              <w:top w:val="nil"/>
              <w:left w:val="nil"/>
              <w:bottom w:val="single" w:sz="4" w:space="0" w:color="auto"/>
              <w:right w:val="nil"/>
            </w:tcBorders>
          </w:tcPr>
          <w:p w14:paraId="61634BC8" w14:textId="77777777" w:rsidR="00A3021A" w:rsidRPr="00701439" w:rsidRDefault="00A3021A">
            <w:pPr>
              <w:jc w:val="right"/>
              <w:rPr>
                <w:rFonts w:asciiTheme="minorHAnsi" w:hAnsiTheme="minorHAnsi" w:cs="Arial"/>
                <w:sz w:val="20"/>
                <w:szCs w:val="20"/>
                <w:lang w:val="fr-FR"/>
              </w:rPr>
            </w:pPr>
            <w:proofErr w:type="gramStart"/>
            <w:r w:rsidRPr="00701439">
              <w:rPr>
                <w:rFonts w:asciiTheme="minorHAnsi" w:hAnsiTheme="minorHAnsi" w:cs="Arial"/>
                <w:sz w:val="20"/>
                <w:szCs w:val="20"/>
                <w:lang w:val="fr-FR"/>
              </w:rPr>
              <w:t>pence</w:t>
            </w:r>
            <w:proofErr w:type="gramEnd"/>
            <w:r w:rsidRPr="00701439">
              <w:rPr>
                <w:rFonts w:asciiTheme="minorHAnsi" w:hAnsiTheme="minorHAnsi" w:cs="Arial"/>
                <w:sz w:val="20"/>
                <w:szCs w:val="20"/>
                <w:lang w:val="fr-FR"/>
              </w:rPr>
              <w:t> </w:t>
            </w:r>
          </w:p>
        </w:tc>
        <w:tc>
          <w:tcPr>
            <w:tcW w:w="993" w:type="dxa"/>
            <w:tcBorders>
              <w:top w:val="nil"/>
              <w:left w:val="nil"/>
              <w:bottom w:val="single" w:sz="4" w:space="0" w:color="auto"/>
              <w:right w:val="nil"/>
            </w:tcBorders>
          </w:tcPr>
          <w:p w14:paraId="395F32C4" w14:textId="77777777" w:rsidR="00A3021A" w:rsidRPr="00701439" w:rsidRDefault="00A3021A">
            <w:pPr>
              <w:jc w:val="right"/>
              <w:rPr>
                <w:rFonts w:asciiTheme="minorHAnsi" w:hAnsiTheme="minorHAnsi" w:cs="Arial"/>
                <w:sz w:val="20"/>
                <w:szCs w:val="20"/>
                <w:lang w:val="fr-FR"/>
              </w:rPr>
            </w:pPr>
            <w:r w:rsidRPr="00701439">
              <w:rPr>
                <w:rFonts w:asciiTheme="minorHAnsi" w:hAnsiTheme="minorHAnsi" w:cs="Arial"/>
                <w:sz w:val="20"/>
                <w:szCs w:val="20"/>
                <w:lang w:val="fr-FR"/>
              </w:rPr>
              <w:t>£m </w:t>
            </w:r>
          </w:p>
        </w:tc>
        <w:tc>
          <w:tcPr>
            <w:tcW w:w="1134" w:type="dxa"/>
            <w:tcBorders>
              <w:top w:val="nil"/>
              <w:left w:val="nil"/>
              <w:bottom w:val="single" w:sz="4" w:space="0" w:color="auto"/>
              <w:right w:val="nil"/>
            </w:tcBorders>
          </w:tcPr>
          <w:p w14:paraId="142B4D64" w14:textId="77777777" w:rsidR="00A3021A" w:rsidRPr="00701439" w:rsidRDefault="00A3021A">
            <w:pPr>
              <w:jc w:val="right"/>
              <w:rPr>
                <w:rFonts w:asciiTheme="minorHAnsi" w:hAnsiTheme="minorHAnsi" w:cs="Arial"/>
                <w:sz w:val="20"/>
                <w:szCs w:val="20"/>
                <w:lang w:val="fr-FR"/>
              </w:rPr>
            </w:pPr>
            <w:proofErr w:type="gramStart"/>
            <w:r w:rsidRPr="00701439">
              <w:rPr>
                <w:rFonts w:asciiTheme="minorHAnsi" w:hAnsiTheme="minorHAnsi" w:cs="Arial"/>
                <w:sz w:val="20"/>
                <w:szCs w:val="20"/>
                <w:lang w:val="fr-FR"/>
              </w:rPr>
              <w:t>m</w:t>
            </w:r>
            <w:proofErr w:type="gramEnd"/>
            <w:r w:rsidRPr="00701439">
              <w:rPr>
                <w:rFonts w:asciiTheme="minorHAnsi" w:hAnsiTheme="minorHAnsi" w:cs="Arial"/>
                <w:sz w:val="20"/>
                <w:szCs w:val="20"/>
                <w:lang w:val="fr-FR"/>
              </w:rPr>
              <w:t> </w:t>
            </w:r>
          </w:p>
        </w:tc>
        <w:tc>
          <w:tcPr>
            <w:tcW w:w="992" w:type="dxa"/>
            <w:tcBorders>
              <w:top w:val="nil"/>
              <w:left w:val="nil"/>
              <w:bottom w:val="single" w:sz="4" w:space="0" w:color="auto"/>
              <w:right w:val="nil"/>
            </w:tcBorders>
          </w:tcPr>
          <w:p w14:paraId="5C44B40B" w14:textId="77777777" w:rsidR="00A3021A" w:rsidRPr="00701439" w:rsidRDefault="00A3021A">
            <w:pPr>
              <w:jc w:val="right"/>
              <w:rPr>
                <w:rFonts w:asciiTheme="minorHAnsi" w:hAnsiTheme="minorHAnsi" w:cs="Arial"/>
                <w:sz w:val="20"/>
                <w:szCs w:val="20"/>
                <w:lang w:val="fr-FR"/>
              </w:rPr>
            </w:pPr>
            <w:proofErr w:type="gramStart"/>
            <w:r w:rsidRPr="00701439">
              <w:rPr>
                <w:rFonts w:asciiTheme="minorHAnsi" w:hAnsiTheme="minorHAnsi" w:cs="Arial"/>
                <w:sz w:val="20"/>
                <w:szCs w:val="20"/>
                <w:lang w:val="fr-FR"/>
              </w:rPr>
              <w:t>pence</w:t>
            </w:r>
            <w:proofErr w:type="gramEnd"/>
            <w:r w:rsidRPr="00701439">
              <w:rPr>
                <w:rFonts w:asciiTheme="minorHAnsi" w:hAnsiTheme="minorHAnsi" w:cs="Arial"/>
                <w:sz w:val="20"/>
                <w:szCs w:val="20"/>
                <w:lang w:val="fr-FR"/>
              </w:rPr>
              <w:t> </w:t>
            </w:r>
          </w:p>
        </w:tc>
      </w:tr>
      <w:tr w:rsidR="00A3021A" w:rsidRPr="00701439" w14:paraId="42A697D0" w14:textId="77777777">
        <w:tc>
          <w:tcPr>
            <w:tcW w:w="3686" w:type="dxa"/>
            <w:vAlign w:val="bottom"/>
          </w:tcPr>
          <w:p w14:paraId="0D513838" w14:textId="77777777" w:rsidR="00A3021A" w:rsidRPr="00701439" w:rsidRDefault="00A3021A">
            <w:pPr>
              <w:rPr>
                <w:rFonts w:asciiTheme="minorHAnsi" w:hAnsiTheme="minorHAnsi" w:cs="Arial"/>
                <w:b/>
                <w:sz w:val="20"/>
                <w:szCs w:val="20"/>
              </w:rPr>
            </w:pPr>
            <w:r w:rsidRPr="00701439">
              <w:rPr>
                <w:rFonts w:asciiTheme="minorHAnsi" w:hAnsiTheme="minorHAnsi" w:cs="Arial"/>
                <w:b/>
                <w:sz w:val="20"/>
                <w:szCs w:val="20"/>
              </w:rPr>
              <w:t xml:space="preserve">Basic earnings per share </w:t>
            </w:r>
          </w:p>
        </w:tc>
        <w:tc>
          <w:tcPr>
            <w:tcW w:w="992" w:type="dxa"/>
            <w:tcBorders>
              <w:top w:val="single" w:sz="4" w:space="0" w:color="auto"/>
              <w:left w:val="nil"/>
              <w:right w:val="nil"/>
            </w:tcBorders>
            <w:vAlign w:val="bottom"/>
          </w:tcPr>
          <w:p w14:paraId="7FE67609"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82.3</w:t>
            </w:r>
          </w:p>
        </w:tc>
        <w:tc>
          <w:tcPr>
            <w:tcW w:w="1134" w:type="dxa"/>
            <w:tcBorders>
              <w:top w:val="single" w:sz="4" w:space="0" w:color="auto"/>
              <w:left w:val="nil"/>
              <w:right w:val="nil"/>
            </w:tcBorders>
            <w:vAlign w:val="bottom"/>
          </w:tcPr>
          <w:p w14:paraId="474B323A" w14:textId="77777777" w:rsidR="00A3021A" w:rsidRPr="00701439" w:rsidRDefault="00A3021A">
            <w:pPr>
              <w:ind w:left="-108"/>
              <w:jc w:val="right"/>
              <w:rPr>
                <w:rFonts w:asciiTheme="minorHAnsi" w:hAnsiTheme="minorHAnsi" w:cstheme="minorHAnsi"/>
                <w:sz w:val="20"/>
                <w:szCs w:val="20"/>
              </w:rPr>
            </w:pPr>
            <w:r w:rsidRPr="00701439">
              <w:rPr>
                <w:rFonts w:asciiTheme="minorHAnsi" w:hAnsiTheme="minorHAnsi" w:cstheme="minorHAnsi"/>
                <w:sz w:val="20"/>
                <w:szCs w:val="20"/>
              </w:rPr>
              <w:t>250.9</w:t>
            </w:r>
          </w:p>
        </w:tc>
        <w:tc>
          <w:tcPr>
            <w:tcW w:w="992" w:type="dxa"/>
            <w:tcBorders>
              <w:top w:val="single" w:sz="4" w:space="0" w:color="auto"/>
              <w:left w:val="nil"/>
              <w:right w:val="nil"/>
            </w:tcBorders>
            <w:vAlign w:val="bottom"/>
          </w:tcPr>
          <w:p w14:paraId="2AD2B7C2"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32.8</w:t>
            </w:r>
          </w:p>
        </w:tc>
        <w:tc>
          <w:tcPr>
            <w:tcW w:w="993" w:type="dxa"/>
            <w:tcBorders>
              <w:top w:val="single" w:sz="4" w:space="0" w:color="auto"/>
              <w:left w:val="nil"/>
              <w:right w:val="nil"/>
            </w:tcBorders>
            <w:vAlign w:val="bottom"/>
          </w:tcPr>
          <w:p w14:paraId="70E05B66"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134.6</w:t>
            </w:r>
          </w:p>
        </w:tc>
        <w:tc>
          <w:tcPr>
            <w:tcW w:w="1134" w:type="dxa"/>
            <w:tcBorders>
              <w:top w:val="single" w:sz="4" w:space="0" w:color="auto"/>
              <w:left w:val="nil"/>
              <w:right w:val="nil"/>
            </w:tcBorders>
            <w:vAlign w:val="bottom"/>
          </w:tcPr>
          <w:p w14:paraId="6A1F54A8" w14:textId="77777777" w:rsidR="00A3021A" w:rsidRPr="00701439" w:rsidRDefault="00A3021A">
            <w:pPr>
              <w:ind w:left="-108"/>
              <w:jc w:val="right"/>
              <w:rPr>
                <w:rFonts w:asciiTheme="minorHAnsi" w:hAnsiTheme="minorHAnsi" w:cstheme="minorHAnsi"/>
                <w:sz w:val="20"/>
                <w:szCs w:val="20"/>
              </w:rPr>
            </w:pPr>
            <w:r w:rsidRPr="00701439">
              <w:rPr>
                <w:rFonts w:asciiTheme="minorHAnsi" w:hAnsiTheme="minorHAnsi" w:cstheme="minorHAnsi"/>
                <w:sz w:val="20"/>
                <w:szCs w:val="20"/>
              </w:rPr>
              <w:t>250.7</w:t>
            </w:r>
          </w:p>
        </w:tc>
        <w:tc>
          <w:tcPr>
            <w:tcW w:w="992" w:type="dxa"/>
            <w:tcBorders>
              <w:top w:val="single" w:sz="4" w:space="0" w:color="auto"/>
              <w:left w:val="nil"/>
              <w:right w:val="nil"/>
            </w:tcBorders>
            <w:vAlign w:val="bottom"/>
          </w:tcPr>
          <w:p w14:paraId="4EFFB3EE"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53.7</w:t>
            </w:r>
          </w:p>
        </w:tc>
      </w:tr>
      <w:tr w:rsidR="00A3021A" w:rsidRPr="00701439" w14:paraId="0A511776" w14:textId="77777777">
        <w:trPr>
          <w:trHeight w:val="70"/>
        </w:trPr>
        <w:tc>
          <w:tcPr>
            <w:tcW w:w="3686" w:type="dxa"/>
            <w:vAlign w:val="bottom"/>
          </w:tcPr>
          <w:p w14:paraId="0C1AE50D"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Amortisation of acquisition intangibles, net of tax</w:t>
            </w:r>
          </w:p>
        </w:tc>
        <w:tc>
          <w:tcPr>
            <w:tcW w:w="992" w:type="dxa"/>
            <w:tcBorders>
              <w:top w:val="nil"/>
              <w:left w:val="nil"/>
              <w:right w:val="nil"/>
            </w:tcBorders>
            <w:vAlign w:val="bottom"/>
          </w:tcPr>
          <w:p w14:paraId="7ED1D911"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6.1</w:t>
            </w:r>
          </w:p>
        </w:tc>
        <w:tc>
          <w:tcPr>
            <w:tcW w:w="1134" w:type="dxa"/>
            <w:tcBorders>
              <w:top w:val="nil"/>
              <w:left w:val="nil"/>
              <w:right w:val="nil"/>
            </w:tcBorders>
            <w:vAlign w:val="bottom"/>
          </w:tcPr>
          <w:p w14:paraId="53816DF7"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w:t>
            </w:r>
          </w:p>
        </w:tc>
        <w:tc>
          <w:tcPr>
            <w:tcW w:w="992" w:type="dxa"/>
            <w:tcBorders>
              <w:top w:val="nil"/>
              <w:left w:val="nil"/>
              <w:right w:val="nil"/>
            </w:tcBorders>
            <w:vAlign w:val="bottom"/>
          </w:tcPr>
          <w:p w14:paraId="27648243"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2.4</w:t>
            </w:r>
          </w:p>
        </w:tc>
        <w:tc>
          <w:tcPr>
            <w:tcW w:w="993" w:type="dxa"/>
            <w:tcBorders>
              <w:top w:val="nil"/>
              <w:left w:val="nil"/>
              <w:right w:val="nil"/>
            </w:tcBorders>
            <w:vAlign w:val="bottom"/>
          </w:tcPr>
          <w:p w14:paraId="55E5FC89"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 xml:space="preserve">           6.7</w:t>
            </w:r>
          </w:p>
        </w:tc>
        <w:tc>
          <w:tcPr>
            <w:tcW w:w="1134" w:type="dxa"/>
            <w:tcBorders>
              <w:top w:val="nil"/>
              <w:left w:val="nil"/>
              <w:right w:val="nil"/>
            </w:tcBorders>
            <w:vAlign w:val="bottom"/>
          </w:tcPr>
          <w:p w14:paraId="7315F673"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w:t>
            </w:r>
          </w:p>
        </w:tc>
        <w:tc>
          <w:tcPr>
            <w:tcW w:w="992" w:type="dxa"/>
            <w:tcBorders>
              <w:top w:val="nil"/>
              <w:left w:val="nil"/>
              <w:right w:val="nil"/>
            </w:tcBorders>
            <w:vAlign w:val="bottom"/>
          </w:tcPr>
          <w:p w14:paraId="2C9C7C16"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2.7</w:t>
            </w:r>
          </w:p>
        </w:tc>
      </w:tr>
      <w:tr w:rsidR="00A3021A" w:rsidRPr="00701439" w14:paraId="0EC9EA7E" w14:textId="77777777">
        <w:tc>
          <w:tcPr>
            <w:tcW w:w="3686" w:type="dxa"/>
            <w:vAlign w:val="bottom"/>
          </w:tcPr>
          <w:p w14:paraId="63FDB792"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Exceptional items, net of tax</w:t>
            </w:r>
          </w:p>
        </w:tc>
        <w:tc>
          <w:tcPr>
            <w:tcW w:w="992" w:type="dxa"/>
            <w:tcBorders>
              <w:left w:val="nil"/>
              <w:bottom w:val="single" w:sz="4" w:space="0" w:color="auto"/>
              <w:right w:val="nil"/>
            </w:tcBorders>
            <w:vAlign w:val="bottom"/>
          </w:tcPr>
          <w:p w14:paraId="1778549A"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8.8</w:t>
            </w:r>
          </w:p>
        </w:tc>
        <w:tc>
          <w:tcPr>
            <w:tcW w:w="1134" w:type="dxa"/>
            <w:tcBorders>
              <w:left w:val="nil"/>
              <w:bottom w:val="single" w:sz="4" w:space="0" w:color="auto"/>
              <w:right w:val="nil"/>
            </w:tcBorders>
            <w:vAlign w:val="bottom"/>
          </w:tcPr>
          <w:p w14:paraId="7E525562"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w:t>
            </w:r>
          </w:p>
        </w:tc>
        <w:tc>
          <w:tcPr>
            <w:tcW w:w="992" w:type="dxa"/>
            <w:tcBorders>
              <w:left w:val="nil"/>
              <w:bottom w:val="single" w:sz="4" w:space="0" w:color="auto"/>
              <w:right w:val="nil"/>
            </w:tcBorders>
            <w:vAlign w:val="bottom"/>
          </w:tcPr>
          <w:p w14:paraId="37A28EB5"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3.5</w:t>
            </w:r>
          </w:p>
        </w:tc>
        <w:tc>
          <w:tcPr>
            <w:tcW w:w="993" w:type="dxa"/>
            <w:tcBorders>
              <w:left w:val="nil"/>
              <w:bottom w:val="single" w:sz="4" w:space="0" w:color="auto"/>
              <w:right w:val="nil"/>
            </w:tcBorders>
            <w:vAlign w:val="bottom"/>
          </w:tcPr>
          <w:p w14:paraId="72498433"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2.8</w:t>
            </w:r>
          </w:p>
        </w:tc>
        <w:tc>
          <w:tcPr>
            <w:tcW w:w="1134" w:type="dxa"/>
            <w:tcBorders>
              <w:left w:val="nil"/>
              <w:bottom w:val="single" w:sz="4" w:space="0" w:color="auto"/>
              <w:right w:val="nil"/>
            </w:tcBorders>
            <w:vAlign w:val="bottom"/>
          </w:tcPr>
          <w:p w14:paraId="09619F8D"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w:t>
            </w:r>
          </w:p>
        </w:tc>
        <w:tc>
          <w:tcPr>
            <w:tcW w:w="992" w:type="dxa"/>
            <w:tcBorders>
              <w:left w:val="nil"/>
              <w:bottom w:val="single" w:sz="4" w:space="0" w:color="auto"/>
              <w:right w:val="nil"/>
            </w:tcBorders>
            <w:vAlign w:val="bottom"/>
          </w:tcPr>
          <w:p w14:paraId="0132A3FE"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1.1</w:t>
            </w:r>
          </w:p>
        </w:tc>
      </w:tr>
      <w:tr w:rsidR="00A3021A" w:rsidRPr="00701439" w14:paraId="6469DD93" w14:textId="77777777">
        <w:trPr>
          <w:trHeight w:val="223"/>
        </w:trPr>
        <w:tc>
          <w:tcPr>
            <w:tcW w:w="3686" w:type="dxa"/>
            <w:vAlign w:val="bottom"/>
          </w:tcPr>
          <w:p w14:paraId="7335A57C" w14:textId="77777777" w:rsidR="00A3021A" w:rsidRPr="00701439" w:rsidRDefault="00A3021A">
            <w:pPr>
              <w:rPr>
                <w:rFonts w:asciiTheme="minorHAnsi" w:hAnsiTheme="minorHAnsi" w:cs="Arial"/>
                <w:b/>
                <w:sz w:val="20"/>
                <w:szCs w:val="20"/>
              </w:rPr>
            </w:pPr>
            <w:r w:rsidRPr="00701439">
              <w:rPr>
                <w:rFonts w:asciiTheme="minorHAnsi" w:hAnsiTheme="minorHAnsi" w:cs="Arial"/>
                <w:b/>
                <w:sz w:val="20"/>
                <w:szCs w:val="20"/>
              </w:rPr>
              <w:t xml:space="preserve">Adjusted basic earnings per share </w:t>
            </w:r>
          </w:p>
        </w:tc>
        <w:tc>
          <w:tcPr>
            <w:tcW w:w="992" w:type="dxa"/>
            <w:tcBorders>
              <w:top w:val="single" w:sz="4" w:space="0" w:color="auto"/>
              <w:left w:val="nil"/>
              <w:bottom w:val="single" w:sz="12" w:space="0" w:color="auto"/>
              <w:right w:val="nil"/>
            </w:tcBorders>
            <w:vAlign w:val="bottom"/>
          </w:tcPr>
          <w:p w14:paraId="6C1A76D9"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97.2</w:t>
            </w:r>
          </w:p>
        </w:tc>
        <w:tc>
          <w:tcPr>
            <w:tcW w:w="1134" w:type="dxa"/>
            <w:tcBorders>
              <w:top w:val="single" w:sz="4" w:space="0" w:color="auto"/>
              <w:left w:val="nil"/>
              <w:bottom w:val="single" w:sz="12" w:space="0" w:color="auto"/>
              <w:right w:val="nil"/>
            </w:tcBorders>
            <w:vAlign w:val="bottom"/>
          </w:tcPr>
          <w:p w14:paraId="4E4E6189"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250.9</w:t>
            </w:r>
          </w:p>
        </w:tc>
        <w:tc>
          <w:tcPr>
            <w:tcW w:w="992" w:type="dxa"/>
            <w:tcBorders>
              <w:top w:val="single" w:sz="4" w:space="0" w:color="auto"/>
              <w:left w:val="nil"/>
              <w:bottom w:val="single" w:sz="12" w:space="0" w:color="auto"/>
              <w:right w:val="nil"/>
            </w:tcBorders>
            <w:vAlign w:val="bottom"/>
          </w:tcPr>
          <w:p w14:paraId="3000A49B"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38.7</w:t>
            </w:r>
          </w:p>
        </w:tc>
        <w:tc>
          <w:tcPr>
            <w:tcW w:w="993" w:type="dxa"/>
            <w:tcBorders>
              <w:top w:val="single" w:sz="4" w:space="0" w:color="auto"/>
              <w:left w:val="nil"/>
              <w:bottom w:val="single" w:sz="12" w:space="0" w:color="auto"/>
              <w:right w:val="nil"/>
            </w:tcBorders>
            <w:vAlign w:val="bottom"/>
          </w:tcPr>
          <w:p w14:paraId="23B78E00"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144.1</w:t>
            </w:r>
          </w:p>
        </w:tc>
        <w:tc>
          <w:tcPr>
            <w:tcW w:w="1134" w:type="dxa"/>
            <w:tcBorders>
              <w:top w:val="single" w:sz="4" w:space="0" w:color="auto"/>
              <w:left w:val="nil"/>
              <w:bottom w:val="single" w:sz="12" w:space="0" w:color="auto"/>
              <w:right w:val="nil"/>
            </w:tcBorders>
            <w:vAlign w:val="bottom"/>
          </w:tcPr>
          <w:p w14:paraId="53CF589C"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250.7</w:t>
            </w:r>
          </w:p>
        </w:tc>
        <w:tc>
          <w:tcPr>
            <w:tcW w:w="992" w:type="dxa"/>
            <w:tcBorders>
              <w:top w:val="single" w:sz="4" w:space="0" w:color="auto"/>
              <w:left w:val="nil"/>
              <w:bottom w:val="single" w:sz="12" w:space="0" w:color="auto"/>
              <w:right w:val="nil"/>
            </w:tcBorders>
            <w:vAlign w:val="bottom"/>
          </w:tcPr>
          <w:p w14:paraId="548744DE"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57.5</w:t>
            </w:r>
          </w:p>
        </w:tc>
      </w:tr>
      <w:tr w:rsidR="00A3021A" w:rsidRPr="00701439" w14:paraId="445B771E" w14:textId="77777777">
        <w:trPr>
          <w:trHeight w:val="223"/>
        </w:trPr>
        <w:tc>
          <w:tcPr>
            <w:tcW w:w="3686" w:type="dxa"/>
            <w:vAlign w:val="bottom"/>
          </w:tcPr>
          <w:p w14:paraId="4C6643F1" w14:textId="77777777" w:rsidR="00A3021A" w:rsidRPr="00701439" w:rsidRDefault="00A3021A">
            <w:pPr>
              <w:rPr>
                <w:rFonts w:asciiTheme="minorHAnsi" w:hAnsiTheme="minorHAnsi" w:cs="Arial"/>
                <w:b/>
                <w:bCs/>
                <w:sz w:val="20"/>
                <w:szCs w:val="20"/>
              </w:rPr>
            </w:pPr>
          </w:p>
        </w:tc>
        <w:tc>
          <w:tcPr>
            <w:tcW w:w="992" w:type="dxa"/>
            <w:tcBorders>
              <w:top w:val="single" w:sz="12" w:space="0" w:color="auto"/>
              <w:left w:val="nil"/>
              <w:right w:val="nil"/>
            </w:tcBorders>
          </w:tcPr>
          <w:p w14:paraId="0A4951D7" w14:textId="77777777" w:rsidR="00A3021A" w:rsidRPr="00701439" w:rsidRDefault="00A3021A">
            <w:pPr>
              <w:jc w:val="right"/>
              <w:rPr>
                <w:rFonts w:asciiTheme="minorHAnsi" w:hAnsiTheme="minorHAnsi" w:cstheme="minorHAnsi"/>
                <w:sz w:val="20"/>
                <w:szCs w:val="20"/>
              </w:rPr>
            </w:pPr>
          </w:p>
        </w:tc>
        <w:tc>
          <w:tcPr>
            <w:tcW w:w="1134" w:type="dxa"/>
            <w:tcBorders>
              <w:top w:val="single" w:sz="12" w:space="0" w:color="auto"/>
              <w:left w:val="nil"/>
              <w:right w:val="nil"/>
            </w:tcBorders>
          </w:tcPr>
          <w:p w14:paraId="39D55E0D" w14:textId="77777777" w:rsidR="00A3021A" w:rsidRPr="00701439" w:rsidRDefault="00A3021A">
            <w:pPr>
              <w:ind w:left="-108"/>
              <w:jc w:val="right"/>
              <w:rPr>
                <w:rFonts w:asciiTheme="minorHAnsi" w:hAnsiTheme="minorHAnsi" w:cstheme="minorHAnsi"/>
                <w:color w:val="000000" w:themeColor="text1"/>
                <w:sz w:val="20"/>
                <w:szCs w:val="20"/>
              </w:rPr>
            </w:pPr>
          </w:p>
        </w:tc>
        <w:tc>
          <w:tcPr>
            <w:tcW w:w="992" w:type="dxa"/>
            <w:tcBorders>
              <w:top w:val="single" w:sz="12" w:space="0" w:color="auto"/>
              <w:left w:val="nil"/>
              <w:right w:val="nil"/>
            </w:tcBorders>
          </w:tcPr>
          <w:p w14:paraId="4985F45C" w14:textId="77777777" w:rsidR="00A3021A" w:rsidRPr="00701439" w:rsidRDefault="00A3021A">
            <w:pPr>
              <w:jc w:val="right"/>
              <w:rPr>
                <w:rFonts w:asciiTheme="minorHAnsi" w:hAnsiTheme="minorHAnsi" w:cstheme="minorHAnsi"/>
                <w:color w:val="000000" w:themeColor="text1"/>
                <w:sz w:val="20"/>
                <w:szCs w:val="20"/>
              </w:rPr>
            </w:pPr>
          </w:p>
        </w:tc>
        <w:tc>
          <w:tcPr>
            <w:tcW w:w="993" w:type="dxa"/>
            <w:tcBorders>
              <w:top w:val="single" w:sz="12" w:space="0" w:color="auto"/>
              <w:left w:val="nil"/>
              <w:right w:val="nil"/>
            </w:tcBorders>
          </w:tcPr>
          <w:p w14:paraId="32FC4CE2" w14:textId="77777777" w:rsidR="00A3021A" w:rsidRPr="00701439" w:rsidRDefault="00A3021A">
            <w:pPr>
              <w:jc w:val="right"/>
              <w:rPr>
                <w:rFonts w:asciiTheme="minorHAnsi" w:hAnsiTheme="minorHAnsi" w:cstheme="minorHAnsi"/>
                <w:sz w:val="20"/>
                <w:szCs w:val="20"/>
              </w:rPr>
            </w:pPr>
          </w:p>
        </w:tc>
        <w:tc>
          <w:tcPr>
            <w:tcW w:w="1134" w:type="dxa"/>
            <w:tcBorders>
              <w:top w:val="single" w:sz="12" w:space="0" w:color="auto"/>
              <w:left w:val="nil"/>
              <w:right w:val="nil"/>
            </w:tcBorders>
          </w:tcPr>
          <w:p w14:paraId="141E3D51" w14:textId="77777777" w:rsidR="00A3021A" w:rsidRPr="00701439" w:rsidRDefault="00A3021A">
            <w:pPr>
              <w:ind w:left="-108"/>
              <w:jc w:val="right"/>
              <w:rPr>
                <w:rFonts w:asciiTheme="minorHAnsi" w:hAnsiTheme="minorHAnsi" w:cstheme="minorHAnsi"/>
                <w:sz w:val="20"/>
                <w:szCs w:val="20"/>
              </w:rPr>
            </w:pPr>
          </w:p>
        </w:tc>
        <w:tc>
          <w:tcPr>
            <w:tcW w:w="992" w:type="dxa"/>
            <w:tcBorders>
              <w:top w:val="single" w:sz="12" w:space="0" w:color="auto"/>
              <w:left w:val="nil"/>
              <w:right w:val="nil"/>
            </w:tcBorders>
          </w:tcPr>
          <w:p w14:paraId="6722FD47" w14:textId="77777777" w:rsidR="00A3021A" w:rsidRPr="00701439" w:rsidRDefault="00A3021A">
            <w:pPr>
              <w:jc w:val="right"/>
              <w:rPr>
                <w:rFonts w:asciiTheme="minorHAnsi" w:hAnsiTheme="minorHAnsi" w:cstheme="minorHAnsi"/>
                <w:color w:val="FF0000"/>
                <w:sz w:val="20"/>
                <w:szCs w:val="20"/>
              </w:rPr>
            </w:pPr>
          </w:p>
        </w:tc>
      </w:tr>
      <w:tr w:rsidR="00A3021A" w:rsidRPr="00701439" w14:paraId="46467BD4" w14:textId="77777777">
        <w:trPr>
          <w:trHeight w:val="223"/>
        </w:trPr>
        <w:tc>
          <w:tcPr>
            <w:tcW w:w="3686" w:type="dxa"/>
            <w:vAlign w:val="bottom"/>
          </w:tcPr>
          <w:p w14:paraId="03F58A13" w14:textId="77777777" w:rsidR="00A3021A" w:rsidRPr="00701439" w:rsidRDefault="00A3021A">
            <w:pPr>
              <w:rPr>
                <w:rFonts w:asciiTheme="minorHAnsi" w:hAnsiTheme="minorHAnsi" w:cs="Arial"/>
                <w:b/>
                <w:sz w:val="20"/>
                <w:szCs w:val="20"/>
              </w:rPr>
            </w:pPr>
            <w:r w:rsidRPr="00701439">
              <w:rPr>
                <w:rFonts w:asciiTheme="minorHAnsi" w:hAnsiTheme="minorHAnsi" w:cs="Arial"/>
                <w:b/>
                <w:sz w:val="20"/>
                <w:szCs w:val="20"/>
              </w:rPr>
              <w:t xml:space="preserve">Diluted earnings per share </w:t>
            </w:r>
          </w:p>
        </w:tc>
        <w:tc>
          <w:tcPr>
            <w:tcW w:w="992" w:type="dxa"/>
            <w:tcBorders>
              <w:left w:val="nil"/>
              <w:right w:val="nil"/>
            </w:tcBorders>
          </w:tcPr>
          <w:p w14:paraId="7DBEBC03"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82.3</w:t>
            </w:r>
          </w:p>
        </w:tc>
        <w:tc>
          <w:tcPr>
            <w:tcW w:w="1134" w:type="dxa"/>
            <w:tcBorders>
              <w:left w:val="nil"/>
              <w:right w:val="nil"/>
            </w:tcBorders>
          </w:tcPr>
          <w:p w14:paraId="193FB960" w14:textId="77777777" w:rsidR="00A3021A" w:rsidRPr="00701439" w:rsidRDefault="00A3021A">
            <w:pPr>
              <w:ind w:left="-108"/>
              <w:jc w:val="right"/>
              <w:rPr>
                <w:rFonts w:asciiTheme="minorHAnsi" w:hAnsiTheme="minorHAnsi" w:cstheme="minorHAnsi"/>
                <w:color w:val="000000" w:themeColor="text1"/>
                <w:sz w:val="20"/>
                <w:szCs w:val="20"/>
              </w:rPr>
            </w:pPr>
            <w:r w:rsidRPr="00701439">
              <w:rPr>
                <w:rFonts w:asciiTheme="minorHAnsi" w:hAnsiTheme="minorHAnsi" w:cstheme="minorHAnsi"/>
                <w:color w:val="000000" w:themeColor="text1"/>
                <w:sz w:val="20"/>
                <w:szCs w:val="20"/>
              </w:rPr>
              <w:t>253.7</w:t>
            </w:r>
          </w:p>
        </w:tc>
        <w:tc>
          <w:tcPr>
            <w:tcW w:w="992" w:type="dxa"/>
            <w:tcBorders>
              <w:left w:val="nil"/>
              <w:right w:val="nil"/>
            </w:tcBorders>
          </w:tcPr>
          <w:p w14:paraId="3CB75C23" w14:textId="77777777" w:rsidR="00A3021A" w:rsidRPr="00701439" w:rsidRDefault="00A3021A">
            <w:pPr>
              <w:jc w:val="right"/>
              <w:rPr>
                <w:rFonts w:asciiTheme="minorHAnsi" w:hAnsiTheme="minorHAnsi" w:cstheme="minorHAnsi"/>
                <w:color w:val="000000" w:themeColor="text1"/>
                <w:sz w:val="20"/>
                <w:szCs w:val="20"/>
              </w:rPr>
            </w:pPr>
            <w:r w:rsidRPr="00701439">
              <w:rPr>
                <w:rFonts w:asciiTheme="minorHAnsi" w:hAnsiTheme="minorHAnsi" w:cstheme="minorHAnsi"/>
                <w:color w:val="000000" w:themeColor="text1"/>
                <w:sz w:val="20"/>
                <w:szCs w:val="20"/>
              </w:rPr>
              <w:t>32.4</w:t>
            </w:r>
          </w:p>
        </w:tc>
        <w:tc>
          <w:tcPr>
            <w:tcW w:w="993" w:type="dxa"/>
            <w:tcBorders>
              <w:left w:val="nil"/>
              <w:right w:val="nil"/>
            </w:tcBorders>
            <w:shd w:val="clear" w:color="auto" w:fill="auto"/>
          </w:tcPr>
          <w:p w14:paraId="61567065"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134.6</w:t>
            </w:r>
          </w:p>
        </w:tc>
        <w:tc>
          <w:tcPr>
            <w:tcW w:w="1134" w:type="dxa"/>
            <w:tcBorders>
              <w:left w:val="nil"/>
              <w:right w:val="nil"/>
            </w:tcBorders>
          </w:tcPr>
          <w:p w14:paraId="4C22D00C" w14:textId="77777777" w:rsidR="00A3021A" w:rsidRPr="00701439" w:rsidRDefault="00A3021A">
            <w:pPr>
              <w:ind w:left="-108"/>
              <w:jc w:val="right"/>
              <w:rPr>
                <w:rFonts w:asciiTheme="minorHAnsi" w:hAnsiTheme="minorHAnsi" w:cstheme="minorHAnsi"/>
                <w:sz w:val="20"/>
                <w:szCs w:val="20"/>
              </w:rPr>
            </w:pPr>
            <w:r w:rsidRPr="00701439">
              <w:rPr>
                <w:rFonts w:asciiTheme="minorHAnsi" w:hAnsiTheme="minorHAnsi" w:cstheme="minorHAnsi"/>
                <w:color w:val="000000" w:themeColor="text1"/>
                <w:sz w:val="20"/>
                <w:szCs w:val="20"/>
              </w:rPr>
              <w:t>252.0</w:t>
            </w:r>
          </w:p>
        </w:tc>
        <w:tc>
          <w:tcPr>
            <w:tcW w:w="992" w:type="dxa"/>
            <w:tcBorders>
              <w:left w:val="nil"/>
              <w:right w:val="nil"/>
            </w:tcBorders>
          </w:tcPr>
          <w:p w14:paraId="6E9431C6"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color w:val="000000" w:themeColor="text1"/>
                <w:sz w:val="20"/>
                <w:szCs w:val="20"/>
              </w:rPr>
              <w:t>53.4</w:t>
            </w:r>
          </w:p>
        </w:tc>
      </w:tr>
      <w:tr w:rsidR="00A3021A" w:rsidRPr="00701439" w14:paraId="0983A075" w14:textId="77777777">
        <w:trPr>
          <w:trHeight w:val="223"/>
        </w:trPr>
        <w:tc>
          <w:tcPr>
            <w:tcW w:w="3686" w:type="dxa"/>
            <w:vAlign w:val="bottom"/>
          </w:tcPr>
          <w:p w14:paraId="19095A72"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Amortisation of acquisition intangibles, net of tax</w:t>
            </w:r>
          </w:p>
        </w:tc>
        <w:tc>
          <w:tcPr>
            <w:tcW w:w="992" w:type="dxa"/>
            <w:tcBorders>
              <w:left w:val="nil"/>
              <w:right w:val="nil"/>
            </w:tcBorders>
            <w:vAlign w:val="bottom"/>
          </w:tcPr>
          <w:p w14:paraId="16DF8682"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6.1</w:t>
            </w:r>
          </w:p>
        </w:tc>
        <w:tc>
          <w:tcPr>
            <w:tcW w:w="1134" w:type="dxa"/>
            <w:tcBorders>
              <w:left w:val="nil"/>
              <w:right w:val="nil"/>
            </w:tcBorders>
            <w:vAlign w:val="bottom"/>
          </w:tcPr>
          <w:p w14:paraId="1837DA75" w14:textId="77777777" w:rsidR="00A3021A" w:rsidRPr="00701439" w:rsidRDefault="00A3021A">
            <w:pPr>
              <w:jc w:val="right"/>
              <w:rPr>
                <w:rFonts w:asciiTheme="minorHAnsi" w:hAnsiTheme="minorHAnsi" w:cstheme="minorHAnsi"/>
                <w:color w:val="000000" w:themeColor="text1"/>
                <w:sz w:val="20"/>
                <w:szCs w:val="20"/>
              </w:rPr>
            </w:pPr>
            <w:r w:rsidRPr="00701439">
              <w:rPr>
                <w:rFonts w:asciiTheme="minorHAnsi" w:hAnsiTheme="minorHAnsi" w:cstheme="minorHAnsi"/>
                <w:color w:val="000000" w:themeColor="text1"/>
                <w:sz w:val="20"/>
                <w:szCs w:val="20"/>
              </w:rPr>
              <w:t>-</w:t>
            </w:r>
          </w:p>
        </w:tc>
        <w:tc>
          <w:tcPr>
            <w:tcW w:w="992" w:type="dxa"/>
            <w:tcBorders>
              <w:left w:val="nil"/>
              <w:right w:val="nil"/>
            </w:tcBorders>
            <w:vAlign w:val="bottom"/>
          </w:tcPr>
          <w:p w14:paraId="31C47AF2"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2.4</w:t>
            </w:r>
          </w:p>
        </w:tc>
        <w:tc>
          <w:tcPr>
            <w:tcW w:w="993" w:type="dxa"/>
            <w:tcBorders>
              <w:left w:val="nil"/>
              <w:right w:val="nil"/>
            </w:tcBorders>
            <w:vAlign w:val="bottom"/>
          </w:tcPr>
          <w:p w14:paraId="59AD517B"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6.7</w:t>
            </w:r>
          </w:p>
        </w:tc>
        <w:tc>
          <w:tcPr>
            <w:tcW w:w="1134" w:type="dxa"/>
            <w:tcBorders>
              <w:left w:val="nil"/>
              <w:right w:val="nil"/>
            </w:tcBorders>
            <w:vAlign w:val="bottom"/>
          </w:tcPr>
          <w:p w14:paraId="691BC508"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color w:val="000000" w:themeColor="text1"/>
                <w:sz w:val="20"/>
                <w:szCs w:val="20"/>
              </w:rPr>
              <w:t>-</w:t>
            </w:r>
          </w:p>
        </w:tc>
        <w:tc>
          <w:tcPr>
            <w:tcW w:w="992" w:type="dxa"/>
            <w:tcBorders>
              <w:left w:val="nil"/>
              <w:right w:val="nil"/>
            </w:tcBorders>
            <w:vAlign w:val="bottom"/>
          </w:tcPr>
          <w:p w14:paraId="6962AC94"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2.7</w:t>
            </w:r>
          </w:p>
        </w:tc>
      </w:tr>
      <w:tr w:rsidR="00A3021A" w:rsidRPr="00701439" w14:paraId="145110A5" w14:textId="77777777">
        <w:trPr>
          <w:trHeight w:val="223"/>
        </w:trPr>
        <w:tc>
          <w:tcPr>
            <w:tcW w:w="3686" w:type="dxa"/>
            <w:vAlign w:val="bottom"/>
          </w:tcPr>
          <w:p w14:paraId="19AF5131"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Exceptional items, net of tax</w:t>
            </w:r>
          </w:p>
        </w:tc>
        <w:tc>
          <w:tcPr>
            <w:tcW w:w="992" w:type="dxa"/>
            <w:tcBorders>
              <w:left w:val="nil"/>
              <w:bottom w:val="single" w:sz="4" w:space="0" w:color="auto"/>
              <w:right w:val="nil"/>
            </w:tcBorders>
            <w:vAlign w:val="bottom"/>
          </w:tcPr>
          <w:p w14:paraId="75CA907A"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8.8</w:t>
            </w:r>
          </w:p>
        </w:tc>
        <w:tc>
          <w:tcPr>
            <w:tcW w:w="1134" w:type="dxa"/>
            <w:tcBorders>
              <w:left w:val="nil"/>
              <w:bottom w:val="single" w:sz="4" w:space="0" w:color="auto"/>
              <w:right w:val="nil"/>
            </w:tcBorders>
            <w:vAlign w:val="bottom"/>
          </w:tcPr>
          <w:p w14:paraId="771583B1" w14:textId="77777777" w:rsidR="00A3021A" w:rsidRPr="00701439" w:rsidRDefault="00A3021A">
            <w:pPr>
              <w:jc w:val="right"/>
              <w:rPr>
                <w:rFonts w:asciiTheme="minorHAnsi" w:hAnsiTheme="minorHAnsi" w:cstheme="minorHAnsi"/>
                <w:color w:val="000000" w:themeColor="text1"/>
                <w:sz w:val="20"/>
                <w:szCs w:val="20"/>
              </w:rPr>
            </w:pPr>
            <w:r w:rsidRPr="00701439">
              <w:rPr>
                <w:rFonts w:asciiTheme="minorHAnsi" w:hAnsiTheme="minorHAnsi" w:cstheme="minorHAnsi"/>
                <w:color w:val="000000" w:themeColor="text1"/>
                <w:sz w:val="20"/>
                <w:szCs w:val="20"/>
              </w:rPr>
              <w:t>-</w:t>
            </w:r>
          </w:p>
        </w:tc>
        <w:tc>
          <w:tcPr>
            <w:tcW w:w="992" w:type="dxa"/>
            <w:tcBorders>
              <w:left w:val="nil"/>
              <w:bottom w:val="single" w:sz="4" w:space="0" w:color="auto"/>
              <w:right w:val="nil"/>
            </w:tcBorders>
            <w:vAlign w:val="bottom"/>
          </w:tcPr>
          <w:p w14:paraId="0F6A0262"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3.5</w:t>
            </w:r>
          </w:p>
        </w:tc>
        <w:tc>
          <w:tcPr>
            <w:tcW w:w="993" w:type="dxa"/>
            <w:tcBorders>
              <w:left w:val="nil"/>
              <w:bottom w:val="single" w:sz="4" w:space="0" w:color="auto"/>
              <w:right w:val="nil"/>
            </w:tcBorders>
            <w:vAlign w:val="bottom"/>
          </w:tcPr>
          <w:p w14:paraId="70EA1E6C"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2.8</w:t>
            </w:r>
          </w:p>
        </w:tc>
        <w:tc>
          <w:tcPr>
            <w:tcW w:w="1134" w:type="dxa"/>
            <w:tcBorders>
              <w:left w:val="nil"/>
              <w:bottom w:val="single" w:sz="4" w:space="0" w:color="auto"/>
              <w:right w:val="nil"/>
            </w:tcBorders>
            <w:vAlign w:val="bottom"/>
          </w:tcPr>
          <w:p w14:paraId="609E179C"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color w:val="000000" w:themeColor="text1"/>
                <w:sz w:val="20"/>
                <w:szCs w:val="20"/>
              </w:rPr>
              <w:t>-</w:t>
            </w:r>
          </w:p>
        </w:tc>
        <w:tc>
          <w:tcPr>
            <w:tcW w:w="992" w:type="dxa"/>
            <w:tcBorders>
              <w:left w:val="nil"/>
              <w:bottom w:val="single" w:sz="4" w:space="0" w:color="auto"/>
              <w:right w:val="nil"/>
            </w:tcBorders>
            <w:vAlign w:val="bottom"/>
          </w:tcPr>
          <w:p w14:paraId="2BFC979C"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1.1</w:t>
            </w:r>
          </w:p>
        </w:tc>
      </w:tr>
      <w:tr w:rsidR="00A3021A" w:rsidRPr="00701439" w14:paraId="47247AF4" w14:textId="77777777">
        <w:trPr>
          <w:trHeight w:val="223"/>
        </w:trPr>
        <w:tc>
          <w:tcPr>
            <w:tcW w:w="3686" w:type="dxa"/>
            <w:tcBorders>
              <w:bottom w:val="nil"/>
            </w:tcBorders>
            <w:vAlign w:val="bottom"/>
          </w:tcPr>
          <w:p w14:paraId="04F83CAC" w14:textId="77777777" w:rsidR="00A3021A" w:rsidRPr="00701439" w:rsidRDefault="00A3021A">
            <w:pPr>
              <w:rPr>
                <w:rFonts w:asciiTheme="minorHAnsi" w:hAnsiTheme="minorHAnsi" w:cs="Arial"/>
                <w:b/>
                <w:sz w:val="20"/>
                <w:szCs w:val="20"/>
              </w:rPr>
            </w:pPr>
            <w:r w:rsidRPr="00701439">
              <w:rPr>
                <w:rFonts w:asciiTheme="minorHAnsi" w:hAnsiTheme="minorHAnsi" w:cs="Arial"/>
                <w:b/>
                <w:sz w:val="20"/>
                <w:szCs w:val="20"/>
              </w:rPr>
              <w:t xml:space="preserve">Adjusted diluted earnings per share </w:t>
            </w:r>
          </w:p>
        </w:tc>
        <w:tc>
          <w:tcPr>
            <w:tcW w:w="992" w:type="dxa"/>
            <w:tcBorders>
              <w:top w:val="single" w:sz="4" w:space="0" w:color="auto"/>
              <w:left w:val="nil"/>
              <w:bottom w:val="single" w:sz="12" w:space="0" w:color="auto"/>
              <w:right w:val="nil"/>
            </w:tcBorders>
            <w:vAlign w:val="bottom"/>
          </w:tcPr>
          <w:p w14:paraId="423C44D6"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97.2</w:t>
            </w:r>
          </w:p>
        </w:tc>
        <w:tc>
          <w:tcPr>
            <w:tcW w:w="1134" w:type="dxa"/>
            <w:tcBorders>
              <w:top w:val="single" w:sz="4" w:space="0" w:color="auto"/>
              <w:left w:val="nil"/>
              <w:bottom w:val="single" w:sz="12" w:space="0" w:color="auto"/>
              <w:right w:val="nil"/>
            </w:tcBorders>
            <w:vAlign w:val="bottom"/>
          </w:tcPr>
          <w:p w14:paraId="1D29A1FB" w14:textId="77777777" w:rsidR="00A3021A" w:rsidRPr="00701439" w:rsidRDefault="00A3021A">
            <w:pPr>
              <w:jc w:val="right"/>
              <w:rPr>
                <w:rFonts w:asciiTheme="minorHAnsi" w:hAnsiTheme="minorHAnsi" w:cstheme="minorHAnsi"/>
                <w:color w:val="000000" w:themeColor="text1"/>
                <w:sz w:val="20"/>
                <w:szCs w:val="20"/>
              </w:rPr>
            </w:pPr>
            <w:r w:rsidRPr="00701439">
              <w:rPr>
                <w:rFonts w:asciiTheme="minorHAnsi" w:hAnsiTheme="minorHAnsi" w:cstheme="minorHAnsi"/>
                <w:color w:val="000000" w:themeColor="text1"/>
                <w:sz w:val="20"/>
                <w:szCs w:val="20"/>
              </w:rPr>
              <w:t>253.7</w:t>
            </w:r>
          </w:p>
        </w:tc>
        <w:tc>
          <w:tcPr>
            <w:tcW w:w="992" w:type="dxa"/>
            <w:tcBorders>
              <w:top w:val="single" w:sz="4" w:space="0" w:color="auto"/>
              <w:left w:val="nil"/>
              <w:bottom w:val="single" w:sz="12" w:space="0" w:color="auto"/>
              <w:right w:val="nil"/>
            </w:tcBorders>
            <w:vAlign w:val="bottom"/>
          </w:tcPr>
          <w:p w14:paraId="6137E4A9" w14:textId="77777777" w:rsidR="00A3021A" w:rsidRPr="00701439" w:rsidRDefault="00A3021A">
            <w:pPr>
              <w:jc w:val="right"/>
              <w:rPr>
                <w:rFonts w:asciiTheme="minorHAnsi" w:hAnsiTheme="minorHAnsi" w:cstheme="minorHAnsi"/>
                <w:color w:val="000000" w:themeColor="text1"/>
                <w:sz w:val="20"/>
                <w:szCs w:val="20"/>
              </w:rPr>
            </w:pPr>
            <w:r w:rsidRPr="00701439">
              <w:rPr>
                <w:rFonts w:asciiTheme="minorHAnsi" w:hAnsiTheme="minorHAnsi" w:cstheme="minorHAnsi"/>
                <w:color w:val="000000" w:themeColor="text1"/>
                <w:sz w:val="20"/>
                <w:szCs w:val="20"/>
              </w:rPr>
              <w:t>38.3</w:t>
            </w:r>
          </w:p>
        </w:tc>
        <w:tc>
          <w:tcPr>
            <w:tcW w:w="993" w:type="dxa"/>
            <w:tcBorders>
              <w:top w:val="single" w:sz="4" w:space="0" w:color="auto"/>
              <w:left w:val="nil"/>
              <w:bottom w:val="single" w:sz="12" w:space="0" w:color="auto"/>
              <w:right w:val="nil"/>
            </w:tcBorders>
            <w:vAlign w:val="bottom"/>
          </w:tcPr>
          <w:p w14:paraId="384C165D"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144.1</w:t>
            </w:r>
          </w:p>
        </w:tc>
        <w:tc>
          <w:tcPr>
            <w:tcW w:w="1134" w:type="dxa"/>
            <w:tcBorders>
              <w:top w:val="single" w:sz="4" w:space="0" w:color="auto"/>
              <w:left w:val="nil"/>
              <w:bottom w:val="single" w:sz="12" w:space="0" w:color="auto"/>
              <w:right w:val="nil"/>
            </w:tcBorders>
            <w:vAlign w:val="bottom"/>
          </w:tcPr>
          <w:p w14:paraId="5A02C7FF"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color w:val="000000" w:themeColor="text1"/>
                <w:sz w:val="20"/>
                <w:szCs w:val="20"/>
              </w:rPr>
              <w:t>252.0</w:t>
            </w:r>
          </w:p>
        </w:tc>
        <w:tc>
          <w:tcPr>
            <w:tcW w:w="992" w:type="dxa"/>
            <w:tcBorders>
              <w:top w:val="single" w:sz="4" w:space="0" w:color="auto"/>
              <w:left w:val="nil"/>
              <w:bottom w:val="single" w:sz="12" w:space="0" w:color="auto"/>
              <w:right w:val="nil"/>
            </w:tcBorders>
            <w:vAlign w:val="bottom"/>
          </w:tcPr>
          <w:p w14:paraId="37BF7627"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color w:val="000000" w:themeColor="text1"/>
                <w:sz w:val="20"/>
                <w:szCs w:val="20"/>
              </w:rPr>
              <w:t>57.2</w:t>
            </w:r>
          </w:p>
        </w:tc>
      </w:tr>
    </w:tbl>
    <w:p w14:paraId="7F134E4B" w14:textId="77777777" w:rsidR="00A3021A" w:rsidRPr="00701439" w:rsidRDefault="00A3021A" w:rsidP="00A3021A">
      <w:pPr>
        <w:pStyle w:val="sectionheaderwithintext"/>
        <w:spacing w:before="0"/>
        <w:jc w:val="both"/>
        <w:rPr>
          <w:rFonts w:asciiTheme="minorHAnsi" w:hAnsiTheme="minorHAnsi" w:cs="Arial"/>
          <w:color w:val="4747FF"/>
          <w:sz w:val="22"/>
          <w:szCs w:val="22"/>
        </w:rPr>
      </w:pPr>
    </w:p>
    <w:tbl>
      <w:tblPr>
        <w:tblW w:w="9923" w:type="dxa"/>
        <w:tblLayout w:type="fixed"/>
        <w:tblLook w:val="0000" w:firstRow="0" w:lastRow="0" w:firstColumn="0" w:lastColumn="0" w:noHBand="0" w:noVBand="0"/>
      </w:tblPr>
      <w:tblGrid>
        <w:gridCol w:w="3686"/>
        <w:gridCol w:w="992"/>
        <w:gridCol w:w="1134"/>
        <w:gridCol w:w="992"/>
        <w:gridCol w:w="993"/>
        <w:gridCol w:w="1134"/>
        <w:gridCol w:w="992"/>
      </w:tblGrid>
      <w:tr w:rsidR="00A3021A" w:rsidRPr="00701439" w14:paraId="519AE695" w14:textId="77777777">
        <w:tc>
          <w:tcPr>
            <w:tcW w:w="3686" w:type="dxa"/>
          </w:tcPr>
          <w:p w14:paraId="22AF8CC8" w14:textId="77777777" w:rsidR="00A3021A" w:rsidRPr="00701439" w:rsidRDefault="00A3021A">
            <w:pPr>
              <w:jc w:val="right"/>
              <w:rPr>
                <w:rFonts w:asciiTheme="minorHAnsi" w:hAnsiTheme="minorHAnsi" w:cs="Arial"/>
                <w:sz w:val="20"/>
                <w:szCs w:val="20"/>
              </w:rPr>
            </w:pPr>
          </w:p>
        </w:tc>
        <w:tc>
          <w:tcPr>
            <w:tcW w:w="3118" w:type="dxa"/>
            <w:gridSpan w:val="3"/>
          </w:tcPr>
          <w:p w14:paraId="43B8A01C" w14:textId="77777777" w:rsidR="00A3021A" w:rsidRPr="00701439" w:rsidRDefault="00A3021A">
            <w:pPr>
              <w:jc w:val="center"/>
              <w:rPr>
                <w:rFonts w:asciiTheme="minorHAnsi" w:hAnsiTheme="minorHAnsi" w:cs="Arial"/>
                <w:sz w:val="20"/>
                <w:szCs w:val="20"/>
              </w:rPr>
            </w:pPr>
            <w:r w:rsidRPr="00701439">
              <w:rPr>
                <w:rFonts w:asciiTheme="minorHAnsi" w:hAnsiTheme="minorHAnsi" w:cs="Arial"/>
                <w:sz w:val="20"/>
                <w:szCs w:val="20"/>
              </w:rPr>
              <w:t>2022</w:t>
            </w:r>
          </w:p>
        </w:tc>
        <w:tc>
          <w:tcPr>
            <w:tcW w:w="3119" w:type="dxa"/>
            <w:gridSpan w:val="3"/>
          </w:tcPr>
          <w:p w14:paraId="1CE328A4" w14:textId="77777777" w:rsidR="00A3021A" w:rsidRPr="00701439" w:rsidRDefault="00A3021A">
            <w:pPr>
              <w:jc w:val="center"/>
              <w:rPr>
                <w:rFonts w:asciiTheme="minorHAnsi" w:hAnsiTheme="minorHAnsi" w:cs="Arial"/>
                <w:sz w:val="20"/>
                <w:szCs w:val="20"/>
              </w:rPr>
            </w:pPr>
            <w:r w:rsidRPr="00701439">
              <w:rPr>
                <w:rFonts w:asciiTheme="minorHAnsi" w:hAnsiTheme="minorHAnsi" w:cs="Arial"/>
                <w:sz w:val="20"/>
                <w:szCs w:val="20"/>
              </w:rPr>
              <w:t>2021</w:t>
            </w:r>
          </w:p>
        </w:tc>
      </w:tr>
      <w:tr w:rsidR="00A3021A" w:rsidRPr="00701439" w14:paraId="52C06BD1" w14:textId="77777777">
        <w:tc>
          <w:tcPr>
            <w:tcW w:w="3686" w:type="dxa"/>
          </w:tcPr>
          <w:p w14:paraId="3E8CB526" w14:textId="77777777" w:rsidR="00A3021A" w:rsidRPr="00701439" w:rsidRDefault="00A3021A">
            <w:pPr>
              <w:jc w:val="right"/>
              <w:rPr>
                <w:rFonts w:asciiTheme="minorHAnsi" w:hAnsiTheme="minorHAnsi" w:cs="Arial"/>
                <w:sz w:val="20"/>
                <w:szCs w:val="20"/>
              </w:rPr>
            </w:pPr>
          </w:p>
        </w:tc>
        <w:tc>
          <w:tcPr>
            <w:tcW w:w="992" w:type="dxa"/>
          </w:tcPr>
          <w:p w14:paraId="370E5689" w14:textId="77777777" w:rsidR="00A3021A" w:rsidRPr="00701439" w:rsidRDefault="00A3021A">
            <w:pPr>
              <w:jc w:val="right"/>
              <w:rPr>
                <w:rFonts w:asciiTheme="minorHAnsi" w:hAnsiTheme="minorHAnsi" w:cs="Arial"/>
                <w:sz w:val="20"/>
                <w:szCs w:val="20"/>
              </w:rPr>
            </w:pPr>
          </w:p>
          <w:p w14:paraId="3C1A968B" w14:textId="77777777" w:rsidR="00A3021A" w:rsidRPr="00701439" w:rsidRDefault="00A3021A">
            <w:pPr>
              <w:jc w:val="right"/>
              <w:rPr>
                <w:rFonts w:asciiTheme="minorHAnsi" w:hAnsiTheme="minorHAnsi" w:cs="Arial"/>
                <w:sz w:val="20"/>
                <w:szCs w:val="20"/>
              </w:rPr>
            </w:pPr>
          </w:p>
          <w:p w14:paraId="630E24FE" w14:textId="77777777" w:rsidR="00A3021A" w:rsidRPr="00701439" w:rsidRDefault="00A3021A">
            <w:pPr>
              <w:jc w:val="right"/>
              <w:rPr>
                <w:rFonts w:asciiTheme="minorHAnsi" w:hAnsiTheme="minorHAnsi" w:cs="Arial"/>
                <w:sz w:val="20"/>
                <w:szCs w:val="20"/>
              </w:rPr>
            </w:pPr>
          </w:p>
          <w:p w14:paraId="30ADFD97"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Earnings </w:t>
            </w:r>
          </w:p>
        </w:tc>
        <w:tc>
          <w:tcPr>
            <w:tcW w:w="1134" w:type="dxa"/>
          </w:tcPr>
          <w:p w14:paraId="1DE6511D"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 xml:space="preserve">Weighted  </w:t>
            </w:r>
          </w:p>
          <w:p w14:paraId="27C29569"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 xml:space="preserve">average  </w:t>
            </w:r>
          </w:p>
          <w:p w14:paraId="6EEAA8BF"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 xml:space="preserve">number  </w:t>
            </w:r>
          </w:p>
          <w:p w14:paraId="3B588BCB"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of shares </w:t>
            </w:r>
          </w:p>
        </w:tc>
        <w:tc>
          <w:tcPr>
            <w:tcW w:w="992" w:type="dxa"/>
          </w:tcPr>
          <w:p w14:paraId="4EF7AD82" w14:textId="77777777" w:rsidR="00A3021A" w:rsidRPr="00701439" w:rsidRDefault="00A3021A">
            <w:pPr>
              <w:jc w:val="right"/>
              <w:rPr>
                <w:rFonts w:asciiTheme="minorHAnsi" w:hAnsiTheme="minorHAnsi" w:cs="Arial"/>
                <w:sz w:val="20"/>
                <w:szCs w:val="20"/>
              </w:rPr>
            </w:pPr>
          </w:p>
          <w:p w14:paraId="0EC82800"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 xml:space="preserve">Per  </w:t>
            </w:r>
          </w:p>
          <w:p w14:paraId="2FB33E53"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 xml:space="preserve">share  </w:t>
            </w:r>
          </w:p>
          <w:p w14:paraId="0A6AC415"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amount </w:t>
            </w:r>
          </w:p>
        </w:tc>
        <w:tc>
          <w:tcPr>
            <w:tcW w:w="993" w:type="dxa"/>
          </w:tcPr>
          <w:p w14:paraId="3CF10982" w14:textId="77777777" w:rsidR="00A3021A" w:rsidRPr="00701439" w:rsidRDefault="00A3021A">
            <w:pPr>
              <w:jc w:val="right"/>
              <w:rPr>
                <w:rFonts w:asciiTheme="minorHAnsi" w:hAnsiTheme="minorHAnsi" w:cs="Arial"/>
                <w:sz w:val="20"/>
                <w:szCs w:val="20"/>
              </w:rPr>
            </w:pPr>
          </w:p>
          <w:p w14:paraId="06069CB1" w14:textId="77777777" w:rsidR="00A3021A" w:rsidRPr="00701439" w:rsidRDefault="00A3021A">
            <w:pPr>
              <w:jc w:val="right"/>
              <w:rPr>
                <w:rFonts w:asciiTheme="minorHAnsi" w:hAnsiTheme="minorHAnsi" w:cs="Arial"/>
                <w:sz w:val="20"/>
                <w:szCs w:val="20"/>
              </w:rPr>
            </w:pPr>
          </w:p>
          <w:p w14:paraId="46B5EB52" w14:textId="77777777" w:rsidR="00A3021A" w:rsidRPr="00701439" w:rsidRDefault="00A3021A">
            <w:pPr>
              <w:jc w:val="right"/>
              <w:rPr>
                <w:rFonts w:asciiTheme="minorHAnsi" w:hAnsiTheme="minorHAnsi" w:cs="Arial"/>
                <w:sz w:val="20"/>
                <w:szCs w:val="20"/>
              </w:rPr>
            </w:pPr>
          </w:p>
          <w:p w14:paraId="4C118B65"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Loss </w:t>
            </w:r>
          </w:p>
        </w:tc>
        <w:tc>
          <w:tcPr>
            <w:tcW w:w="1134" w:type="dxa"/>
          </w:tcPr>
          <w:p w14:paraId="581D7D07"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 xml:space="preserve">Weighted  </w:t>
            </w:r>
          </w:p>
          <w:p w14:paraId="7E525F7D"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 xml:space="preserve">average  </w:t>
            </w:r>
          </w:p>
          <w:p w14:paraId="39263878"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 xml:space="preserve">number  </w:t>
            </w:r>
          </w:p>
          <w:p w14:paraId="0A512964"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of shares </w:t>
            </w:r>
          </w:p>
        </w:tc>
        <w:tc>
          <w:tcPr>
            <w:tcW w:w="992" w:type="dxa"/>
          </w:tcPr>
          <w:p w14:paraId="66AD93FA" w14:textId="77777777" w:rsidR="00A3021A" w:rsidRPr="00701439" w:rsidRDefault="00A3021A">
            <w:pPr>
              <w:jc w:val="right"/>
              <w:rPr>
                <w:rFonts w:asciiTheme="minorHAnsi" w:hAnsiTheme="minorHAnsi" w:cs="Arial"/>
                <w:sz w:val="20"/>
                <w:szCs w:val="20"/>
              </w:rPr>
            </w:pPr>
          </w:p>
          <w:p w14:paraId="2C12D5EF"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 xml:space="preserve">Per   </w:t>
            </w:r>
          </w:p>
          <w:p w14:paraId="69A5EBD1"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share </w:t>
            </w:r>
          </w:p>
          <w:p w14:paraId="1D54A165"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 xml:space="preserve">  amount  </w:t>
            </w:r>
          </w:p>
        </w:tc>
      </w:tr>
      <w:tr w:rsidR="00A3021A" w:rsidRPr="00701439" w14:paraId="6BF2AA62" w14:textId="77777777">
        <w:tc>
          <w:tcPr>
            <w:tcW w:w="3686" w:type="dxa"/>
          </w:tcPr>
          <w:p w14:paraId="3AF51FBF"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Group</w:t>
            </w:r>
          </w:p>
        </w:tc>
        <w:tc>
          <w:tcPr>
            <w:tcW w:w="992" w:type="dxa"/>
            <w:tcBorders>
              <w:top w:val="nil"/>
              <w:left w:val="nil"/>
              <w:bottom w:val="single" w:sz="4" w:space="0" w:color="auto"/>
              <w:right w:val="nil"/>
            </w:tcBorders>
          </w:tcPr>
          <w:p w14:paraId="68CFAEA9" w14:textId="77777777" w:rsidR="00A3021A" w:rsidRPr="00701439" w:rsidRDefault="00A3021A">
            <w:pPr>
              <w:jc w:val="right"/>
              <w:rPr>
                <w:rFonts w:asciiTheme="minorHAnsi" w:hAnsiTheme="minorHAnsi" w:cs="Arial"/>
                <w:sz w:val="20"/>
                <w:szCs w:val="20"/>
                <w:lang w:val="fr-FR"/>
              </w:rPr>
            </w:pPr>
            <w:r w:rsidRPr="00701439">
              <w:rPr>
                <w:rFonts w:asciiTheme="minorHAnsi" w:hAnsiTheme="minorHAnsi" w:cs="Arial"/>
                <w:sz w:val="20"/>
                <w:szCs w:val="20"/>
                <w:lang w:val="fr-FR"/>
              </w:rPr>
              <w:t>£m </w:t>
            </w:r>
          </w:p>
        </w:tc>
        <w:tc>
          <w:tcPr>
            <w:tcW w:w="1134" w:type="dxa"/>
            <w:tcBorders>
              <w:top w:val="nil"/>
              <w:left w:val="nil"/>
              <w:bottom w:val="single" w:sz="4" w:space="0" w:color="auto"/>
              <w:right w:val="nil"/>
            </w:tcBorders>
          </w:tcPr>
          <w:p w14:paraId="026C8627" w14:textId="77777777" w:rsidR="00A3021A" w:rsidRPr="00701439" w:rsidRDefault="00A3021A">
            <w:pPr>
              <w:jc w:val="right"/>
              <w:rPr>
                <w:rFonts w:asciiTheme="minorHAnsi" w:hAnsiTheme="minorHAnsi" w:cs="Arial"/>
                <w:sz w:val="20"/>
                <w:szCs w:val="20"/>
                <w:lang w:val="fr-FR"/>
              </w:rPr>
            </w:pPr>
            <w:proofErr w:type="gramStart"/>
            <w:r w:rsidRPr="00701439">
              <w:rPr>
                <w:rFonts w:asciiTheme="minorHAnsi" w:hAnsiTheme="minorHAnsi" w:cs="Arial"/>
                <w:sz w:val="20"/>
                <w:szCs w:val="20"/>
                <w:lang w:val="fr-FR"/>
              </w:rPr>
              <w:t>m</w:t>
            </w:r>
            <w:proofErr w:type="gramEnd"/>
            <w:r w:rsidRPr="00701439">
              <w:rPr>
                <w:rFonts w:asciiTheme="minorHAnsi" w:hAnsiTheme="minorHAnsi" w:cs="Arial"/>
                <w:sz w:val="20"/>
                <w:szCs w:val="20"/>
                <w:lang w:val="fr-FR"/>
              </w:rPr>
              <w:t> </w:t>
            </w:r>
          </w:p>
        </w:tc>
        <w:tc>
          <w:tcPr>
            <w:tcW w:w="992" w:type="dxa"/>
            <w:tcBorders>
              <w:top w:val="nil"/>
              <w:left w:val="nil"/>
              <w:bottom w:val="single" w:sz="4" w:space="0" w:color="auto"/>
              <w:right w:val="nil"/>
            </w:tcBorders>
          </w:tcPr>
          <w:p w14:paraId="18634A35" w14:textId="77777777" w:rsidR="00A3021A" w:rsidRPr="00701439" w:rsidRDefault="00A3021A">
            <w:pPr>
              <w:jc w:val="right"/>
              <w:rPr>
                <w:rFonts w:asciiTheme="minorHAnsi" w:hAnsiTheme="minorHAnsi" w:cs="Arial"/>
                <w:sz w:val="20"/>
                <w:szCs w:val="20"/>
                <w:lang w:val="fr-FR"/>
              </w:rPr>
            </w:pPr>
            <w:proofErr w:type="gramStart"/>
            <w:r w:rsidRPr="00701439">
              <w:rPr>
                <w:rFonts w:asciiTheme="minorHAnsi" w:hAnsiTheme="minorHAnsi" w:cs="Arial"/>
                <w:sz w:val="20"/>
                <w:szCs w:val="20"/>
                <w:lang w:val="fr-FR"/>
              </w:rPr>
              <w:t>pence</w:t>
            </w:r>
            <w:proofErr w:type="gramEnd"/>
            <w:r w:rsidRPr="00701439">
              <w:rPr>
                <w:rFonts w:asciiTheme="minorHAnsi" w:hAnsiTheme="minorHAnsi" w:cs="Arial"/>
                <w:sz w:val="20"/>
                <w:szCs w:val="20"/>
                <w:lang w:val="fr-FR"/>
              </w:rPr>
              <w:t> </w:t>
            </w:r>
          </w:p>
        </w:tc>
        <w:tc>
          <w:tcPr>
            <w:tcW w:w="993" w:type="dxa"/>
            <w:tcBorders>
              <w:top w:val="nil"/>
              <w:left w:val="nil"/>
              <w:bottom w:val="single" w:sz="4" w:space="0" w:color="auto"/>
              <w:right w:val="nil"/>
            </w:tcBorders>
          </w:tcPr>
          <w:p w14:paraId="34228409" w14:textId="77777777" w:rsidR="00A3021A" w:rsidRPr="00701439" w:rsidRDefault="00A3021A">
            <w:pPr>
              <w:jc w:val="right"/>
              <w:rPr>
                <w:rFonts w:asciiTheme="minorHAnsi" w:hAnsiTheme="minorHAnsi" w:cs="Arial"/>
                <w:sz w:val="20"/>
                <w:szCs w:val="20"/>
                <w:lang w:val="fr-FR"/>
              </w:rPr>
            </w:pPr>
            <w:r w:rsidRPr="00701439">
              <w:rPr>
                <w:rFonts w:asciiTheme="minorHAnsi" w:hAnsiTheme="minorHAnsi" w:cs="Arial"/>
                <w:sz w:val="20"/>
                <w:szCs w:val="20"/>
                <w:lang w:val="fr-FR"/>
              </w:rPr>
              <w:t>£m </w:t>
            </w:r>
          </w:p>
        </w:tc>
        <w:tc>
          <w:tcPr>
            <w:tcW w:w="1134" w:type="dxa"/>
            <w:tcBorders>
              <w:top w:val="nil"/>
              <w:left w:val="nil"/>
              <w:bottom w:val="single" w:sz="4" w:space="0" w:color="auto"/>
              <w:right w:val="nil"/>
            </w:tcBorders>
          </w:tcPr>
          <w:p w14:paraId="2B302144" w14:textId="77777777" w:rsidR="00A3021A" w:rsidRPr="00701439" w:rsidRDefault="00A3021A">
            <w:pPr>
              <w:jc w:val="right"/>
              <w:rPr>
                <w:rFonts w:asciiTheme="minorHAnsi" w:hAnsiTheme="minorHAnsi" w:cs="Arial"/>
                <w:sz w:val="20"/>
                <w:szCs w:val="20"/>
                <w:lang w:val="fr-FR"/>
              </w:rPr>
            </w:pPr>
            <w:proofErr w:type="gramStart"/>
            <w:r w:rsidRPr="00701439">
              <w:rPr>
                <w:rFonts w:asciiTheme="minorHAnsi" w:hAnsiTheme="minorHAnsi" w:cs="Arial"/>
                <w:sz w:val="20"/>
                <w:szCs w:val="20"/>
                <w:lang w:val="fr-FR"/>
              </w:rPr>
              <w:t>m</w:t>
            </w:r>
            <w:proofErr w:type="gramEnd"/>
            <w:r w:rsidRPr="00701439">
              <w:rPr>
                <w:rFonts w:asciiTheme="minorHAnsi" w:hAnsiTheme="minorHAnsi" w:cs="Arial"/>
                <w:sz w:val="20"/>
                <w:szCs w:val="20"/>
                <w:lang w:val="fr-FR"/>
              </w:rPr>
              <w:t> </w:t>
            </w:r>
          </w:p>
        </w:tc>
        <w:tc>
          <w:tcPr>
            <w:tcW w:w="992" w:type="dxa"/>
            <w:tcBorders>
              <w:top w:val="nil"/>
              <w:left w:val="nil"/>
              <w:bottom w:val="single" w:sz="4" w:space="0" w:color="auto"/>
              <w:right w:val="nil"/>
            </w:tcBorders>
          </w:tcPr>
          <w:p w14:paraId="7078F8EE" w14:textId="77777777" w:rsidR="00A3021A" w:rsidRPr="00701439" w:rsidRDefault="00A3021A">
            <w:pPr>
              <w:jc w:val="right"/>
              <w:rPr>
                <w:rFonts w:asciiTheme="minorHAnsi" w:hAnsiTheme="minorHAnsi" w:cs="Arial"/>
                <w:sz w:val="20"/>
                <w:szCs w:val="20"/>
                <w:lang w:val="fr-FR"/>
              </w:rPr>
            </w:pPr>
            <w:proofErr w:type="gramStart"/>
            <w:r w:rsidRPr="00701439">
              <w:rPr>
                <w:rFonts w:asciiTheme="minorHAnsi" w:hAnsiTheme="minorHAnsi" w:cs="Arial"/>
                <w:sz w:val="20"/>
                <w:szCs w:val="20"/>
                <w:lang w:val="fr-FR"/>
              </w:rPr>
              <w:t>pence</w:t>
            </w:r>
            <w:proofErr w:type="gramEnd"/>
            <w:r w:rsidRPr="00701439">
              <w:rPr>
                <w:rFonts w:asciiTheme="minorHAnsi" w:hAnsiTheme="minorHAnsi" w:cs="Arial"/>
                <w:sz w:val="20"/>
                <w:szCs w:val="20"/>
                <w:lang w:val="fr-FR"/>
              </w:rPr>
              <w:t> </w:t>
            </w:r>
          </w:p>
        </w:tc>
      </w:tr>
      <w:tr w:rsidR="00A3021A" w:rsidRPr="00701439" w14:paraId="59A517CA" w14:textId="77777777">
        <w:tc>
          <w:tcPr>
            <w:tcW w:w="3686" w:type="dxa"/>
            <w:vAlign w:val="bottom"/>
          </w:tcPr>
          <w:p w14:paraId="577F6F68" w14:textId="77777777" w:rsidR="00A3021A" w:rsidRPr="00701439" w:rsidRDefault="00A3021A">
            <w:pPr>
              <w:rPr>
                <w:rFonts w:asciiTheme="minorHAnsi" w:hAnsiTheme="minorHAnsi" w:cs="Arial"/>
                <w:b/>
                <w:sz w:val="20"/>
                <w:szCs w:val="20"/>
              </w:rPr>
            </w:pPr>
            <w:r w:rsidRPr="00701439">
              <w:rPr>
                <w:rFonts w:asciiTheme="minorHAnsi" w:hAnsiTheme="minorHAnsi" w:cs="Arial"/>
                <w:b/>
                <w:sz w:val="20"/>
                <w:szCs w:val="20"/>
              </w:rPr>
              <w:t xml:space="preserve">Basic earnings/(loss) per share </w:t>
            </w:r>
          </w:p>
        </w:tc>
        <w:tc>
          <w:tcPr>
            <w:tcW w:w="992" w:type="dxa"/>
            <w:tcBorders>
              <w:top w:val="single" w:sz="4" w:space="0" w:color="auto"/>
              <w:left w:val="nil"/>
              <w:right w:val="nil"/>
            </w:tcBorders>
            <w:vAlign w:val="bottom"/>
          </w:tcPr>
          <w:p w14:paraId="4EE1C1B8"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77.4</w:t>
            </w:r>
          </w:p>
        </w:tc>
        <w:tc>
          <w:tcPr>
            <w:tcW w:w="1134" w:type="dxa"/>
            <w:tcBorders>
              <w:top w:val="single" w:sz="4" w:space="0" w:color="auto"/>
              <w:left w:val="nil"/>
              <w:right w:val="nil"/>
            </w:tcBorders>
            <w:vAlign w:val="bottom"/>
          </w:tcPr>
          <w:p w14:paraId="45D1A0FC" w14:textId="77777777" w:rsidR="00A3021A" w:rsidRPr="00701439" w:rsidRDefault="00A3021A">
            <w:pPr>
              <w:ind w:left="-108"/>
              <w:jc w:val="right"/>
              <w:rPr>
                <w:rFonts w:asciiTheme="minorHAnsi" w:hAnsiTheme="minorHAnsi" w:cstheme="minorHAnsi"/>
                <w:sz w:val="20"/>
                <w:szCs w:val="20"/>
              </w:rPr>
            </w:pPr>
            <w:r w:rsidRPr="00701439">
              <w:rPr>
                <w:rFonts w:asciiTheme="minorHAnsi" w:hAnsiTheme="minorHAnsi" w:cstheme="minorHAnsi"/>
                <w:sz w:val="20"/>
                <w:szCs w:val="20"/>
              </w:rPr>
              <w:t>250.9</w:t>
            </w:r>
          </w:p>
        </w:tc>
        <w:tc>
          <w:tcPr>
            <w:tcW w:w="992" w:type="dxa"/>
            <w:tcBorders>
              <w:top w:val="single" w:sz="4" w:space="0" w:color="auto"/>
              <w:left w:val="nil"/>
              <w:right w:val="nil"/>
            </w:tcBorders>
            <w:vAlign w:val="bottom"/>
          </w:tcPr>
          <w:p w14:paraId="1619C807"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30.8</w:t>
            </w:r>
          </w:p>
        </w:tc>
        <w:tc>
          <w:tcPr>
            <w:tcW w:w="993" w:type="dxa"/>
            <w:tcBorders>
              <w:top w:val="single" w:sz="4" w:space="0" w:color="auto"/>
              <w:left w:val="nil"/>
              <w:right w:val="nil"/>
            </w:tcBorders>
            <w:vAlign w:val="bottom"/>
          </w:tcPr>
          <w:p w14:paraId="761B7E45"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(32.1)</w:t>
            </w:r>
          </w:p>
        </w:tc>
        <w:tc>
          <w:tcPr>
            <w:tcW w:w="1134" w:type="dxa"/>
            <w:tcBorders>
              <w:top w:val="single" w:sz="4" w:space="0" w:color="auto"/>
              <w:left w:val="nil"/>
              <w:right w:val="nil"/>
            </w:tcBorders>
            <w:vAlign w:val="bottom"/>
          </w:tcPr>
          <w:p w14:paraId="17C81315" w14:textId="77777777" w:rsidR="00A3021A" w:rsidRPr="00701439" w:rsidRDefault="00A3021A">
            <w:pPr>
              <w:ind w:left="-108"/>
              <w:jc w:val="right"/>
              <w:rPr>
                <w:rFonts w:asciiTheme="minorHAnsi" w:hAnsiTheme="minorHAnsi" w:cstheme="minorHAnsi"/>
                <w:sz w:val="20"/>
                <w:szCs w:val="20"/>
              </w:rPr>
            </w:pPr>
            <w:r w:rsidRPr="00701439">
              <w:rPr>
                <w:rFonts w:asciiTheme="minorHAnsi" w:hAnsiTheme="minorHAnsi" w:cstheme="minorHAnsi"/>
                <w:sz w:val="20"/>
                <w:szCs w:val="20"/>
              </w:rPr>
              <w:t>250.7</w:t>
            </w:r>
          </w:p>
        </w:tc>
        <w:tc>
          <w:tcPr>
            <w:tcW w:w="992" w:type="dxa"/>
            <w:tcBorders>
              <w:top w:val="single" w:sz="4" w:space="0" w:color="auto"/>
              <w:left w:val="nil"/>
              <w:right w:val="nil"/>
            </w:tcBorders>
            <w:vAlign w:val="bottom"/>
          </w:tcPr>
          <w:p w14:paraId="7190C366"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(12.8)</w:t>
            </w:r>
          </w:p>
        </w:tc>
      </w:tr>
      <w:tr w:rsidR="00A3021A" w:rsidRPr="00701439" w14:paraId="2C2BA8A0" w14:textId="77777777">
        <w:trPr>
          <w:trHeight w:val="70"/>
        </w:trPr>
        <w:tc>
          <w:tcPr>
            <w:tcW w:w="3686" w:type="dxa"/>
            <w:vAlign w:val="bottom"/>
          </w:tcPr>
          <w:p w14:paraId="2D8E846A"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Amortisation of acquisition intangibles, net of tax</w:t>
            </w:r>
          </w:p>
        </w:tc>
        <w:tc>
          <w:tcPr>
            <w:tcW w:w="992" w:type="dxa"/>
            <w:tcBorders>
              <w:top w:val="nil"/>
              <w:left w:val="nil"/>
              <w:right w:val="nil"/>
            </w:tcBorders>
            <w:vAlign w:val="bottom"/>
          </w:tcPr>
          <w:p w14:paraId="4F7A9CCA"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6.1</w:t>
            </w:r>
          </w:p>
        </w:tc>
        <w:tc>
          <w:tcPr>
            <w:tcW w:w="1134" w:type="dxa"/>
            <w:tcBorders>
              <w:top w:val="nil"/>
              <w:left w:val="nil"/>
              <w:right w:val="nil"/>
            </w:tcBorders>
            <w:vAlign w:val="bottom"/>
          </w:tcPr>
          <w:p w14:paraId="2DDDD9C2"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w:t>
            </w:r>
          </w:p>
        </w:tc>
        <w:tc>
          <w:tcPr>
            <w:tcW w:w="992" w:type="dxa"/>
            <w:tcBorders>
              <w:top w:val="nil"/>
              <w:left w:val="nil"/>
              <w:right w:val="nil"/>
            </w:tcBorders>
            <w:vAlign w:val="bottom"/>
          </w:tcPr>
          <w:p w14:paraId="32F7C24A"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2.4</w:t>
            </w:r>
          </w:p>
        </w:tc>
        <w:tc>
          <w:tcPr>
            <w:tcW w:w="993" w:type="dxa"/>
            <w:tcBorders>
              <w:top w:val="nil"/>
              <w:left w:val="nil"/>
              <w:right w:val="nil"/>
            </w:tcBorders>
            <w:vAlign w:val="bottom"/>
          </w:tcPr>
          <w:p w14:paraId="65E5706A"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 xml:space="preserve">           6.7</w:t>
            </w:r>
          </w:p>
        </w:tc>
        <w:tc>
          <w:tcPr>
            <w:tcW w:w="1134" w:type="dxa"/>
            <w:tcBorders>
              <w:top w:val="nil"/>
              <w:left w:val="nil"/>
              <w:right w:val="nil"/>
            </w:tcBorders>
            <w:vAlign w:val="bottom"/>
          </w:tcPr>
          <w:p w14:paraId="2E16830D"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w:t>
            </w:r>
          </w:p>
        </w:tc>
        <w:tc>
          <w:tcPr>
            <w:tcW w:w="992" w:type="dxa"/>
            <w:tcBorders>
              <w:top w:val="nil"/>
              <w:left w:val="nil"/>
              <w:right w:val="nil"/>
            </w:tcBorders>
            <w:vAlign w:val="bottom"/>
          </w:tcPr>
          <w:p w14:paraId="30AE5CD2"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2.7</w:t>
            </w:r>
          </w:p>
        </w:tc>
      </w:tr>
      <w:tr w:rsidR="00A3021A" w:rsidRPr="00701439" w14:paraId="664C8F33" w14:textId="77777777">
        <w:tc>
          <w:tcPr>
            <w:tcW w:w="3686" w:type="dxa"/>
            <w:vAlign w:val="bottom"/>
          </w:tcPr>
          <w:p w14:paraId="21F0CEC7"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Exceptional items, net of tax</w:t>
            </w:r>
          </w:p>
        </w:tc>
        <w:tc>
          <w:tcPr>
            <w:tcW w:w="992" w:type="dxa"/>
            <w:tcBorders>
              <w:left w:val="nil"/>
              <w:bottom w:val="single" w:sz="4" w:space="0" w:color="auto"/>
              <w:right w:val="nil"/>
            </w:tcBorders>
            <w:vAlign w:val="bottom"/>
          </w:tcPr>
          <w:p w14:paraId="2E397B2A"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5.0</w:t>
            </w:r>
          </w:p>
        </w:tc>
        <w:tc>
          <w:tcPr>
            <w:tcW w:w="1134" w:type="dxa"/>
            <w:tcBorders>
              <w:left w:val="nil"/>
              <w:bottom w:val="single" w:sz="4" w:space="0" w:color="auto"/>
              <w:right w:val="nil"/>
            </w:tcBorders>
            <w:vAlign w:val="bottom"/>
          </w:tcPr>
          <w:p w14:paraId="6E36D00C"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w:t>
            </w:r>
          </w:p>
        </w:tc>
        <w:tc>
          <w:tcPr>
            <w:tcW w:w="992" w:type="dxa"/>
            <w:tcBorders>
              <w:left w:val="nil"/>
              <w:bottom w:val="single" w:sz="4" w:space="0" w:color="auto"/>
              <w:right w:val="nil"/>
            </w:tcBorders>
            <w:vAlign w:val="bottom"/>
          </w:tcPr>
          <w:p w14:paraId="47D85BBD"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2.0</w:t>
            </w:r>
          </w:p>
        </w:tc>
        <w:tc>
          <w:tcPr>
            <w:tcW w:w="993" w:type="dxa"/>
            <w:tcBorders>
              <w:left w:val="nil"/>
              <w:bottom w:val="single" w:sz="4" w:space="0" w:color="auto"/>
              <w:right w:val="nil"/>
            </w:tcBorders>
            <w:vAlign w:val="bottom"/>
          </w:tcPr>
          <w:p w14:paraId="52443368"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50.5</w:t>
            </w:r>
          </w:p>
        </w:tc>
        <w:tc>
          <w:tcPr>
            <w:tcW w:w="1134" w:type="dxa"/>
            <w:tcBorders>
              <w:left w:val="nil"/>
              <w:bottom w:val="single" w:sz="4" w:space="0" w:color="auto"/>
              <w:right w:val="nil"/>
            </w:tcBorders>
            <w:vAlign w:val="bottom"/>
          </w:tcPr>
          <w:p w14:paraId="1D74FD24"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w:t>
            </w:r>
          </w:p>
        </w:tc>
        <w:tc>
          <w:tcPr>
            <w:tcW w:w="992" w:type="dxa"/>
            <w:tcBorders>
              <w:left w:val="nil"/>
              <w:bottom w:val="single" w:sz="4" w:space="0" w:color="auto"/>
              <w:right w:val="nil"/>
            </w:tcBorders>
            <w:vAlign w:val="bottom"/>
          </w:tcPr>
          <w:p w14:paraId="2C20182F"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20.1</w:t>
            </w:r>
          </w:p>
        </w:tc>
      </w:tr>
      <w:tr w:rsidR="00A3021A" w:rsidRPr="00701439" w14:paraId="61909E95" w14:textId="77777777">
        <w:trPr>
          <w:trHeight w:val="223"/>
        </w:trPr>
        <w:tc>
          <w:tcPr>
            <w:tcW w:w="3686" w:type="dxa"/>
            <w:vAlign w:val="bottom"/>
          </w:tcPr>
          <w:p w14:paraId="221E8659" w14:textId="77777777" w:rsidR="00A3021A" w:rsidRPr="00701439" w:rsidRDefault="00A3021A">
            <w:pPr>
              <w:rPr>
                <w:rFonts w:asciiTheme="minorHAnsi" w:hAnsiTheme="minorHAnsi" w:cs="Arial"/>
                <w:b/>
                <w:sz w:val="20"/>
                <w:szCs w:val="20"/>
              </w:rPr>
            </w:pPr>
            <w:r w:rsidRPr="00701439">
              <w:rPr>
                <w:rFonts w:asciiTheme="minorHAnsi" w:hAnsiTheme="minorHAnsi" w:cs="Arial"/>
                <w:b/>
                <w:sz w:val="20"/>
                <w:szCs w:val="20"/>
              </w:rPr>
              <w:t xml:space="preserve">Adjusted basic earnings per share </w:t>
            </w:r>
          </w:p>
        </w:tc>
        <w:tc>
          <w:tcPr>
            <w:tcW w:w="992" w:type="dxa"/>
            <w:tcBorders>
              <w:top w:val="single" w:sz="4" w:space="0" w:color="auto"/>
              <w:left w:val="nil"/>
              <w:bottom w:val="single" w:sz="12" w:space="0" w:color="auto"/>
              <w:right w:val="nil"/>
            </w:tcBorders>
            <w:vAlign w:val="bottom"/>
          </w:tcPr>
          <w:p w14:paraId="0814D09D"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88.5</w:t>
            </w:r>
          </w:p>
        </w:tc>
        <w:tc>
          <w:tcPr>
            <w:tcW w:w="1134" w:type="dxa"/>
            <w:tcBorders>
              <w:top w:val="single" w:sz="4" w:space="0" w:color="auto"/>
              <w:left w:val="nil"/>
              <w:bottom w:val="single" w:sz="12" w:space="0" w:color="auto"/>
              <w:right w:val="nil"/>
            </w:tcBorders>
            <w:vAlign w:val="bottom"/>
          </w:tcPr>
          <w:p w14:paraId="2193C711"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250.9</w:t>
            </w:r>
          </w:p>
        </w:tc>
        <w:tc>
          <w:tcPr>
            <w:tcW w:w="992" w:type="dxa"/>
            <w:tcBorders>
              <w:top w:val="single" w:sz="4" w:space="0" w:color="auto"/>
              <w:left w:val="nil"/>
              <w:bottom w:val="single" w:sz="12" w:space="0" w:color="auto"/>
              <w:right w:val="nil"/>
            </w:tcBorders>
            <w:vAlign w:val="bottom"/>
          </w:tcPr>
          <w:p w14:paraId="3D489B36" w14:textId="5C9CC735"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35.</w:t>
            </w:r>
            <w:r w:rsidR="006218D0" w:rsidRPr="00701439">
              <w:rPr>
                <w:rFonts w:asciiTheme="minorHAnsi" w:hAnsiTheme="minorHAnsi" w:cstheme="minorHAnsi"/>
                <w:sz w:val="20"/>
                <w:szCs w:val="20"/>
              </w:rPr>
              <w:t>2</w:t>
            </w:r>
          </w:p>
        </w:tc>
        <w:tc>
          <w:tcPr>
            <w:tcW w:w="993" w:type="dxa"/>
            <w:tcBorders>
              <w:top w:val="single" w:sz="4" w:space="0" w:color="auto"/>
              <w:left w:val="nil"/>
              <w:bottom w:val="single" w:sz="12" w:space="0" w:color="auto"/>
              <w:right w:val="nil"/>
            </w:tcBorders>
            <w:vAlign w:val="bottom"/>
          </w:tcPr>
          <w:p w14:paraId="25773DC3"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25.1</w:t>
            </w:r>
          </w:p>
        </w:tc>
        <w:tc>
          <w:tcPr>
            <w:tcW w:w="1134" w:type="dxa"/>
            <w:tcBorders>
              <w:top w:val="single" w:sz="4" w:space="0" w:color="auto"/>
              <w:left w:val="nil"/>
              <w:bottom w:val="single" w:sz="12" w:space="0" w:color="auto"/>
              <w:right w:val="nil"/>
            </w:tcBorders>
            <w:vAlign w:val="bottom"/>
          </w:tcPr>
          <w:p w14:paraId="6A891ED4"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250.7</w:t>
            </w:r>
          </w:p>
        </w:tc>
        <w:tc>
          <w:tcPr>
            <w:tcW w:w="992" w:type="dxa"/>
            <w:tcBorders>
              <w:top w:val="single" w:sz="4" w:space="0" w:color="auto"/>
              <w:left w:val="nil"/>
              <w:bottom w:val="single" w:sz="12" w:space="0" w:color="auto"/>
              <w:right w:val="nil"/>
            </w:tcBorders>
            <w:vAlign w:val="bottom"/>
          </w:tcPr>
          <w:p w14:paraId="2970A5AD"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10.0</w:t>
            </w:r>
          </w:p>
        </w:tc>
      </w:tr>
      <w:tr w:rsidR="00A3021A" w:rsidRPr="00701439" w14:paraId="364AEB36" w14:textId="77777777">
        <w:trPr>
          <w:trHeight w:val="223"/>
        </w:trPr>
        <w:tc>
          <w:tcPr>
            <w:tcW w:w="3686" w:type="dxa"/>
            <w:vAlign w:val="bottom"/>
          </w:tcPr>
          <w:p w14:paraId="0420B7F0" w14:textId="77777777" w:rsidR="00A3021A" w:rsidRPr="00701439" w:rsidRDefault="00A3021A">
            <w:pPr>
              <w:rPr>
                <w:rFonts w:asciiTheme="minorHAnsi" w:hAnsiTheme="minorHAnsi" w:cs="Arial"/>
                <w:b/>
                <w:bCs/>
                <w:sz w:val="20"/>
                <w:szCs w:val="20"/>
              </w:rPr>
            </w:pPr>
          </w:p>
        </w:tc>
        <w:tc>
          <w:tcPr>
            <w:tcW w:w="992" w:type="dxa"/>
            <w:tcBorders>
              <w:top w:val="single" w:sz="12" w:space="0" w:color="auto"/>
              <w:left w:val="nil"/>
              <w:right w:val="nil"/>
            </w:tcBorders>
          </w:tcPr>
          <w:p w14:paraId="763D24B0" w14:textId="77777777" w:rsidR="00A3021A" w:rsidRPr="00701439" w:rsidRDefault="00A3021A">
            <w:pPr>
              <w:jc w:val="right"/>
              <w:rPr>
                <w:rFonts w:asciiTheme="minorHAnsi" w:hAnsiTheme="minorHAnsi" w:cstheme="minorHAnsi"/>
                <w:sz w:val="20"/>
                <w:szCs w:val="20"/>
              </w:rPr>
            </w:pPr>
          </w:p>
        </w:tc>
        <w:tc>
          <w:tcPr>
            <w:tcW w:w="1134" w:type="dxa"/>
            <w:tcBorders>
              <w:top w:val="single" w:sz="12" w:space="0" w:color="auto"/>
              <w:left w:val="nil"/>
              <w:right w:val="nil"/>
            </w:tcBorders>
          </w:tcPr>
          <w:p w14:paraId="22B55E1D" w14:textId="77777777" w:rsidR="00A3021A" w:rsidRPr="00701439" w:rsidRDefault="00A3021A">
            <w:pPr>
              <w:ind w:left="-108"/>
              <w:jc w:val="right"/>
              <w:rPr>
                <w:rFonts w:asciiTheme="minorHAnsi" w:hAnsiTheme="minorHAnsi" w:cstheme="minorHAnsi"/>
                <w:color w:val="000000" w:themeColor="text1"/>
                <w:sz w:val="20"/>
                <w:szCs w:val="20"/>
              </w:rPr>
            </w:pPr>
          </w:p>
        </w:tc>
        <w:tc>
          <w:tcPr>
            <w:tcW w:w="992" w:type="dxa"/>
            <w:tcBorders>
              <w:top w:val="single" w:sz="12" w:space="0" w:color="auto"/>
              <w:left w:val="nil"/>
              <w:right w:val="nil"/>
            </w:tcBorders>
          </w:tcPr>
          <w:p w14:paraId="22E840D9" w14:textId="77777777" w:rsidR="00A3021A" w:rsidRPr="00701439" w:rsidRDefault="00A3021A">
            <w:pPr>
              <w:jc w:val="right"/>
              <w:rPr>
                <w:rFonts w:asciiTheme="minorHAnsi" w:hAnsiTheme="minorHAnsi" w:cstheme="minorHAnsi"/>
                <w:color w:val="000000" w:themeColor="text1"/>
                <w:sz w:val="20"/>
                <w:szCs w:val="20"/>
              </w:rPr>
            </w:pPr>
          </w:p>
        </w:tc>
        <w:tc>
          <w:tcPr>
            <w:tcW w:w="993" w:type="dxa"/>
            <w:tcBorders>
              <w:top w:val="single" w:sz="12" w:space="0" w:color="auto"/>
              <w:left w:val="nil"/>
              <w:right w:val="nil"/>
            </w:tcBorders>
          </w:tcPr>
          <w:p w14:paraId="430C9528" w14:textId="77777777" w:rsidR="00A3021A" w:rsidRPr="00701439" w:rsidRDefault="00A3021A">
            <w:pPr>
              <w:jc w:val="right"/>
              <w:rPr>
                <w:rFonts w:asciiTheme="minorHAnsi" w:hAnsiTheme="minorHAnsi" w:cstheme="minorHAnsi"/>
                <w:sz w:val="20"/>
                <w:szCs w:val="20"/>
              </w:rPr>
            </w:pPr>
          </w:p>
        </w:tc>
        <w:tc>
          <w:tcPr>
            <w:tcW w:w="1134" w:type="dxa"/>
            <w:tcBorders>
              <w:top w:val="single" w:sz="12" w:space="0" w:color="auto"/>
              <w:left w:val="nil"/>
              <w:right w:val="nil"/>
            </w:tcBorders>
          </w:tcPr>
          <w:p w14:paraId="54C2EE94" w14:textId="77777777" w:rsidR="00A3021A" w:rsidRPr="00701439" w:rsidRDefault="00A3021A">
            <w:pPr>
              <w:ind w:left="-108"/>
              <w:jc w:val="right"/>
              <w:rPr>
                <w:rFonts w:asciiTheme="minorHAnsi" w:hAnsiTheme="minorHAnsi" w:cstheme="minorHAnsi"/>
                <w:sz w:val="20"/>
                <w:szCs w:val="20"/>
              </w:rPr>
            </w:pPr>
          </w:p>
        </w:tc>
        <w:tc>
          <w:tcPr>
            <w:tcW w:w="992" w:type="dxa"/>
            <w:tcBorders>
              <w:top w:val="single" w:sz="12" w:space="0" w:color="auto"/>
              <w:left w:val="nil"/>
              <w:right w:val="nil"/>
            </w:tcBorders>
          </w:tcPr>
          <w:p w14:paraId="554795CE" w14:textId="77777777" w:rsidR="00A3021A" w:rsidRPr="00701439" w:rsidRDefault="00A3021A">
            <w:pPr>
              <w:jc w:val="right"/>
              <w:rPr>
                <w:rFonts w:asciiTheme="minorHAnsi" w:hAnsiTheme="minorHAnsi" w:cstheme="minorHAnsi"/>
                <w:color w:val="FF0000"/>
                <w:sz w:val="20"/>
                <w:szCs w:val="20"/>
              </w:rPr>
            </w:pPr>
          </w:p>
        </w:tc>
      </w:tr>
      <w:tr w:rsidR="00A3021A" w:rsidRPr="00701439" w14:paraId="683CF1D2" w14:textId="77777777">
        <w:trPr>
          <w:trHeight w:val="223"/>
        </w:trPr>
        <w:tc>
          <w:tcPr>
            <w:tcW w:w="3686" w:type="dxa"/>
            <w:vAlign w:val="bottom"/>
          </w:tcPr>
          <w:p w14:paraId="732E3541" w14:textId="77777777" w:rsidR="00A3021A" w:rsidRPr="00701439" w:rsidRDefault="00A3021A">
            <w:pPr>
              <w:rPr>
                <w:rFonts w:asciiTheme="minorHAnsi" w:hAnsiTheme="minorHAnsi" w:cs="Arial"/>
                <w:b/>
                <w:sz w:val="20"/>
                <w:szCs w:val="20"/>
              </w:rPr>
            </w:pPr>
            <w:r w:rsidRPr="00701439">
              <w:rPr>
                <w:rFonts w:asciiTheme="minorHAnsi" w:hAnsiTheme="minorHAnsi" w:cs="Arial"/>
                <w:b/>
                <w:sz w:val="20"/>
                <w:szCs w:val="20"/>
              </w:rPr>
              <w:t xml:space="preserve">Diluted earnings/(loss) per share </w:t>
            </w:r>
          </w:p>
        </w:tc>
        <w:tc>
          <w:tcPr>
            <w:tcW w:w="992" w:type="dxa"/>
            <w:tcBorders>
              <w:left w:val="nil"/>
              <w:right w:val="nil"/>
            </w:tcBorders>
          </w:tcPr>
          <w:p w14:paraId="4EBDF91F"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77.4</w:t>
            </w:r>
          </w:p>
        </w:tc>
        <w:tc>
          <w:tcPr>
            <w:tcW w:w="1134" w:type="dxa"/>
            <w:tcBorders>
              <w:left w:val="nil"/>
              <w:right w:val="nil"/>
            </w:tcBorders>
          </w:tcPr>
          <w:p w14:paraId="690AF380" w14:textId="77777777" w:rsidR="00A3021A" w:rsidRPr="00701439" w:rsidRDefault="00A3021A">
            <w:pPr>
              <w:ind w:left="-108"/>
              <w:jc w:val="right"/>
              <w:rPr>
                <w:rFonts w:asciiTheme="minorHAnsi" w:hAnsiTheme="minorHAnsi" w:cstheme="minorHAnsi"/>
                <w:color w:val="000000" w:themeColor="text1"/>
                <w:sz w:val="20"/>
                <w:szCs w:val="20"/>
              </w:rPr>
            </w:pPr>
            <w:r w:rsidRPr="00701439">
              <w:rPr>
                <w:rFonts w:asciiTheme="minorHAnsi" w:hAnsiTheme="minorHAnsi" w:cstheme="minorHAnsi"/>
                <w:color w:val="000000" w:themeColor="text1"/>
                <w:sz w:val="20"/>
                <w:szCs w:val="20"/>
              </w:rPr>
              <w:t>253.7</w:t>
            </w:r>
          </w:p>
        </w:tc>
        <w:tc>
          <w:tcPr>
            <w:tcW w:w="992" w:type="dxa"/>
            <w:tcBorders>
              <w:left w:val="nil"/>
              <w:right w:val="nil"/>
            </w:tcBorders>
          </w:tcPr>
          <w:p w14:paraId="642C5C26" w14:textId="77777777" w:rsidR="00A3021A" w:rsidRPr="00701439" w:rsidRDefault="00A3021A">
            <w:pPr>
              <w:jc w:val="right"/>
              <w:rPr>
                <w:rFonts w:asciiTheme="minorHAnsi" w:hAnsiTheme="minorHAnsi" w:cstheme="minorHAnsi"/>
                <w:color w:val="000000" w:themeColor="text1"/>
                <w:sz w:val="20"/>
                <w:szCs w:val="20"/>
              </w:rPr>
            </w:pPr>
            <w:r w:rsidRPr="00701439">
              <w:rPr>
                <w:rFonts w:asciiTheme="minorHAnsi" w:hAnsiTheme="minorHAnsi" w:cstheme="minorHAnsi"/>
                <w:color w:val="000000" w:themeColor="text1"/>
                <w:sz w:val="20"/>
                <w:szCs w:val="20"/>
              </w:rPr>
              <w:t>30.5</w:t>
            </w:r>
          </w:p>
        </w:tc>
        <w:tc>
          <w:tcPr>
            <w:tcW w:w="993" w:type="dxa"/>
            <w:tcBorders>
              <w:left w:val="nil"/>
              <w:right w:val="nil"/>
            </w:tcBorders>
            <w:shd w:val="clear" w:color="auto" w:fill="auto"/>
          </w:tcPr>
          <w:p w14:paraId="14D8182A"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(32.1)</w:t>
            </w:r>
          </w:p>
        </w:tc>
        <w:tc>
          <w:tcPr>
            <w:tcW w:w="1134" w:type="dxa"/>
            <w:tcBorders>
              <w:left w:val="nil"/>
              <w:right w:val="nil"/>
            </w:tcBorders>
          </w:tcPr>
          <w:p w14:paraId="4123CE7C" w14:textId="77777777" w:rsidR="00A3021A" w:rsidRPr="00701439" w:rsidRDefault="00A3021A">
            <w:pPr>
              <w:ind w:left="-108"/>
              <w:jc w:val="right"/>
              <w:rPr>
                <w:rFonts w:asciiTheme="minorHAnsi" w:hAnsiTheme="minorHAnsi" w:cstheme="minorHAnsi"/>
                <w:sz w:val="20"/>
                <w:szCs w:val="20"/>
              </w:rPr>
            </w:pPr>
            <w:r w:rsidRPr="00701439">
              <w:rPr>
                <w:rFonts w:asciiTheme="minorHAnsi" w:hAnsiTheme="minorHAnsi" w:cstheme="minorHAnsi"/>
                <w:color w:val="000000" w:themeColor="text1"/>
                <w:sz w:val="20"/>
                <w:szCs w:val="20"/>
              </w:rPr>
              <w:t>252.0</w:t>
            </w:r>
          </w:p>
        </w:tc>
        <w:tc>
          <w:tcPr>
            <w:tcW w:w="992" w:type="dxa"/>
            <w:tcBorders>
              <w:left w:val="nil"/>
              <w:right w:val="nil"/>
            </w:tcBorders>
          </w:tcPr>
          <w:p w14:paraId="15B552FA"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color w:val="000000" w:themeColor="text1"/>
                <w:sz w:val="20"/>
                <w:szCs w:val="20"/>
              </w:rPr>
              <w:t>(12.7)</w:t>
            </w:r>
          </w:p>
        </w:tc>
      </w:tr>
      <w:tr w:rsidR="00A3021A" w:rsidRPr="00701439" w14:paraId="6F8B895F" w14:textId="77777777">
        <w:trPr>
          <w:trHeight w:val="223"/>
        </w:trPr>
        <w:tc>
          <w:tcPr>
            <w:tcW w:w="3686" w:type="dxa"/>
            <w:vAlign w:val="bottom"/>
          </w:tcPr>
          <w:p w14:paraId="0515FD8E"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Amortisation of acquisition intangibles, net of tax</w:t>
            </w:r>
          </w:p>
        </w:tc>
        <w:tc>
          <w:tcPr>
            <w:tcW w:w="992" w:type="dxa"/>
            <w:tcBorders>
              <w:left w:val="nil"/>
              <w:right w:val="nil"/>
            </w:tcBorders>
            <w:vAlign w:val="bottom"/>
          </w:tcPr>
          <w:p w14:paraId="37ACD228"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6.1</w:t>
            </w:r>
          </w:p>
        </w:tc>
        <w:tc>
          <w:tcPr>
            <w:tcW w:w="1134" w:type="dxa"/>
            <w:tcBorders>
              <w:left w:val="nil"/>
              <w:right w:val="nil"/>
            </w:tcBorders>
            <w:vAlign w:val="bottom"/>
          </w:tcPr>
          <w:p w14:paraId="7C070A64" w14:textId="77777777" w:rsidR="00A3021A" w:rsidRPr="00701439" w:rsidRDefault="00A3021A">
            <w:pPr>
              <w:jc w:val="right"/>
              <w:rPr>
                <w:rFonts w:asciiTheme="minorHAnsi" w:hAnsiTheme="minorHAnsi" w:cstheme="minorHAnsi"/>
                <w:color w:val="000000" w:themeColor="text1"/>
                <w:sz w:val="20"/>
                <w:szCs w:val="20"/>
              </w:rPr>
            </w:pPr>
            <w:r w:rsidRPr="00701439">
              <w:rPr>
                <w:rFonts w:asciiTheme="minorHAnsi" w:hAnsiTheme="minorHAnsi" w:cstheme="minorHAnsi"/>
                <w:color w:val="000000" w:themeColor="text1"/>
                <w:sz w:val="20"/>
                <w:szCs w:val="20"/>
              </w:rPr>
              <w:t>-</w:t>
            </w:r>
          </w:p>
        </w:tc>
        <w:tc>
          <w:tcPr>
            <w:tcW w:w="992" w:type="dxa"/>
            <w:tcBorders>
              <w:left w:val="nil"/>
              <w:right w:val="nil"/>
            </w:tcBorders>
            <w:vAlign w:val="bottom"/>
          </w:tcPr>
          <w:p w14:paraId="35269192"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2.4</w:t>
            </w:r>
          </w:p>
        </w:tc>
        <w:tc>
          <w:tcPr>
            <w:tcW w:w="993" w:type="dxa"/>
            <w:tcBorders>
              <w:left w:val="nil"/>
              <w:right w:val="nil"/>
            </w:tcBorders>
            <w:vAlign w:val="bottom"/>
          </w:tcPr>
          <w:p w14:paraId="23AB4F9A"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6.7</w:t>
            </w:r>
          </w:p>
        </w:tc>
        <w:tc>
          <w:tcPr>
            <w:tcW w:w="1134" w:type="dxa"/>
            <w:tcBorders>
              <w:left w:val="nil"/>
              <w:right w:val="nil"/>
            </w:tcBorders>
            <w:vAlign w:val="bottom"/>
          </w:tcPr>
          <w:p w14:paraId="7E199E4F"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color w:val="000000" w:themeColor="text1"/>
                <w:sz w:val="20"/>
                <w:szCs w:val="20"/>
              </w:rPr>
              <w:t>-</w:t>
            </w:r>
          </w:p>
        </w:tc>
        <w:tc>
          <w:tcPr>
            <w:tcW w:w="992" w:type="dxa"/>
            <w:tcBorders>
              <w:left w:val="nil"/>
              <w:right w:val="nil"/>
            </w:tcBorders>
            <w:vAlign w:val="bottom"/>
          </w:tcPr>
          <w:p w14:paraId="37DB34F6"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2.7</w:t>
            </w:r>
          </w:p>
        </w:tc>
      </w:tr>
      <w:tr w:rsidR="00A3021A" w:rsidRPr="00701439" w14:paraId="1D27C527" w14:textId="77777777">
        <w:trPr>
          <w:trHeight w:val="223"/>
        </w:trPr>
        <w:tc>
          <w:tcPr>
            <w:tcW w:w="3686" w:type="dxa"/>
            <w:vAlign w:val="bottom"/>
          </w:tcPr>
          <w:p w14:paraId="5721F0B4"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Exceptional items, net of tax</w:t>
            </w:r>
          </w:p>
        </w:tc>
        <w:tc>
          <w:tcPr>
            <w:tcW w:w="992" w:type="dxa"/>
            <w:tcBorders>
              <w:left w:val="nil"/>
              <w:bottom w:val="single" w:sz="4" w:space="0" w:color="auto"/>
              <w:right w:val="nil"/>
            </w:tcBorders>
            <w:vAlign w:val="bottom"/>
          </w:tcPr>
          <w:p w14:paraId="4C1C1882"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5.0</w:t>
            </w:r>
          </w:p>
        </w:tc>
        <w:tc>
          <w:tcPr>
            <w:tcW w:w="1134" w:type="dxa"/>
            <w:tcBorders>
              <w:left w:val="nil"/>
              <w:bottom w:val="single" w:sz="4" w:space="0" w:color="auto"/>
              <w:right w:val="nil"/>
            </w:tcBorders>
            <w:vAlign w:val="bottom"/>
          </w:tcPr>
          <w:p w14:paraId="6CE51B60" w14:textId="77777777" w:rsidR="00A3021A" w:rsidRPr="00701439" w:rsidRDefault="00A3021A">
            <w:pPr>
              <w:jc w:val="right"/>
              <w:rPr>
                <w:rFonts w:asciiTheme="minorHAnsi" w:hAnsiTheme="minorHAnsi" w:cstheme="minorHAnsi"/>
                <w:color w:val="000000" w:themeColor="text1"/>
                <w:sz w:val="20"/>
                <w:szCs w:val="20"/>
              </w:rPr>
            </w:pPr>
            <w:r w:rsidRPr="00701439">
              <w:rPr>
                <w:rFonts w:asciiTheme="minorHAnsi" w:hAnsiTheme="minorHAnsi" w:cstheme="minorHAnsi"/>
                <w:color w:val="000000" w:themeColor="text1"/>
                <w:sz w:val="20"/>
                <w:szCs w:val="20"/>
              </w:rPr>
              <w:t>-</w:t>
            </w:r>
          </w:p>
        </w:tc>
        <w:tc>
          <w:tcPr>
            <w:tcW w:w="992" w:type="dxa"/>
            <w:tcBorders>
              <w:left w:val="nil"/>
              <w:bottom w:val="single" w:sz="4" w:space="0" w:color="auto"/>
              <w:right w:val="nil"/>
            </w:tcBorders>
            <w:vAlign w:val="bottom"/>
          </w:tcPr>
          <w:p w14:paraId="2C581E26" w14:textId="05931E0A" w:rsidR="00A3021A" w:rsidRPr="00701439" w:rsidRDefault="00407FB4">
            <w:pPr>
              <w:jc w:val="right"/>
              <w:rPr>
                <w:rFonts w:asciiTheme="minorHAnsi" w:hAnsiTheme="minorHAnsi" w:cstheme="minorHAnsi"/>
                <w:sz w:val="20"/>
                <w:szCs w:val="20"/>
              </w:rPr>
            </w:pPr>
            <w:r w:rsidRPr="00701439">
              <w:rPr>
                <w:rFonts w:asciiTheme="minorHAnsi" w:hAnsiTheme="minorHAnsi" w:cstheme="minorHAnsi"/>
                <w:sz w:val="20"/>
                <w:szCs w:val="20"/>
              </w:rPr>
              <w:t>2.0</w:t>
            </w:r>
          </w:p>
        </w:tc>
        <w:tc>
          <w:tcPr>
            <w:tcW w:w="993" w:type="dxa"/>
            <w:tcBorders>
              <w:left w:val="nil"/>
              <w:bottom w:val="single" w:sz="4" w:space="0" w:color="auto"/>
              <w:right w:val="nil"/>
            </w:tcBorders>
            <w:vAlign w:val="bottom"/>
          </w:tcPr>
          <w:p w14:paraId="4B895D6A"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50.5</w:t>
            </w:r>
          </w:p>
        </w:tc>
        <w:tc>
          <w:tcPr>
            <w:tcW w:w="1134" w:type="dxa"/>
            <w:tcBorders>
              <w:left w:val="nil"/>
              <w:bottom w:val="single" w:sz="4" w:space="0" w:color="auto"/>
              <w:right w:val="nil"/>
            </w:tcBorders>
            <w:vAlign w:val="bottom"/>
          </w:tcPr>
          <w:p w14:paraId="6FD17B87"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color w:val="000000" w:themeColor="text1"/>
                <w:sz w:val="20"/>
                <w:szCs w:val="20"/>
              </w:rPr>
              <w:t>-</w:t>
            </w:r>
          </w:p>
        </w:tc>
        <w:tc>
          <w:tcPr>
            <w:tcW w:w="992" w:type="dxa"/>
            <w:tcBorders>
              <w:left w:val="nil"/>
              <w:bottom w:val="single" w:sz="4" w:space="0" w:color="auto"/>
              <w:right w:val="nil"/>
            </w:tcBorders>
            <w:vAlign w:val="bottom"/>
          </w:tcPr>
          <w:p w14:paraId="527CE9F2"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20.0</w:t>
            </w:r>
          </w:p>
        </w:tc>
      </w:tr>
      <w:tr w:rsidR="00A3021A" w:rsidRPr="00701439" w14:paraId="7366E146" w14:textId="77777777">
        <w:trPr>
          <w:trHeight w:val="223"/>
        </w:trPr>
        <w:tc>
          <w:tcPr>
            <w:tcW w:w="3686" w:type="dxa"/>
            <w:tcBorders>
              <w:bottom w:val="nil"/>
            </w:tcBorders>
            <w:vAlign w:val="bottom"/>
          </w:tcPr>
          <w:p w14:paraId="19C333A6" w14:textId="77777777" w:rsidR="00A3021A" w:rsidRPr="00701439" w:rsidRDefault="00A3021A">
            <w:pPr>
              <w:rPr>
                <w:rFonts w:asciiTheme="minorHAnsi" w:hAnsiTheme="minorHAnsi" w:cs="Arial"/>
                <w:b/>
                <w:sz w:val="20"/>
                <w:szCs w:val="20"/>
              </w:rPr>
            </w:pPr>
            <w:r w:rsidRPr="00701439">
              <w:rPr>
                <w:rFonts w:asciiTheme="minorHAnsi" w:hAnsiTheme="minorHAnsi" w:cs="Arial"/>
                <w:b/>
                <w:sz w:val="20"/>
                <w:szCs w:val="20"/>
              </w:rPr>
              <w:t xml:space="preserve">Adjusted diluted earnings per share </w:t>
            </w:r>
          </w:p>
        </w:tc>
        <w:tc>
          <w:tcPr>
            <w:tcW w:w="992" w:type="dxa"/>
            <w:tcBorders>
              <w:top w:val="single" w:sz="4" w:space="0" w:color="auto"/>
              <w:left w:val="nil"/>
              <w:bottom w:val="single" w:sz="12" w:space="0" w:color="auto"/>
              <w:right w:val="nil"/>
            </w:tcBorders>
            <w:vAlign w:val="bottom"/>
          </w:tcPr>
          <w:p w14:paraId="70A12FE8"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88.5</w:t>
            </w:r>
          </w:p>
        </w:tc>
        <w:tc>
          <w:tcPr>
            <w:tcW w:w="1134" w:type="dxa"/>
            <w:tcBorders>
              <w:top w:val="single" w:sz="4" w:space="0" w:color="auto"/>
              <w:left w:val="nil"/>
              <w:bottom w:val="single" w:sz="12" w:space="0" w:color="auto"/>
              <w:right w:val="nil"/>
            </w:tcBorders>
            <w:vAlign w:val="bottom"/>
          </w:tcPr>
          <w:p w14:paraId="72B7D7DB" w14:textId="77777777" w:rsidR="00A3021A" w:rsidRPr="00701439" w:rsidRDefault="00A3021A">
            <w:pPr>
              <w:jc w:val="right"/>
              <w:rPr>
                <w:rFonts w:asciiTheme="minorHAnsi" w:hAnsiTheme="minorHAnsi" w:cstheme="minorHAnsi"/>
                <w:color w:val="000000" w:themeColor="text1"/>
                <w:sz w:val="20"/>
                <w:szCs w:val="20"/>
              </w:rPr>
            </w:pPr>
            <w:r w:rsidRPr="00701439">
              <w:rPr>
                <w:rFonts w:asciiTheme="minorHAnsi" w:hAnsiTheme="minorHAnsi" w:cstheme="minorHAnsi"/>
                <w:color w:val="000000" w:themeColor="text1"/>
                <w:sz w:val="20"/>
                <w:szCs w:val="20"/>
              </w:rPr>
              <w:t>253.7</w:t>
            </w:r>
          </w:p>
        </w:tc>
        <w:tc>
          <w:tcPr>
            <w:tcW w:w="992" w:type="dxa"/>
            <w:tcBorders>
              <w:top w:val="single" w:sz="4" w:space="0" w:color="auto"/>
              <w:left w:val="nil"/>
              <w:bottom w:val="single" w:sz="12" w:space="0" w:color="auto"/>
              <w:right w:val="nil"/>
            </w:tcBorders>
            <w:vAlign w:val="bottom"/>
          </w:tcPr>
          <w:p w14:paraId="11E0E113" w14:textId="77F41AAE" w:rsidR="00A3021A" w:rsidRPr="00701439" w:rsidRDefault="00A3021A">
            <w:pPr>
              <w:jc w:val="right"/>
              <w:rPr>
                <w:rFonts w:asciiTheme="minorHAnsi" w:hAnsiTheme="minorHAnsi" w:cstheme="minorHAnsi"/>
                <w:color w:val="000000" w:themeColor="text1"/>
                <w:sz w:val="20"/>
                <w:szCs w:val="20"/>
              </w:rPr>
            </w:pPr>
            <w:r w:rsidRPr="00701439">
              <w:rPr>
                <w:rFonts w:asciiTheme="minorHAnsi" w:hAnsiTheme="minorHAnsi" w:cstheme="minorHAnsi"/>
                <w:color w:val="000000" w:themeColor="text1"/>
                <w:sz w:val="20"/>
                <w:szCs w:val="20"/>
              </w:rPr>
              <w:t>34.</w:t>
            </w:r>
            <w:r w:rsidR="00407FB4" w:rsidRPr="00701439">
              <w:rPr>
                <w:rFonts w:asciiTheme="minorHAnsi" w:hAnsiTheme="minorHAnsi" w:cstheme="minorHAnsi"/>
                <w:color w:val="000000" w:themeColor="text1"/>
                <w:sz w:val="20"/>
                <w:szCs w:val="20"/>
              </w:rPr>
              <w:t>9</w:t>
            </w:r>
          </w:p>
        </w:tc>
        <w:tc>
          <w:tcPr>
            <w:tcW w:w="993" w:type="dxa"/>
            <w:tcBorders>
              <w:top w:val="single" w:sz="4" w:space="0" w:color="auto"/>
              <w:left w:val="nil"/>
              <w:bottom w:val="single" w:sz="12" w:space="0" w:color="auto"/>
              <w:right w:val="nil"/>
            </w:tcBorders>
            <w:vAlign w:val="bottom"/>
          </w:tcPr>
          <w:p w14:paraId="7B275AC2"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sz w:val="20"/>
                <w:szCs w:val="20"/>
              </w:rPr>
              <w:t>25.1</w:t>
            </w:r>
          </w:p>
        </w:tc>
        <w:tc>
          <w:tcPr>
            <w:tcW w:w="1134" w:type="dxa"/>
            <w:tcBorders>
              <w:top w:val="single" w:sz="4" w:space="0" w:color="auto"/>
              <w:left w:val="nil"/>
              <w:bottom w:val="single" w:sz="12" w:space="0" w:color="auto"/>
              <w:right w:val="nil"/>
            </w:tcBorders>
            <w:vAlign w:val="bottom"/>
          </w:tcPr>
          <w:p w14:paraId="2FD1C1E8"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color w:val="000000" w:themeColor="text1"/>
                <w:sz w:val="20"/>
                <w:szCs w:val="20"/>
              </w:rPr>
              <w:t>252.0</w:t>
            </w:r>
          </w:p>
        </w:tc>
        <w:tc>
          <w:tcPr>
            <w:tcW w:w="992" w:type="dxa"/>
            <w:tcBorders>
              <w:top w:val="single" w:sz="4" w:space="0" w:color="auto"/>
              <w:left w:val="nil"/>
              <w:bottom w:val="single" w:sz="12" w:space="0" w:color="auto"/>
              <w:right w:val="nil"/>
            </w:tcBorders>
            <w:vAlign w:val="bottom"/>
          </w:tcPr>
          <w:p w14:paraId="1D08BDD2" w14:textId="77777777" w:rsidR="00A3021A" w:rsidRPr="00701439" w:rsidRDefault="00A3021A">
            <w:pPr>
              <w:jc w:val="right"/>
              <w:rPr>
                <w:rFonts w:asciiTheme="minorHAnsi" w:hAnsiTheme="minorHAnsi" w:cstheme="minorHAnsi"/>
                <w:sz w:val="20"/>
                <w:szCs w:val="20"/>
              </w:rPr>
            </w:pPr>
            <w:r w:rsidRPr="00701439">
              <w:rPr>
                <w:rFonts w:asciiTheme="minorHAnsi" w:hAnsiTheme="minorHAnsi" w:cstheme="minorHAnsi"/>
                <w:color w:val="000000" w:themeColor="text1"/>
                <w:sz w:val="20"/>
                <w:szCs w:val="20"/>
              </w:rPr>
              <w:t>10.0</w:t>
            </w:r>
          </w:p>
        </w:tc>
      </w:tr>
    </w:tbl>
    <w:p w14:paraId="4CDD3F47" w14:textId="77777777" w:rsidR="00A3021A" w:rsidRPr="00701439" w:rsidRDefault="00A3021A" w:rsidP="00A3021A">
      <w:pPr>
        <w:jc w:val="both"/>
        <w:rPr>
          <w:rFonts w:asciiTheme="minorHAnsi" w:hAnsiTheme="minorHAnsi" w:cs="Arial"/>
          <w:sz w:val="20"/>
          <w:szCs w:val="20"/>
        </w:rPr>
      </w:pPr>
    </w:p>
    <w:p w14:paraId="194F4AD6" w14:textId="77777777" w:rsidR="00795BA7" w:rsidRPr="00701439" w:rsidRDefault="00795BA7" w:rsidP="00A3021A">
      <w:pPr>
        <w:jc w:val="both"/>
        <w:rPr>
          <w:rFonts w:asciiTheme="minorHAnsi" w:hAnsiTheme="minorHAnsi" w:cs="Arial"/>
          <w:sz w:val="20"/>
          <w:szCs w:val="20"/>
        </w:rPr>
      </w:pPr>
    </w:p>
    <w:p w14:paraId="5ED16294" w14:textId="77777777" w:rsidR="00A3021A" w:rsidRPr="00701439" w:rsidRDefault="00A3021A" w:rsidP="00A3021A">
      <w:pPr>
        <w:pStyle w:val="bodycopy"/>
        <w:spacing w:after="0" w:line="240" w:lineRule="auto"/>
        <w:ind w:left="567" w:hanging="567"/>
        <w:jc w:val="both"/>
        <w:rPr>
          <w:rFonts w:asciiTheme="minorHAnsi" w:hAnsiTheme="minorHAnsi" w:cs="Arial"/>
          <w:b/>
          <w:color w:val="4747FF"/>
          <w:sz w:val="22"/>
          <w:szCs w:val="22"/>
        </w:rPr>
      </w:pPr>
      <w:r w:rsidRPr="00701439">
        <w:rPr>
          <w:rStyle w:val="bodycopynumber"/>
          <w:rFonts w:asciiTheme="minorHAnsi" w:hAnsiTheme="minorHAnsi" w:cs="Arial"/>
          <w:b/>
          <w:bCs/>
          <w:color w:val="4747FF"/>
          <w:sz w:val="22"/>
          <w:szCs w:val="22"/>
        </w:rPr>
        <w:t>7.</w:t>
      </w:r>
      <w:r w:rsidRPr="00701439">
        <w:rPr>
          <w:rStyle w:val="bodycopynumber"/>
          <w:rFonts w:asciiTheme="minorHAnsi" w:hAnsiTheme="minorHAnsi" w:cs="Arial"/>
          <w:b/>
          <w:bCs/>
          <w:color w:val="4747FF"/>
          <w:sz w:val="22"/>
          <w:szCs w:val="22"/>
        </w:rPr>
        <w:tab/>
        <w:t xml:space="preserve">Dividends </w:t>
      </w:r>
    </w:p>
    <w:p w14:paraId="21BFB52A" w14:textId="77777777" w:rsidR="00A3021A" w:rsidRPr="00701439" w:rsidRDefault="00A3021A" w:rsidP="00A3021A">
      <w:pPr>
        <w:jc w:val="both"/>
        <w:rPr>
          <w:rFonts w:asciiTheme="minorHAnsi" w:hAnsiTheme="minorHAnsi" w:cs="Poppins-Light"/>
          <w:sz w:val="20"/>
          <w:szCs w:val="20"/>
        </w:rPr>
      </w:pPr>
    </w:p>
    <w:tbl>
      <w:tblPr>
        <w:tblW w:w="9923" w:type="dxa"/>
        <w:tblLook w:val="0000" w:firstRow="0" w:lastRow="0" w:firstColumn="0" w:lastColumn="0" w:noHBand="0" w:noVBand="0"/>
      </w:tblPr>
      <w:tblGrid>
        <w:gridCol w:w="6494"/>
        <w:gridCol w:w="1085"/>
        <w:gridCol w:w="1172"/>
        <w:gridCol w:w="1172"/>
      </w:tblGrid>
      <w:tr w:rsidR="00A3021A" w:rsidRPr="00701439" w14:paraId="590E9C15" w14:textId="77777777">
        <w:tc>
          <w:tcPr>
            <w:tcW w:w="6494" w:type="dxa"/>
            <w:vAlign w:val="bottom"/>
          </w:tcPr>
          <w:p w14:paraId="5295C73A" w14:textId="77777777" w:rsidR="00A3021A" w:rsidRPr="00701439" w:rsidRDefault="00A3021A">
            <w:pPr>
              <w:rPr>
                <w:rFonts w:asciiTheme="minorHAnsi" w:hAnsiTheme="minorHAnsi" w:cs="Arial"/>
                <w:b/>
                <w:sz w:val="20"/>
                <w:szCs w:val="20"/>
              </w:rPr>
            </w:pPr>
          </w:p>
        </w:tc>
        <w:tc>
          <w:tcPr>
            <w:tcW w:w="1085" w:type="dxa"/>
            <w:vAlign w:val="bottom"/>
          </w:tcPr>
          <w:p w14:paraId="5708D409" w14:textId="77777777" w:rsidR="00A3021A" w:rsidRPr="00701439" w:rsidRDefault="00A3021A">
            <w:pPr>
              <w:jc w:val="right"/>
              <w:rPr>
                <w:rFonts w:asciiTheme="minorHAnsi" w:hAnsiTheme="minorHAnsi" w:cs="Arial"/>
                <w:sz w:val="20"/>
                <w:szCs w:val="20"/>
              </w:rPr>
            </w:pPr>
          </w:p>
        </w:tc>
        <w:tc>
          <w:tcPr>
            <w:tcW w:w="1172" w:type="dxa"/>
          </w:tcPr>
          <w:p w14:paraId="08BB408E"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2022 </w:t>
            </w:r>
          </w:p>
        </w:tc>
        <w:tc>
          <w:tcPr>
            <w:tcW w:w="1172" w:type="dxa"/>
          </w:tcPr>
          <w:p w14:paraId="12A82E8D"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2021</w:t>
            </w:r>
          </w:p>
        </w:tc>
      </w:tr>
      <w:tr w:rsidR="00A3021A" w:rsidRPr="00701439" w14:paraId="53047303" w14:textId="77777777">
        <w:tc>
          <w:tcPr>
            <w:tcW w:w="6494" w:type="dxa"/>
            <w:vAlign w:val="bottom"/>
          </w:tcPr>
          <w:p w14:paraId="2086A8B3" w14:textId="77777777" w:rsidR="00A3021A" w:rsidRPr="00701439" w:rsidRDefault="00A3021A">
            <w:pPr>
              <w:rPr>
                <w:rFonts w:asciiTheme="minorHAnsi" w:hAnsiTheme="minorHAnsi" w:cs="Arial"/>
                <w:b/>
                <w:sz w:val="20"/>
                <w:szCs w:val="20"/>
              </w:rPr>
            </w:pPr>
          </w:p>
        </w:tc>
        <w:tc>
          <w:tcPr>
            <w:tcW w:w="1085" w:type="dxa"/>
            <w:vAlign w:val="bottom"/>
          </w:tcPr>
          <w:p w14:paraId="6902910C" w14:textId="77777777" w:rsidR="00A3021A" w:rsidRPr="00701439" w:rsidRDefault="00A3021A">
            <w:pPr>
              <w:jc w:val="right"/>
              <w:rPr>
                <w:rFonts w:asciiTheme="minorHAnsi" w:hAnsiTheme="minorHAnsi" w:cs="Arial"/>
                <w:sz w:val="20"/>
                <w:szCs w:val="20"/>
              </w:rPr>
            </w:pPr>
          </w:p>
        </w:tc>
        <w:tc>
          <w:tcPr>
            <w:tcW w:w="1172" w:type="dxa"/>
            <w:tcBorders>
              <w:bottom w:val="single" w:sz="4" w:space="0" w:color="auto"/>
            </w:tcBorders>
          </w:tcPr>
          <w:p w14:paraId="22837824"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£m </w:t>
            </w:r>
          </w:p>
        </w:tc>
        <w:tc>
          <w:tcPr>
            <w:tcW w:w="1172" w:type="dxa"/>
            <w:tcBorders>
              <w:bottom w:val="single" w:sz="4" w:space="0" w:color="auto"/>
            </w:tcBorders>
          </w:tcPr>
          <w:p w14:paraId="28A4BD71"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£m </w:t>
            </w:r>
          </w:p>
        </w:tc>
      </w:tr>
      <w:tr w:rsidR="00A3021A" w:rsidRPr="00701439" w14:paraId="0712C0AF" w14:textId="77777777">
        <w:tc>
          <w:tcPr>
            <w:tcW w:w="6494" w:type="dxa"/>
            <w:vAlign w:val="bottom"/>
          </w:tcPr>
          <w:p w14:paraId="6CBD278F"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 xml:space="preserve">2021 interim – 12p per share                                     </w:t>
            </w:r>
          </w:p>
        </w:tc>
        <w:tc>
          <w:tcPr>
            <w:tcW w:w="1085" w:type="dxa"/>
            <w:vAlign w:val="bottom"/>
          </w:tcPr>
          <w:p w14:paraId="2FA38140" w14:textId="77777777" w:rsidR="00A3021A" w:rsidRPr="00701439" w:rsidRDefault="00A3021A">
            <w:pPr>
              <w:jc w:val="right"/>
              <w:rPr>
                <w:rFonts w:asciiTheme="minorHAnsi" w:hAnsiTheme="minorHAnsi" w:cs="Arial"/>
                <w:sz w:val="20"/>
                <w:szCs w:val="20"/>
              </w:rPr>
            </w:pPr>
          </w:p>
        </w:tc>
        <w:tc>
          <w:tcPr>
            <w:tcW w:w="1172" w:type="dxa"/>
            <w:tcBorders>
              <w:top w:val="single" w:sz="4" w:space="0" w:color="auto"/>
              <w:left w:val="nil"/>
              <w:right w:val="nil"/>
            </w:tcBorders>
            <w:vAlign w:val="bottom"/>
          </w:tcPr>
          <w:p w14:paraId="2EA24819"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30.1</w:t>
            </w:r>
          </w:p>
        </w:tc>
        <w:tc>
          <w:tcPr>
            <w:tcW w:w="1172" w:type="dxa"/>
            <w:tcBorders>
              <w:top w:val="single" w:sz="4" w:space="0" w:color="auto"/>
              <w:left w:val="nil"/>
              <w:right w:val="nil"/>
            </w:tcBorders>
            <w:vAlign w:val="bottom"/>
          </w:tcPr>
          <w:p w14:paraId="22B4A460"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r>
      <w:tr w:rsidR="00A3021A" w:rsidRPr="00701439" w14:paraId="773A0E55" w14:textId="77777777">
        <w:tc>
          <w:tcPr>
            <w:tcW w:w="6494" w:type="dxa"/>
            <w:vAlign w:val="bottom"/>
          </w:tcPr>
          <w:p w14:paraId="7576A9D3"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2022 interim – 5p per share</w:t>
            </w:r>
          </w:p>
        </w:tc>
        <w:tc>
          <w:tcPr>
            <w:tcW w:w="1085" w:type="dxa"/>
            <w:vAlign w:val="bottom"/>
          </w:tcPr>
          <w:p w14:paraId="645E02F4" w14:textId="77777777" w:rsidR="00A3021A" w:rsidRPr="00701439" w:rsidRDefault="00A3021A">
            <w:pPr>
              <w:jc w:val="right"/>
              <w:rPr>
                <w:rFonts w:asciiTheme="minorHAnsi" w:hAnsiTheme="minorHAnsi" w:cs="Arial"/>
                <w:sz w:val="20"/>
                <w:szCs w:val="20"/>
              </w:rPr>
            </w:pPr>
          </w:p>
        </w:tc>
        <w:tc>
          <w:tcPr>
            <w:tcW w:w="1172" w:type="dxa"/>
            <w:tcBorders>
              <w:left w:val="nil"/>
              <w:bottom w:val="single" w:sz="4" w:space="0" w:color="auto"/>
              <w:right w:val="nil"/>
            </w:tcBorders>
            <w:vAlign w:val="bottom"/>
          </w:tcPr>
          <w:p w14:paraId="05A43BDC"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12.7</w:t>
            </w:r>
          </w:p>
        </w:tc>
        <w:tc>
          <w:tcPr>
            <w:tcW w:w="1172" w:type="dxa"/>
            <w:tcBorders>
              <w:left w:val="nil"/>
              <w:bottom w:val="single" w:sz="4" w:space="0" w:color="auto"/>
              <w:right w:val="nil"/>
            </w:tcBorders>
            <w:vAlign w:val="bottom"/>
          </w:tcPr>
          <w:p w14:paraId="08992C02"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r>
      <w:tr w:rsidR="00A3021A" w:rsidRPr="00701439" w14:paraId="6343E081" w14:textId="77777777">
        <w:tc>
          <w:tcPr>
            <w:tcW w:w="6494" w:type="dxa"/>
            <w:vAlign w:val="bottom"/>
          </w:tcPr>
          <w:p w14:paraId="0944C945" w14:textId="77777777" w:rsidR="00A3021A" w:rsidRPr="00701439" w:rsidRDefault="00A3021A">
            <w:pPr>
              <w:rPr>
                <w:rFonts w:asciiTheme="minorHAnsi" w:hAnsiTheme="minorHAnsi" w:cs="Arial"/>
                <w:sz w:val="20"/>
                <w:szCs w:val="20"/>
              </w:rPr>
            </w:pPr>
          </w:p>
        </w:tc>
        <w:tc>
          <w:tcPr>
            <w:tcW w:w="1085" w:type="dxa"/>
            <w:vAlign w:val="bottom"/>
          </w:tcPr>
          <w:p w14:paraId="2EEA0F3E" w14:textId="77777777" w:rsidR="00A3021A" w:rsidRPr="00701439" w:rsidRDefault="00A3021A">
            <w:pPr>
              <w:jc w:val="right"/>
              <w:rPr>
                <w:rFonts w:asciiTheme="minorHAnsi" w:hAnsiTheme="minorHAnsi" w:cs="Arial"/>
                <w:sz w:val="20"/>
                <w:szCs w:val="20"/>
              </w:rPr>
            </w:pPr>
          </w:p>
        </w:tc>
        <w:tc>
          <w:tcPr>
            <w:tcW w:w="1172" w:type="dxa"/>
            <w:tcBorders>
              <w:top w:val="single" w:sz="4" w:space="0" w:color="auto"/>
              <w:left w:val="nil"/>
              <w:bottom w:val="single" w:sz="4" w:space="0" w:color="auto"/>
              <w:right w:val="nil"/>
            </w:tcBorders>
            <w:vAlign w:val="bottom"/>
          </w:tcPr>
          <w:p w14:paraId="645799AF"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42.8</w:t>
            </w:r>
          </w:p>
        </w:tc>
        <w:tc>
          <w:tcPr>
            <w:tcW w:w="1172" w:type="dxa"/>
            <w:tcBorders>
              <w:top w:val="single" w:sz="4" w:space="0" w:color="auto"/>
              <w:left w:val="nil"/>
              <w:bottom w:val="single" w:sz="4" w:space="0" w:color="auto"/>
              <w:right w:val="nil"/>
            </w:tcBorders>
            <w:vAlign w:val="bottom"/>
          </w:tcPr>
          <w:p w14:paraId="0FAFB873"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r>
    </w:tbl>
    <w:p w14:paraId="3E088EB4" w14:textId="77777777" w:rsidR="00A3021A" w:rsidRPr="00701439" w:rsidRDefault="00A3021A" w:rsidP="00A3021A">
      <w:pPr>
        <w:ind w:left="567" w:hanging="567"/>
        <w:rPr>
          <w:rFonts w:asciiTheme="minorHAnsi" w:hAnsiTheme="minorHAnsi" w:cs="Arial"/>
          <w:sz w:val="20"/>
          <w:szCs w:val="20"/>
        </w:rPr>
      </w:pPr>
    </w:p>
    <w:p w14:paraId="6957610F" w14:textId="77777777" w:rsidR="00A3021A" w:rsidRPr="00701439" w:rsidRDefault="00A3021A" w:rsidP="00A3021A">
      <w:pPr>
        <w:ind w:left="567" w:hanging="567"/>
        <w:rPr>
          <w:rFonts w:asciiTheme="minorHAnsi" w:hAnsiTheme="minorHAnsi" w:cs="Arial"/>
          <w:sz w:val="20"/>
          <w:szCs w:val="20"/>
        </w:rPr>
      </w:pPr>
    </w:p>
    <w:p w14:paraId="58337C33" w14:textId="1E44D42A" w:rsidR="00A3021A" w:rsidRPr="00701439" w:rsidRDefault="00A3021A" w:rsidP="00A3021A">
      <w:pPr>
        <w:autoSpaceDE w:val="0"/>
        <w:autoSpaceDN w:val="0"/>
        <w:adjustRightInd w:val="0"/>
        <w:jc w:val="both"/>
        <w:rPr>
          <w:rFonts w:asciiTheme="minorHAnsi" w:hAnsiTheme="minorHAnsi" w:cstheme="minorHAnsi"/>
          <w:sz w:val="28"/>
          <w:szCs w:val="28"/>
        </w:rPr>
      </w:pPr>
      <w:r w:rsidRPr="00701439">
        <w:rPr>
          <w:rFonts w:asciiTheme="minorHAnsi" w:hAnsiTheme="minorHAnsi" w:cstheme="minorHAnsi"/>
          <w:sz w:val="20"/>
          <w:szCs w:val="20"/>
        </w:rPr>
        <w:t>The directors are recommending a</w:t>
      </w:r>
      <w:r w:rsidR="007A7DB8" w:rsidRPr="00701439">
        <w:rPr>
          <w:rFonts w:asciiTheme="minorHAnsi" w:hAnsiTheme="minorHAnsi" w:cstheme="minorHAnsi"/>
          <w:sz w:val="20"/>
          <w:szCs w:val="20"/>
        </w:rPr>
        <w:t xml:space="preserve"> final</w:t>
      </w:r>
      <w:r w:rsidRPr="00701439">
        <w:rPr>
          <w:rFonts w:asciiTheme="minorHAnsi" w:hAnsiTheme="minorHAnsi" w:cstheme="minorHAnsi"/>
          <w:sz w:val="20"/>
          <w:szCs w:val="20"/>
        </w:rPr>
        <w:t xml:space="preserve"> dividend in respect of the financial year ended 31 December 2022 of </w:t>
      </w:r>
      <w:r w:rsidR="007A7DB8" w:rsidRPr="00701439">
        <w:rPr>
          <w:rFonts w:asciiTheme="minorHAnsi" w:hAnsiTheme="minorHAnsi" w:cstheme="minorHAnsi"/>
          <w:sz w:val="20"/>
          <w:szCs w:val="20"/>
        </w:rPr>
        <w:t>10.3</w:t>
      </w:r>
      <w:r w:rsidRPr="00701439">
        <w:rPr>
          <w:rFonts w:asciiTheme="minorHAnsi" w:hAnsiTheme="minorHAnsi" w:cstheme="minorHAnsi"/>
          <w:sz w:val="20"/>
          <w:szCs w:val="20"/>
        </w:rPr>
        <w:t>p per share which will amount to an estimated dividend of £</w:t>
      </w:r>
      <w:r w:rsidR="006B4303" w:rsidRPr="00701439">
        <w:rPr>
          <w:rFonts w:asciiTheme="minorHAnsi" w:hAnsiTheme="minorHAnsi" w:cstheme="minorHAnsi"/>
          <w:sz w:val="20"/>
          <w:szCs w:val="20"/>
        </w:rPr>
        <w:t>26.1</w:t>
      </w:r>
      <w:r w:rsidRPr="00701439">
        <w:rPr>
          <w:rFonts w:asciiTheme="minorHAnsi" w:hAnsiTheme="minorHAnsi" w:cstheme="minorHAnsi"/>
          <w:sz w:val="20"/>
          <w:szCs w:val="20"/>
        </w:rPr>
        <w:t xml:space="preserve">m. </w:t>
      </w:r>
      <w:r w:rsidR="00901DAB" w:rsidRPr="00701439">
        <w:rPr>
          <w:rFonts w:asciiTheme="minorHAnsi" w:hAnsiTheme="minorHAnsi" w:cstheme="minorHAnsi"/>
          <w:sz w:val="20"/>
          <w:szCs w:val="20"/>
        </w:rPr>
        <w:t>I</w:t>
      </w:r>
      <w:r w:rsidR="00E92270" w:rsidRPr="00701439">
        <w:rPr>
          <w:rFonts w:asciiTheme="minorHAnsi" w:hAnsiTheme="minorHAnsi" w:cstheme="minorHAnsi"/>
          <w:sz w:val="20"/>
          <w:szCs w:val="20"/>
        </w:rPr>
        <w:t>f approved</w:t>
      </w:r>
      <w:r w:rsidR="00901DAB" w:rsidRPr="00701439">
        <w:rPr>
          <w:rFonts w:asciiTheme="minorHAnsi" w:hAnsiTheme="minorHAnsi" w:cstheme="minorHAnsi"/>
          <w:sz w:val="20"/>
          <w:szCs w:val="20"/>
        </w:rPr>
        <w:t>, this</w:t>
      </w:r>
      <w:r w:rsidRPr="00701439">
        <w:rPr>
          <w:rFonts w:asciiTheme="minorHAnsi" w:hAnsiTheme="minorHAnsi" w:cstheme="minorHAnsi"/>
          <w:sz w:val="20"/>
          <w:szCs w:val="20"/>
        </w:rPr>
        <w:t xml:space="preserve"> dividend will be paid on </w:t>
      </w:r>
      <w:r w:rsidR="006B4303" w:rsidRPr="00701439">
        <w:rPr>
          <w:rFonts w:asciiTheme="minorHAnsi" w:hAnsiTheme="minorHAnsi" w:cstheme="minorHAnsi"/>
          <w:sz w:val="20"/>
          <w:szCs w:val="20"/>
        </w:rPr>
        <w:t>7</w:t>
      </w:r>
      <w:r w:rsidRPr="00701439">
        <w:rPr>
          <w:rFonts w:asciiTheme="minorHAnsi" w:hAnsiTheme="minorHAnsi" w:cstheme="minorHAnsi"/>
          <w:sz w:val="20"/>
          <w:szCs w:val="20"/>
        </w:rPr>
        <w:t xml:space="preserve"> </w:t>
      </w:r>
      <w:r w:rsidR="006B4303" w:rsidRPr="00701439">
        <w:rPr>
          <w:rFonts w:asciiTheme="minorHAnsi" w:hAnsiTheme="minorHAnsi" w:cstheme="minorHAnsi"/>
          <w:sz w:val="20"/>
          <w:szCs w:val="20"/>
        </w:rPr>
        <w:t>June</w:t>
      </w:r>
      <w:r w:rsidRPr="00701439">
        <w:rPr>
          <w:rFonts w:asciiTheme="minorHAnsi" w:hAnsiTheme="minorHAnsi" w:cstheme="minorHAnsi"/>
          <w:sz w:val="20"/>
          <w:szCs w:val="20"/>
        </w:rPr>
        <w:t xml:space="preserve"> 2023 to shareholders who were on the register of members </w:t>
      </w:r>
      <w:proofErr w:type="gramStart"/>
      <w:r w:rsidRPr="00701439">
        <w:rPr>
          <w:rFonts w:asciiTheme="minorHAnsi" w:hAnsiTheme="minorHAnsi" w:cstheme="minorHAnsi"/>
          <w:sz w:val="20"/>
          <w:szCs w:val="20"/>
        </w:rPr>
        <w:t>at</w:t>
      </w:r>
      <w:proofErr w:type="gramEnd"/>
      <w:r w:rsidRPr="00701439">
        <w:rPr>
          <w:rFonts w:asciiTheme="minorHAnsi" w:hAnsiTheme="minorHAnsi" w:cstheme="minorHAnsi"/>
          <w:sz w:val="20"/>
          <w:szCs w:val="20"/>
        </w:rPr>
        <w:t xml:space="preserve"> </w:t>
      </w:r>
      <w:r w:rsidR="0089259D" w:rsidRPr="00701439">
        <w:rPr>
          <w:rFonts w:asciiTheme="minorHAnsi" w:hAnsiTheme="minorHAnsi" w:cstheme="minorHAnsi"/>
          <w:sz w:val="20"/>
          <w:szCs w:val="20"/>
        </w:rPr>
        <w:t>21</w:t>
      </w:r>
      <w:r w:rsidRPr="00701439">
        <w:rPr>
          <w:rFonts w:asciiTheme="minorHAnsi" w:hAnsiTheme="minorHAnsi" w:cstheme="minorHAnsi"/>
          <w:sz w:val="20"/>
          <w:szCs w:val="20"/>
        </w:rPr>
        <w:t xml:space="preserve"> April 2023.</w:t>
      </w:r>
    </w:p>
    <w:p w14:paraId="3392A1A1" w14:textId="77777777" w:rsidR="00F83F68" w:rsidRPr="00701439" w:rsidRDefault="00F83F68" w:rsidP="00A3021A">
      <w:pPr>
        <w:ind w:left="567" w:hanging="567"/>
        <w:rPr>
          <w:rFonts w:asciiTheme="minorHAnsi" w:hAnsiTheme="minorHAnsi" w:cs="Arial"/>
          <w:sz w:val="20"/>
          <w:szCs w:val="20"/>
        </w:rPr>
      </w:pPr>
    </w:p>
    <w:p w14:paraId="5FE43729" w14:textId="77777777" w:rsidR="00F83F68" w:rsidRPr="00701439" w:rsidRDefault="00F83F68" w:rsidP="00A3021A">
      <w:pPr>
        <w:ind w:left="567" w:hanging="567"/>
        <w:rPr>
          <w:rFonts w:asciiTheme="minorHAnsi" w:hAnsiTheme="minorHAnsi" w:cs="Arial"/>
          <w:sz w:val="20"/>
          <w:szCs w:val="20"/>
        </w:rPr>
      </w:pPr>
    </w:p>
    <w:p w14:paraId="711B0D1F" w14:textId="77777777" w:rsidR="00F83F68" w:rsidRPr="00701439" w:rsidRDefault="00F83F68" w:rsidP="00A3021A">
      <w:pPr>
        <w:ind w:left="567" w:hanging="567"/>
        <w:rPr>
          <w:rFonts w:asciiTheme="minorHAnsi" w:hAnsiTheme="minorHAnsi" w:cs="Arial"/>
          <w:sz w:val="20"/>
          <w:szCs w:val="20"/>
        </w:rPr>
      </w:pPr>
    </w:p>
    <w:p w14:paraId="0317B208" w14:textId="77777777" w:rsidR="00F83F68" w:rsidRPr="00701439" w:rsidRDefault="00F83F68" w:rsidP="00A3021A">
      <w:pPr>
        <w:ind w:left="567" w:hanging="567"/>
        <w:rPr>
          <w:rFonts w:asciiTheme="minorHAnsi" w:hAnsiTheme="minorHAnsi" w:cs="Arial"/>
          <w:sz w:val="20"/>
          <w:szCs w:val="20"/>
        </w:rPr>
      </w:pPr>
    </w:p>
    <w:p w14:paraId="43DC574E" w14:textId="77777777" w:rsidR="008D2306" w:rsidRPr="00701439" w:rsidRDefault="008D2306" w:rsidP="00A3021A">
      <w:pPr>
        <w:ind w:left="567" w:hanging="567"/>
        <w:rPr>
          <w:rFonts w:asciiTheme="minorHAnsi" w:hAnsiTheme="minorHAnsi" w:cs="Arial"/>
          <w:sz w:val="20"/>
          <w:szCs w:val="20"/>
        </w:rPr>
      </w:pPr>
    </w:p>
    <w:p w14:paraId="15387DEC" w14:textId="77777777" w:rsidR="008D2306" w:rsidRPr="00701439" w:rsidRDefault="008D2306" w:rsidP="00A3021A">
      <w:pPr>
        <w:ind w:left="567" w:hanging="567"/>
        <w:rPr>
          <w:rFonts w:asciiTheme="minorHAnsi" w:hAnsiTheme="minorHAnsi" w:cs="Arial"/>
          <w:sz w:val="20"/>
          <w:szCs w:val="20"/>
        </w:rPr>
      </w:pPr>
    </w:p>
    <w:p w14:paraId="49C2E291" w14:textId="29EC9726" w:rsidR="00A3021A" w:rsidRPr="00701439" w:rsidRDefault="00A3021A" w:rsidP="00A3021A">
      <w:pPr>
        <w:ind w:left="567" w:hanging="567"/>
        <w:rPr>
          <w:rFonts w:asciiTheme="minorHAnsi" w:hAnsiTheme="minorHAnsi" w:cs="Arial"/>
          <w:b/>
          <w:color w:val="4747FF"/>
          <w:sz w:val="22"/>
          <w:szCs w:val="22"/>
        </w:rPr>
      </w:pPr>
      <w:r w:rsidRPr="00701439">
        <w:rPr>
          <w:rFonts w:asciiTheme="minorHAnsi" w:hAnsiTheme="minorHAnsi" w:cs="Arial"/>
          <w:b/>
          <w:color w:val="4747FF"/>
          <w:sz w:val="22"/>
          <w:szCs w:val="22"/>
        </w:rPr>
        <w:lastRenderedPageBreak/>
        <w:t>8.</w:t>
      </w:r>
      <w:r w:rsidRPr="00701439">
        <w:rPr>
          <w:rFonts w:asciiTheme="minorHAnsi" w:hAnsiTheme="minorHAnsi" w:cs="Arial"/>
          <w:b/>
          <w:color w:val="4747FF"/>
          <w:sz w:val="22"/>
          <w:szCs w:val="22"/>
        </w:rPr>
        <w:tab/>
        <w:t>Amounts receivable from customers</w:t>
      </w:r>
    </w:p>
    <w:tbl>
      <w:tblPr>
        <w:tblW w:w="9923" w:type="dxa"/>
        <w:tblLook w:val="0000" w:firstRow="0" w:lastRow="0" w:firstColumn="0" w:lastColumn="0" w:noHBand="0" w:noVBand="0"/>
      </w:tblPr>
      <w:tblGrid>
        <w:gridCol w:w="7371"/>
        <w:gridCol w:w="1276"/>
        <w:gridCol w:w="1276"/>
      </w:tblGrid>
      <w:tr w:rsidR="00A3021A" w:rsidRPr="00701439" w14:paraId="624E6495" w14:textId="77777777">
        <w:tc>
          <w:tcPr>
            <w:tcW w:w="7371" w:type="dxa"/>
          </w:tcPr>
          <w:p w14:paraId="547AAEAA" w14:textId="77777777" w:rsidR="00A3021A" w:rsidRPr="00701439" w:rsidRDefault="00A3021A">
            <w:pPr>
              <w:rPr>
                <w:rFonts w:asciiTheme="minorHAnsi" w:hAnsiTheme="minorHAnsi" w:cs="Arial"/>
                <w:sz w:val="20"/>
                <w:szCs w:val="20"/>
              </w:rPr>
            </w:pPr>
          </w:p>
        </w:tc>
        <w:tc>
          <w:tcPr>
            <w:tcW w:w="1276" w:type="dxa"/>
          </w:tcPr>
          <w:p w14:paraId="018B8F5F"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2022 </w:t>
            </w:r>
          </w:p>
        </w:tc>
        <w:tc>
          <w:tcPr>
            <w:tcW w:w="1276" w:type="dxa"/>
          </w:tcPr>
          <w:p w14:paraId="6207DA4B"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2021</w:t>
            </w:r>
          </w:p>
        </w:tc>
      </w:tr>
      <w:tr w:rsidR="00A3021A" w:rsidRPr="00701439" w14:paraId="189962FA" w14:textId="77777777">
        <w:tc>
          <w:tcPr>
            <w:tcW w:w="7371" w:type="dxa"/>
          </w:tcPr>
          <w:p w14:paraId="74759EAA" w14:textId="77777777" w:rsidR="00A3021A" w:rsidRPr="00701439" w:rsidRDefault="00A3021A">
            <w:pPr>
              <w:rPr>
                <w:rFonts w:asciiTheme="minorHAnsi" w:hAnsiTheme="minorHAnsi" w:cs="Arial"/>
                <w:sz w:val="20"/>
                <w:szCs w:val="20"/>
              </w:rPr>
            </w:pPr>
          </w:p>
        </w:tc>
        <w:tc>
          <w:tcPr>
            <w:tcW w:w="1276" w:type="dxa"/>
            <w:tcBorders>
              <w:top w:val="nil"/>
              <w:left w:val="nil"/>
              <w:bottom w:val="single" w:sz="4" w:space="0" w:color="auto"/>
              <w:right w:val="nil"/>
            </w:tcBorders>
          </w:tcPr>
          <w:p w14:paraId="5F54C73B"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£m </w:t>
            </w:r>
          </w:p>
        </w:tc>
        <w:tc>
          <w:tcPr>
            <w:tcW w:w="1276" w:type="dxa"/>
            <w:tcBorders>
              <w:top w:val="nil"/>
              <w:left w:val="nil"/>
              <w:bottom w:val="single" w:sz="4" w:space="0" w:color="auto"/>
              <w:right w:val="nil"/>
            </w:tcBorders>
          </w:tcPr>
          <w:p w14:paraId="526C1CCA"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£m </w:t>
            </w:r>
          </w:p>
        </w:tc>
      </w:tr>
      <w:tr w:rsidR="00A3021A" w:rsidRPr="00701439" w14:paraId="73895734" w14:textId="77777777">
        <w:tc>
          <w:tcPr>
            <w:tcW w:w="7371" w:type="dxa"/>
          </w:tcPr>
          <w:p w14:paraId="4F76D262" w14:textId="77777777" w:rsidR="00A3021A" w:rsidRPr="00701439" w:rsidRDefault="00A3021A">
            <w:pPr>
              <w:rPr>
                <w:rFonts w:asciiTheme="minorHAnsi" w:hAnsiTheme="minorHAnsi" w:cs="Arial"/>
                <w:b/>
                <w:sz w:val="20"/>
                <w:szCs w:val="20"/>
              </w:rPr>
            </w:pPr>
          </w:p>
        </w:tc>
        <w:tc>
          <w:tcPr>
            <w:tcW w:w="1276" w:type="dxa"/>
            <w:vAlign w:val="bottom"/>
          </w:tcPr>
          <w:p w14:paraId="1C71D0F8" w14:textId="77777777" w:rsidR="00A3021A" w:rsidRPr="00701439" w:rsidRDefault="00A3021A">
            <w:pPr>
              <w:jc w:val="right"/>
              <w:rPr>
                <w:rFonts w:asciiTheme="minorHAnsi" w:hAnsiTheme="minorHAnsi" w:cs="Arial"/>
                <w:sz w:val="20"/>
                <w:szCs w:val="20"/>
              </w:rPr>
            </w:pPr>
          </w:p>
        </w:tc>
        <w:tc>
          <w:tcPr>
            <w:tcW w:w="1276" w:type="dxa"/>
            <w:vAlign w:val="bottom"/>
          </w:tcPr>
          <w:p w14:paraId="556A8BFD" w14:textId="77777777" w:rsidR="00A3021A" w:rsidRPr="00701439" w:rsidRDefault="00A3021A">
            <w:pPr>
              <w:jc w:val="right"/>
              <w:rPr>
                <w:rFonts w:asciiTheme="minorHAnsi" w:hAnsiTheme="minorHAnsi" w:cs="Arial"/>
                <w:sz w:val="20"/>
                <w:szCs w:val="20"/>
              </w:rPr>
            </w:pPr>
          </w:p>
        </w:tc>
      </w:tr>
      <w:tr w:rsidR="00A3021A" w:rsidRPr="00701439" w14:paraId="650E02F1" w14:textId="77777777">
        <w:tc>
          <w:tcPr>
            <w:tcW w:w="7371" w:type="dxa"/>
            <w:vAlign w:val="bottom"/>
          </w:tcPr>
          <w:p w14:paraId="76E34E1D"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Credit cards</w:t>
            </w:r>
          </w:p>
        </w:tc>
        <w:tc>
          <w:tcPr>
            <w:tcW w:w="1276" w:type="dxa"/>
            <w:vAlign w:val="bottom"/>
          </w:tcPr>
          <w:p w14:paraId="0938A1DA" w14:textId="77777777" w:rsidR="00A3021A" w:rsidRPr="00701439" w:rsidRDefault="00A3021A">
            <w:pPr>
              <w:jc w:val="right"/>
              <w:rPr>
                <w:rFonts w:ascii="Calibri (Body)" w:hAnsi="Calibri (Body)" w:cs="Calibri"/>
                <w:color w:val="000000"/>
                <w:sz w:val="20"/>
                <w:szCs w:val="20"/>
              </w:rPr>
            </w:pPr>
            <w:r w:rsidRPr="00701439">
              <w:rPr>
                <w:rFonts w:ascii="Calibri (Body)" w:hAnsi="Calibri (Body)" w:cs="Calibri"/>
                <w:color w:val="000000"/>
                <w:sz w:val="20"/>
                <w:szCs w:val="20"/>
              </w:rPr>
              <w:t xml:space="preserve">1,181.6 </w:t>
            </w:r>
          </w:p>
        </w:tc>
        <w:tc>
          <w:tcPr>
            <w:tcW w:w="1276" w:type="dxa"/>
            <w:vAlign w:val="bottom"/>
          </w:tcPr>
          <w:p w14:paraId="5CA5F0A6"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1,063.4</w:t>
            </w:r>
          </w:p>
        </w:tc>
      </w:tr>
      <w:tr w:rsidR="00A3021A" w:rsidRPr="00701439" w14:paraId="1AFBD11F" w14:textId="77777777">
        <w:tc>
          <w:tcPr>
            <w:tcW w:w="7371" w:type="dxa"/>
            <w:vAlign w:val="bottom"/>
          </w:tcPr>
          <w:p w14:paraId="6593D44E"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Vehicle finance</w:t>
            </w:r>
          </w:p>
        </w:tc>
        <w:tc>
          <w:tcPr>
            <w:tcW w:w="1276" w:type="dxa"/>
            <w:vAlign w:val="bottom"/>
          </w:tcPr>
          <w:p w14:paraId="73449EBB" w14:textId="77777777" w:rsidR="00A3021A" w:rsidRPr="00701439" w:rsidRDefault="00A3021A">
            <w:pPr>
              <w:jc w:val="right"/>
              <w:rPr>
                <w:rFonts w:ascii="Calibri (Body)" w:hAnsi="Calibri (Body)" w:cs="Calibri"/>
                <w:color w:val="000000"/>
                <w:sz w:val="20"/>
                <w:szCs w:val="20"/>
              </w:rPr>
            </w:pPr>
            <w:r w:rsidRPr="00701439">
              <w:rPr>
                <w:rFonts w:ascii="Calibri (Body)" w:hAnsi="Calibri (Body)" w:cs="Calibri"/>
                <w:color w:val="000000"/>
                <w:sz w:val="20"/>
                <w:szCs w:val="20"/>
              </w:rPr>
              <w:t>646.1</w:t>
            </w:r>
          </w:p>
        </w:tc>
        <w:tc>
          <w:tcPr>
            <w:tcW w:w="1276" w:type="dxa"/>
            <w:vAlign w:val="bottom"/>
          </w:tcPr>
          <w:p w14:paraId="2A8A6971"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586.2</w:t>
            </w:r>
          </w:p>
        </w:tc>
      </w:tr>
      <w:tr w:rsidR="00A3021A" w:rsidRPr="00701439" w14:paraId="21F53425" w14:textId="77777777">
        <w:tc>
          <w:tcPr>
            <w:tcW w:w="7371" w:type="dxa"/>
            <w:vAlign w:val="bottom"/>
          </w:tcPr>
          <w:p w14:paraId="49924729"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Personal loans</w:t>
            </w:r>
          </w:p>
        </w:tc>
        <w:tc>
          <w:tcPr>
            <w:tcW w:w="1276" w:type="dxa"/>
            <w:tcBorders>
              <w:bottom w:val="single" w:sz="4" w:space="0" w:color="auto"/>
            </w:tcBorders>
            <w:vAlign w:val="bottom"/>
          </w:tcPr>
          <w:p w14:paraId="0BC0D2E1" w14:textId="77777777" w:rsidR="00A3021A" w:rsidRPr="00701439" w:rsidRDefault="00A3021A">
            <w:pPr>
              <w:jc w:val="right"/>
              <w:rPr>
                <w:rFonts w:ascii="Calibri (Body)" w:hAnsi="Calibri (Body)" w:cs="Calibri"/>
                <w:color w:val="000000"/>
                <w:sz w:val="20"/>
                <w:szCs w:val="20"/>
              </w:rPr>
            </w:pPr>
            <w:r w:rsidRPr="00701439">
              <w:rPr>
                <w:rFonts w:ascii="Calibri (Body)" w:hAnsi="Calibri (Body)" w:cs="Calibri"/>
                <w:color w:val="000000"/>
                <w:sz w:val="20"/>
                <w:szCs w:val="20"/>
              </w:rPr>
              <w:t xml:space="preserve">76.3 </w:t>
            </w:r>
          </w:p>
        </w:tc>
        <w:tc>
          <w:tcPr>
            <w:tcW w:w="1276" w:type="dxa"/>
            <w:tcBorders>
              <w:bottom w:val="single" w:sz="4" w:space="0" w:color="auto"/>
            </w:tcBorders>
            <w:vAlign w:val="bottom"/>
          </w:tcPr>
          <w:p w14:paraId="7F66B330"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28.1</w:t>
            </w:r>
          </w:p>
        </w:tc>
      </w:tr>
      <w:tr w:rsidR="00A3021A" w:rsidRPr="00701439" w14:paraId="3F6B5EA7" w14:textId="77777777">
        <w:tc>
          <w:tcPr>
            <w:tcW w:w="7371" w:type="dxa"/>
            <w:vAlign w:val="bottom"/>
          </w:tcPr>
          <w:p w14:paraId="56DE4515" w14:textId="04D694E9" w:rsidR="00A3021A" w:rsidRPr="00701439" w:rsidRDefault="00A3021A">
            <w:pPr>
              <w:rPr>
                <w:rFonts w:asciiTheme="minorHAnsi" w:hAnsiTheme="minorHAnsi" w:cs="Arial"/>
                <w:sz w:val="20"/>
                <w:szCs w:val="20"/>
              </w:rPr>
            </w:pPr>
            <w:r w:rsidRPr="00701439">
              <w:rPr>
                <w:rFonts w:asciiTheme="minorHAnsi" w:hAnsiTheme="minorHAnsi" w:cs="Arial"/>
                <w:sz w:val="20"/>
                <w:szCs w:val="20"/>
              </w:rPr>
              <w:t>Total</w:t>
            </w:r>
          </w:p>
        </w:tc>
        <w:tc>
          <w:tcPr>
            <w:tcW w:w="1276" w:type="dxa"/>
            <w:tcBorders>
              <w:top w:val="single" w:sz="4" w:space="0" w:color="auto"/>
            </w:tcBorders>
            <w:vAlign w:val="bottom"/>
          </w:tcPr>
          <w:p w14:paraId="280D2812" w14:textId="77777777" w:rsidR="00A3021A" w:rsidRPr="00701439" w:rsidRDefault="00A3021A">
            <w:pPr>
              <w:jc w:val="right"/>
              <w:rPr>
                <w:rFonts w:ascii="Calibri (Body)" w:hAnsi="Calibri (Body)" w:cs="Calibri"/>
                <w:color w:val="000000"/>
                <w:sz w:val="20"/>
                <w:szCs w:val="20"/>
              </w:rPr>
            </w:pPr>
            <w:r w:rsidRPr="00701439">
              <w:rPr>
                <w:rFonts w:ascii="Calibri (Body)" w:hAnsi="Calibri (Body)" w:cs="Calibri"/>
                <w:color w:val="000000"/>
                <w:sz w:val="20"/>
                <w:szCs w:val="20"/>
              </w:rPr>
              <w:t>1,904.0</w:t>
            </w:r>
          </w:p>
        </w:tc>
        <w:tc>
          <w:tcPr>
            <w:tcW w:w="1276" w:type="dxa"/>
            <w:tcBorders>
              <w:top w:val="single" w:sz="4" w:space="0" w:color="auto"/>
            </w:tcBorders>
            <w:vAlign w:val="bottom"/>
          </w:tcPr>
          <w:p w14:paraId="1BC71488"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1,677.7</w:t>
            </w:r>
          </w:p>
        </w:tc>
      </w:tr>
      <w:tr w:rsidR="00A3021A" w:rsidRPr="00701439" w14:paraId="535B949E" w14:textId="77777777">
        <w:tc>
          <w:tcPr>
            <w:tcW w:w="7371" w:type="dxa"/>
            <w:vAlign w:val="bottom"/>
          </w:tcPr>
          <w:p w14:paraId="151AFDD1"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Fair value adjustment for portfolio hedged risk</w:t>
            </w:r>
          </w:p>
        </w:tc>
        <w:tc>
          <w:tcPr>
            <w:tcW w:w="1276" w:type="dxa"/>
            <w:tcBorders>
              <w:top w:val="single" w:sz="4" w:space="0" w:color="auto"/>
            </w:tcBorders>
            <w:vAlign w:val="bottom"/>
          </w:tcPr>
          <w:p w14:paraId="478809E6" w14:textId="77777777" w:rsidR="00A3021A" w:rsidRPr="00701439" w:rsidRDefault="00A3021A">
            <w:pPr>
              <w:jc w:val="right"/>
              <w:rPr>
                <w:rFonts w:ascii="Calibri (Body)" w:hAnsi="Calibri (Body)" w:cs="Calibri"/>
                <w:color w:val="000000"/>
                <w:sz w:val="20"/>
                <w:szCs w:val="20"/>
              </w:rPr>
            </w:pPr>
            <w:r w:rsidRPr="00701439">
              <w:rPr>
                <w:rFonts w:ascii="Calibri (Body)" w:hAnsi="Calibri (Body)" w:cs="Calibri"/>
                <w:color w:val="000000"/>
                <w:sz w:val="20"/>
                <w:szCs w:val="20"/>
              </w:rPr>
              <w:t>(7.9)</w:t>
            </w:r>
          </w:p>
        </w:tc>
        <w:tc>
          <w:tcPr>
            <w:tcW w:w="1276" w:type="dxa"/>
            <w:tcBorders>
              <w:top w:val="single" w:sz="4" w:space="0" w:color="auto"/>
            </w:tcBorders>
            <w:vAlign w:val="bottom"/>
          </w:tcPr>
          <w:p w14:paraId="48F0A7A1"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r>
      <w:tr w:rsidR="00A3021A" w:rsidRPr="00701439" w14:paraId="7C1538BA" w14:textId="77777777">
        <w:tc>
          <w:tcPr>
            <w:tcW w:w="7371" w:type="dxa"/>
            <w:vAlign w:val="bottom"/>
          </w:tcPr>
          <w:p w14:paraId="7B615606" w14:textId="77777777" w:rsidR="00A3021A" w:rsidRPr="00701439" w:rsidRDefault="00A3021A">
            <w:pPr>
              <w:rPr>
                <w:rFonts w:asciiTheme="minorHAnsi" w:hAnsiTheme="minorHAnsi" w:cs="Arial"/>
                <w:b/>
                <w:sz w:val="20"/>
                <w:szCs w:val="20"/>
              </w:rPr>
            </w:pPr>
            <w:r w:rsidRPr="00701439">
              <w:rPr>
                <w:rFonts w:asciiTheme="minorHAnsi" w:hAnsiTheme="minorHAnsi" w:cs="Arial"/>
                <w:b/>
                <w:sz w:val="20"/>
                <w:szCs w:val="20"/>
              </w:rPr>
              <w:t>Total group</w:t>
            </w:r>
          </w:p>
        </w:tc>
        <w:tc>
          <w:tcPr>
            <w:tcW w:w="1276" w:type="dxa"/>
            <w:tcBorders>
              <w:top w:val="single" w:sz="4" w:space="0" w:color="auto"/>
              <w:left w:val="nil"/>
              <w:bottom w:val="single" w:sz="4" w:space="0" w:color="auto"/>
              <w:right w:val="nil"/>
            </w:tcBorders>
            <w:vAlign w:val="bottom"/>
          </w:tcPr>
          <w:p w14:paraId="602E2235" w14:textId="77777777" w:rsidR="00A3021A" w:rsidRPr="00701439" w:rsidRDefault="00A3021A">
            <w:pPr>
              <w:jc w:val="right"/>
              <w:rPr>
                <w:rFonts w:asciiTheme="minorHAnsi" w:hAnsiTheme="minorHAnsi" w:cs="Arial"/>
                <w:sz w:val="20"/>
                <w:szCs w:val="20"/>
              </w:rPr>
            </w:pPr>
            <w:r w:rsidRPr="00701439">
              <w:rPr>
                <w:rFonts w:ascii="Calibri (Body)" w:hAnsi="Calibri (Body)" w:cs="Calibri"/>
                <w:color w:val="000000"/>
                <w:sz w:val="20"/>
                <w:szCs w:val="20"/>
              </w:rPr>
              <w:t>1,896.1</w:t>
            </w:r>
          </w:p>
        </w:tc>
        <w:tc>
          <w:tcPr>
            <w:tcW w:w="1276" w:type="dxa"/>
            <w:tcBorders>
              <w:top w:val="single" w:sz="4" w:space="0" w:color="auto"/>
              <w:left w:val="nil"/>
              <w:bottom w:val="single" w:sz="4" w:space="0" w:color="auto"/>
              <w:right w:val="nil"/>
            </w:tcBorders>
            <w:vAlign w:val="bottom"/>
          </w:tcPr>
          <w:p w14:paraId="64E3392C"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1,677.7</w:t>
            </w:r>
          </w:p>
        </w:tc>
      </w:tr>
    </w:tbl>
    <w:p w14:paraId="0ECD3D75" w14:textId="77777777" w:rsidR="00AA3539" w:rsidRPr="00701439" w:rsidRDefault="00AA3539" w:rsidP="00A3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sz w:val="20"/>
          <w:szCs w:val="20"/>
        </w:rPr>
      </w:pPr>
    </w:p>
    <w:p w14:paraId="552E3F6A" w14:textId="7D3519D1" w:rsidR="00A3021A" w:rsidRPr="00701439" w:rsidRDefault="00AA3539" w:rsidP="00A3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sz w:val="20"/>
          <w:szCs w:val="20"/>
        </w:rPr>
      </w:pPr>
      <w:r w:rsidRPr="00701439">
        <w:rPr>
          <w:rFonts w:asciiTheme="minorHAnsi" w:hAnsiTheme="minorHAnsi" w:cs="Arial"/>
          <w:sz w:val="20"/>
          <w:szCs w:val="20"/>
        </w:rPr>
        <w:t>The fair value adjustment for the portfolio hedge risk relates to the unamortised hedged accounting adjustment in relation to discontinued balance guaranteed swap. In 2021 this was presented within trade and other receivables (£3.6m).</w:t>
      </w:r>
    </w:p>
    <w:p w14:paraId="2889742A" w14:textId="77777777" w:rsidR="00AA3539" w:rsidRPr="00701439" w:rsidRDefault="00AA3539" w:rsidP="00A3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sz w:val="20"/>
          <w:szCs w:val="20"/>
        </w:rPr>
      </w:pPr>
    </w:p>
    <w:p w14:paraId="4116960E" w14:textId="237006F5" w:rsidR="00A3021A" w:rsidRPr="00701439" w:rsidRDefault="00A3021A" w:rsidP="00A3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sz w:val="20"/>
          <w:szCs w:val="20"/>
        </w:rPr>
      </w:pPr>
      <w:bookmarkStart w:id="21" w:name="OLE_LINK3"/>
      <w:bookmarkStart w:id="22" w:name="OLE_LINK10"/>
      <w:r w:rsidRPr="00701439">
        <w:rPr>
          <w:rFonts w:asciiTheme="minorHAnsi" w:hAnsiTheme="minorHAnsi" w:cs="Arial"/>
          <w:sz w:val="20"/>
          <w:szCs w:val="20"/>
        </w:rPr>
        <w:t>An analysis of receivables by IFRS 9 stages is set out below:</w:t>
      </w:r>
    </w:p>
    <w:tbl>
      <w:tblPr>
        <w:tblW w:w="9923" w:type="dxa"/>
        <w:tblLook w:val="0000" w:firstRow="0" w:lastRow="0" w:firstColumn="0" w:lastColumn="0" w:noHBand="0" w:noVBand="0"/>
      </w:tblPr>
      <w:tblGrid>
        <w:gridCol w:w="5069"/>
        <w:gridCol w:w="1275"/>
        <w:gridCol w:w="1274"/>
        <w:gridCol w:w="1132"/>
        <w:gridCol w:w="1173"/>
      </w:tblGrid>
      <w:tr w:rsidR="00A3021A" w:rsidRPr="00701439" w14:paraId="380E7F23" w14:textId="77777777">
        <w:tc>
          <w:tcPr>
            <w:tcW w:w="5069" w:type="dxa"/>
          </w:tcPr>
          <w:p w14:paraId="1A87610B" w14:textId="77777777" w:rsidR="00A3021A" w:rsidRPr="00701439" w:rsidRDefault="00A3021A">
            <w:pPr>
              <w:rPr>
                <w:rFonts w:asciiTheme="minorHAnsi" w:hAnsiTheme="minorHAnsi" w:cs="Arial"/>
                <w:sz w:val="20"/>
                <w:szCs w:val="20"/>
              </w:rPr>
            </w:pPr>
          </w:p>
        </w:tc>
        <w:tc>
          <w:tcPr>
            <w:tcW w:w="4854" w:type="dxa"/>
            <w:gridSpan w:val="4"/>
          </w:tcPr>
          <w:p w14:paraId="56A2A12F" w14:textId="77777777" w:rsidR="00A3021A" w:rsidRPr="00701439" w:rsidRDefault="00A3021A">
            <w:pPr>
              <w:jc w:val="center"/>
              <w:rPr>
                <w:rFonts w:asciiTheme="minorHAnsi" w:hAnsiTheme="minorHAnsi" w:cs="Arial"/>
                <w:sz w:val="20"/>
                <w:szCs w:val="20"/>
              </w:rPr>
            </w:pPr>
            <w:r w:rsidRPr="00701439">
              <w:rPr>
                <w:rFonts w:asciiTheme="minorHAnsi" w:hAnsiTheme="minorHAnsi" w:cs="Arial"/>
                <w:sz w:val="20"/>
                <w:szCs w:val="20"/>
              </w:rPr>
              <w:t>2022</w:t>
            </w:r>
          </w:p>
        </w:tc>
      </w:tr>
      <w:tr w:rsidR="00A3021A" w:rsidRPr="00701439" w14:paraId="2CF77456" w14:textId="77777777">
        <w:tc>
          <w:tcPr>
            <w:tcW w:w="5069" w:type="dxa"/>
          </w:tcPr>
          <w:p w14:paraId="1F302D3F" w14:textId="77777777" w:rsidR="00A3021A" w:rsidRPr="00701439" w:rsidRDefault="00A3021A">
            <w:pPr>
              <w:rPr>
                <w:rFonts w:asciiTheme="minorHAnsi" w:hAnsiTheme="minorHAnsi" w:cs="Arial"/>
                <w:sz w:val="20"/>
                <w:szCs w:val="20"/>
              </w:rPr>
            </w:pPr>
          </w:p>
        </w:tc>
        <w:tc>
          <w:tcPr>
            <w:tcW w:w="1275" w:type="dxa"/>
          </w:tcPr>
          <w:p w14:paraId="164480F6"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Stage 1 </w:t>
            </w:r>
          </w:p>
        </w:tc>
        <w:tc>
          <w:tcPr>
            <w:tcW w:w="1274" w:type="dxa"/>
          </w:tcPr>
          <w:p w14:paraId="5D14243F"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Stage 2  </w:t>
            </w:r>
          </w:p>
        </w:tc>
        <w:tc>
          <w:tcPr>
            <w:tcW w:w="1132" w:type="dxa"/>
          </w:tcPr>
          <w:p w14:paraId="68BF7EA5"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Stage 3 </w:t>
            </w:r>
          </w:p>
        </w:tc>
        <w:tc>
          <w:tcPr>
            <w:tcW w:w="1173" w:type="dxa"/>
          </w:tcPr>
          <w:p w14:paraId="156A6027"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Total </w:t>
            </w:r>
          </w:p>
        </w:tc>
      </w:tr>
      <w:tr w:rsidR="00A3021A" w:rsidRPr="00701439" w14:paraId="45958D26" w14:textId="77777777">
        <w:tc>
          <w:tcPr>
            <w:tcW w:w="5069" w:type="dxa"/>
          </w:tcPr>
          <w:p w14:paraId="2C36DB9D" w14:textId="77777777" w:rsidR="00A3021A" w:rsidRPr="00701439" w:rsidRDefault="00A3021A">
            <w:pPr>
              <w:rPr>
                <w:rFonts w:asciiTheme="minorHAnsi" w:hAnsiTheme="minorHAnsi" w:cs="Arial"/>
                <w:sz w:val="20"/>
                <w:szCs w:val="20"/>
              </w:rPr>
            </w:pPr>
          </w:p>
        </w:tc>
        <w:tc>
          <w:tcPr>
            <w:tcW w:w="1275" w:type="dxa"/>
            <w:tcBorders>
              <w:top w:val="nil"/>
              <w:left w:val="nil"/>
              <w:bottom w:val="single" w:sz="4" w:space="0" w:color="auto"/>
              <w:right w:val="nil"/>
            </w:tcBorders>
          </w:tcPr>
          <w:p w14:paraId="4F93DDBE"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£m </w:t>
            </w:r>
          </w:p>
        </w:tc>
        <w:tc>
          <w:tcPr>
            <w:tcW w:w="1274" w:type="dxa"/>
            <w:tcBorders>
              <w:top w:val="nil"/>
              <w:left w:val="nil"/>
              <w:bottom w:val="single" w:sz="4" w:space="0" w:color="auto"/>
              <w:right w:val="nil"/>
            </w:tcBorders>
          </w:tcPr>
          <w:p w14:paraId="76AE9557"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£m  </w:t>
            </w:r>
          </w:p>
        </w:tc>
        <w:tc>
          <w:tcPr>
            <w:tcW w:w="1132" w:type="dxa"/>
            <w:tcBorders>
              <w:top w:val="nil"/>
              <w:left w:val="nil"/>
              <w:bottom w:val="single" w:sz="4" w:space="0" w:color="auto"/>
              <w:right w:val="nil"/>
            </w:tcBorders>
          </w:tcPr>
          <w:p w14:paraId="22A42A36"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£m </w:t>
            </w:r>
          </w:p>
        </w:tc>
        <w:tc>
          <w:tcPr>
            <w:tcW w:w="1173" w:type="dxa"/>
            <w:tcBorders>
              <w:top w:val="nil"/>
              <w:left w:val="nil"/>
              <w:bottom w:val="single" w:sz="4" w:space="0" w:color="auto"/>
              <w:right w:val="nil"/>
            </w:tcBorders>
          </w:tcPr>
          <w:p w14:paraId="0EF419FC"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£m </w:t>
            </w:r>
          </w:p>
        </w:tc>
      </w:tr>
      <w:tr w:rsidR="00A3021A" w:rsidRPr="00701439" w14:paraId="24CE410A" w14:textId="77777777">
        <w:tc>
          <w:tcPr>
            <w:tcW w:w="5069" w:type="dxa"/>
          </w:tcPr>
          <w:p w14:paraId="1554B1EA" w14:textId="77777777" w:rsidR="00A3021A" w:rsidRPr="00701439" w:rsidRDefault="00A3021A">
            <w:pPr>
              <w:rPr>
                <w:rFonts w:asciiTheme="minorHAnsi" w:hAnsiTheme="minorHAnsi" w:cs="Arial"/>
                <w:b/>
                <w:sz w:val="20"/>
                <w:szCs w:val="20"/>
              </w:rPr>
            </w:pPr>
            <w:r w:rsidRPr="00701439">
              <w:rPr>
                <w:rFonts w:asciiTheme="minorHAnsi" w:hAnsiTheme="minorHAnsi" w:cs="Arial"/>
                <w:b/>
                <w:sz w:val="20"/>
                <w:szCs w:val="20"/>
              </w:rPr>
              <w:t>Gross receivables</w:t>
            </w:r>
          </w:p>
        </w:tc>
        <w:tc>
          <w:tcPr>
            <w:tcW w:w="1275" w:type="dxa"/>
            <w:vAlign w:val="bottom"/>
          </w:tcPr>
          <w:p w14:paraId="6D3A1FF1" w14:textId="77777777" w:rsidR="00A3021A" w:rsidRPr="00701439" w:rsidRDefault="00A3021A">
            <w:pPr>
              <w:jc w:val="right"/>
              <w:rPr>
                <w:rFonts w:asciiTheme="minorHAnsi" w:hAnsiTheme="minorHAnsi" w:cs="Arial"/>
                <w:sz w:val="20"/>
                <w:szCs w:val="20"/>
              </w:rPr>
            </w:pPr>
          </w:p>
        </w:tc>
        <w:tc>
          <w:tcPr>
            <w:tcW w:w="1274" w:type="dxa"/>
            <w:vAlign w:val="bottom"/>
          </w:tcPr>
          <w:p w14:paraId="69E85AC2" w14:textId="77777777" w:rsidR="00A3021A" w:rsidRPr="00701439" w:rsidRDefault="00A3021A">
            <w:pPr>
              <w:jc w:val="right"/>
              <w:rPr>
                <w:rFonts w:asciiTheme="minorHAnsi" w:hAnsiTheme="minorHAnsi" w:cs="Arial"/>
                <w:sz w:val="20"/>
                <w:szCs w:val="20"/>
              </w:rPr>
            </w:pPr>
          </w:p>
        </w:tc>
        <w:tc>
          <w:tcPr>
            <w:tcW w:w="1132" w:type="dxa"/>
          </w:tcPr>
          <w:p w14:paraId="11EEA836" w14:textId="77777777" w:rsidR="00A3021A" w:rsidRPr="00701439" w:rsidRDefault="00A3021A">
            <w:pPr>
              <w:jc w:val="right"/>
              <w:rPr>
                <w:rFonts w:asciiTheme="minorHAnsi" w:hAnsiTheme="minorHAnsi" w:cs="Arial"/>
                <w:sz w:val="20"/>
                <w:szCs w:val="20"/>
              </w:rPr>
            </w:pPr>
          </w:p>
        </w:tc>
        <w:tc>
          <w:tcPr>
            <w:tcW w:w="1173" w:type="dxa"/>
          </w:tcPr>
          <w:p w14:paraId="0BB7CA08" w14:textId="77777777" w:rsidR="00A3021A" w:rsidRPr="00701439" w:rsidRDefault="00A3021A">
            <w:pPr>
              <w:jc w:val="right"/>
              <w:rPr>
                <w:rFonts w:asciiTheme="minorHAnsi" w:hAnsiTheme="minorHAnsi" w:cs="Arial"/>
                <w:sz w:val="20"/>
                <w:szCs w:val="20"/>
              </w:rPr>
            </w:pPr>
          </w:p>
        </w:tc>
      </w:tr>
      <w:tr w:rsidR="00A3021A" w:rsidRPr="00701439" w14:paraId="73C02AAD" w14:textId="77777777">
        <w:tc>
          <w:tcPr>
            <w:tcW w:w="5069" w:type="dxa"/>
            <w:vAlign w:val="bottom"/>
          </w:tcPr>
          <w:p w14:paraId="17A1F5F3"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Credit cards</w:t>
            </w:r>
          </w:p>
        </w:tc>
        <w:tc>
          <w:tcPr>
            <w:tcW w:w="1275" w:type="dxa"/>
            <w:vAlign w:val="bottom"/>
          </w:tcPr>
          <w:p w14:paraId="3B653289" w14:textId="77777777" w:rsidR="00A3021A" w:rsidRPr="00701439" w:rsidRDefault="00A3021A">
            <w:pPr>
              <w:jc w:val="right"/>
              <w:rPr>
                <w:rFonts w:asciiTheme="minorHAnsi" w:hAnsiTheme="minorHAnsi" w:cs="Arial"/>
                <w:sz w:val="20"/>
                <w:szCs w:val="20"/>
              </w:rPr>
            </w:pPr>
            <w:r w:rsidRPr="00701439">
              <w:rPr>
                <w:rFonts w:ascii="Calibri (Body)" w:hAnsi="Calibri (Body)" w:cs="Calibri"/>
                <w:color w:val="000000"/>
                <w:sz w:val="20"/>
                <w:szCs w:val="20"/>
              </w:rPr>
              <w:t>1,116.6</w:t>
            </w:r>
          </w:p>
        </w:tc>
        <w:tc>
          <w:tcPr>
            <w:tcW w:w="1274" w:type="dxa"/>
            <w:vAlign w:val="bottom"/>
          </w:tcPr>
          <w:p w14:paraId="345081A5" w14:textId="77777777" w:rsidR="00A3021A" w:rsidRPr="00701439" w:rsidRDefault="00A3021A">
            <w:pPr>
              <w:jc w:val="right"/>
              <w:rPr>
                <w:rFonts w:asciiTheme="minorHAnsi" w:hAnsiTheme="minorHAnsi" w:cs="Arial"/>
                <w:sz w:val="20"/>
                <w:szCs w:val="20"/>
              </w:rPr>
            </w:pPr>
            <w:r w:rsidRPr="00701439">
              <w:rPr>
                <w:rFonts w:ascii="Calibri (Body)" w:hAnsi="Calibri (Body)" w:cs="Calibri"/>
                <w:color w:val="000000"/>
                <w:sz w:val="20"/>
                <w:szCs w:val="20"/>
              </w:rPr>
              <w:t>148.7</w:t>
            </w:r>
          </w:p>
        </w:tc>
        <w:tc>
          <w:tcPr>
            <w:tcW w:w="1132" w:type="dxa"/>
            <w:vAlign w:val="bottom"/>
          </w:tcPr>
          <w:p w14:paraId="0F8A628C" w14:textId="77777777" w:rsidR="00A3021A" w:rsidRPr="00701439" w:rsidRDefault="00A3021A">
            <w:pPr>
              <w:jc w:val="right"/>
              <w:rPr>
                <w:rFonts w:asciiTheme="minorHAnsi" w:hAnsiTheme="minorHAnsi" w:cs="Arial"/>
                <w:sz w:val="20"/>
                <w:szCs w:val="20"/>
              </w:rPr>
            </w:pPr>
            <w:r w:rsidRPr="00701439">
              <w:rPr>
                <w:rFonts w:ascii="Calibri (Body)" w:hAnsi="Calibri (Body)" w:cs="Calibri"/>
                <w:color w:val="000000"/>
                <w:sz w:val="20"/>
                <w:szCs w:val="20"/>
              </w:rPr>
              <w:t>186.7</w:t>
            </w:r>
          </w:p>
        </w:tc>
        <w:tc>
          <w:tcPr>
            <w:tcW w:w="1173" w:type="dxa"/>
            <w:vAlign w:val="bottom"/>
          </w:tcPr>
          <w:p w14:paraId="4AF352E6" w14:textId="77777777" w:rsidR="00A3021A" w:rsidRPr="00701439" w:rsidRDefault="00A3021A">
            <w:pPr>
              <w:jc w:val="right"/>
              <w:rPr>
                <w:rFonts w:asciiTheme="minorHAnsi" w:hAnsiTheme="minorHAnsi" w:cs="Arial"/>
                <w:sz w:val="20"/>
                <w:szCs w:val="20"/>
              </w:rPr>
            </w:pPr>
            <w:r w:rsidRPr="00701439">
              <w:rPr>
                <w:rFonts w:ascii="Calibri (Body)" w:hAnsi="Calibri (Body)" w:cs="Calibri"/>
                <w:color w:val="000000"/>
                <w:sz w:val="20"/>
                <w:szCs w:val="20"/>
              </w:rPr>
              <w:t>1,452.0</w:t>
            </w:r>
          </w:p>
        </w:tc>
      </w:tr>
      <w:tr w:rsidR="00A3021A" w:rsidRPr="00701439" w14:paraId="691B935B" w14:textId="77777777">
        <w:tc>
          <w:tcPr>
            <w:tcW w:w="5069" w:type="dxa"/>
            <w:vAlign w:val="bottom"/>
          </w:tcPr>
          <w:p w14:paraId="2E3228FB"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Vehicle finance</w:t>
            </w:r>
          </w:p>
        </w:tc>
        <w:tc>
          <w:tcPr>
            <w:tcW w:w="1275" w:type="dxa"/>
            <w:vAlign w:val="bottom"/>
          </w:tcPr>
          <w:p w14:paraId="555B0205" w14:textId="77777777" w:rsidR="00A3021A" w:rsidRPr="00701439" w:rsidRDefault="00A3021A">
            <w:pPr>
              <w:jc w:val="right"/>
              <w:rPr>
                <w:rFonts w:asciiTheme="minorHAnsi" w:hAnsiTheme="minorHAnsi" w:cs="Arial"/>
                <w:sz w:val="20"/>
                <w:szCs w:val="20"/>
              </w:rPr>
            </w:pPr>
            <w:r w:rsidRPr="00701439">
              <w:rPr>
                <w:rFonts w:ascii="Calibri (Body)" w:hAnsi="Calibri (Body)" w:cs="Calibri"/>
                <w:color w:val="000000"/>
                <w:sz w:val="20"/>
                <w:szCs w:val="20"/>
              </w:rPr>
              <w:t>351.0</w:t>
            </w:r>
          </w:p>
        </w:tc>
        <w:tc>
          <w:tcPr>
            <w:tcW w:w="1274" w:type="dxa"/>
            <w:vAlign w:val="bottom"/>
          </w:tcPr>
          <w:p w14:paraId="1F6955AE" w14:textId="77777777" w:rsidR="00A3021A" w:rsidRPr="00701439" w:rsidRDefault="00A3021A">
            <w:pPr>
              <w:jc w:val="right"/>
              <w:rPr>
                <w:rFonts w:asciiTheme="minorHAnsi" w:hAnsiTheme="minorHAnsi" w:cs="Arial"/>
                <w:sz w:val="20"/>
                <w:szCs w:val="20"/>
              </w:rPr>
            </w:pPr>
            <w:r w:rsidRPr="00701439">
              <w:rPr>
                <w:rFonts w:ascii="Calibri (Body)" w:hAnsi="Calibri (Body)" w:cs="Calibri"/>
                <w:color w:val="000000"/>
                <w:sz w:val="20"/>
                <w:szCs w:val="20"/>
              </w:rPr>
              <w:t>169.3</w:t>
            </w:r>
          </w:p>
        </w:tc>
        <w:tc>
          <w:tcPr>
            <w:tcW w:w="1132" w:type="dxa"/>
            <w:vAlign w:val="bottom"/>
          </w:tcPr>
          <w:p w14:paraId="2708C237" w14:textId="77777777" w:rsidR="00A3021A" w:rsidRPr="00701439" w:rsidRDefault="00A3021A">
            <w:pPr>
              <w:jc w:val="right"/>
              <w:rPr>
                <w:rFonts w:asciiTheme="minorHAnsi" w:hAnsiTheme="minorHAnsi" w:cs="Arial"/>
                <w:sz w:val="20"/>
                <w:szCs w:val="20"/>
              </w:rPr>
            </w:pPr>
            <w:r w:rsidRPr="00701439">
              <w:rPr>
                <w:rFonts w:ascii="Calibri (Body)" w:hAnsi="Calibri (Body)" w:cs="Calibri"/>
                <w:color w:val="000000"/>
                <w:sz w:val="20"/>
                <w:szCs w:val="20"/>
              </w:rPr>
              <w:t>452.0</w:t>
            </w:r>
          </w:p>
        </w:tc>
        <w:tc>
          <w:tcPr>
            <w:tcW w:w="1173" w:type="dxa"/>
            <w:vAlign w:val="bottom"/>
          </w:tcPr>
          <w:p w14:paraId="160F6ED5" w14:textId="77777777" w:rsidR="00A3021A" w:rsidRPr="00701439" w:rsidRDefault="00A3021A">
            <w:pPr>
              <w:jc w:val="right"/>
              <w:rPr>
                <w:rFonts w:asciiTheme="minorHAnsi" w:hAnsiTheme="minorHAnsi" w:cs="Arial"/>
                <w:sz w:val="20"/>
                <w:szCs w:val="20"/>
              </w:rPr>
            </w:pPr>
            <w:r w:rsidRPr="00701439">
              <w:rPr>
                <w:rFonts w:ascii="Calibri (Body)" w:hAnsi="Calibri (Body)" w:cs="Calibri"/>
                <w:color w:val="000000"/>
                <w:sz w:val="20"/>
                <w:szCs w:val="20"/>
              </w:rPr>
              <w:t>972.3</w:t>
            </w:r>
          </w:p>
        </w:tc>
      </w:tr>
      <w:tr w:rsidR="00A3021A" w:rsidRPr="00701439" w14:paraId="149E7E8C" w14:textId="77777777">
        <w:tc>
          <w:tcPr>
            <w:tcW w:w="5069" w:type="dxa"/>
            <w:vAlign w:val="bottom"/>
          </w:tcPr>
          <w:p w14:paraId="61F0E9D1"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Personal loans</w:t>
            </w:r>
          </w:p>
        </w:tc>
        <w:tc>
          <w:tcPr>
            <w:tcW w:w="1275" w:type="dxa"/>
            <w:vAlign w:val="bottom"/>
          </w:tcPr>
          <w:p w14:paraId="7246D602" w14:textId="77777777" w:rsidR="00A3021A" w:rsidRPr="00701439" w:rsidRDefault="00A3021A">
            <w:pPr>
              <w:jc w:val="right"/>
              <w:rPr>
                <w:rFonts w:asciiTheme="minorHAnsi" w:hAnsiTheme="minorHAnsi" w:cs="Arial"/>
                <w:sz w:val="20"/>
                <w:szCs w:val="20"/>
              </w:rPr>
            </w:pPr>
            <w:r w:rsidRPr="00701439">
              <w:rPr>
                <w:rFonts w:ascii="Calibri (Body)" w:hAnsi="Calibri (Body)" w:cs="Calibri"/>
                <w:color w:val="000000"/>
                <w:sz w:val="20"/>
                <w:szCs w:val="20"/>
              </w:rPr>
              <w:t>78.1</w:t>
            </w:r>
          </w:p>
        </w:tc>
        <w:tc>
          <w:tcPr>
            <w:tcW w:w="1274" w:type="dxa"/>
            <w:vAlign w:val="bottom"/>
          </w:tcPr>
          <w:p w14:paraId="228CF7D3" w14:textId="77777777" w:rsidR="00A3021A" w:rsidRPr="00701439" w:rsidRDefault="00A3021A">
            <w:pPr>
              <w:jc w:val="right"/>
              <w:rPr>
                <w:rFonts w:asciiTheme="minorHAnsi" w:hAnsiTheme="minorHAnsi" w:cs="Arial"/>
                <w:sz w:val="20"/>
                <w:szCs w:val="20"/>
              </w:rPr>
            </w:pPr>
            <w:r w:rsidRPr="00701439">
              <w:rPr>
                <w:rFonts w:ascii="Calibri (Body)" w:hAnsi="Calibri (Body)" w:cs="Calibri"/>
                <w:color w:val="000000"/>
                <w:sz w:val="20"/>
                <w:szCs w:val="20"/>
              </w:rPr>
              <w:t>2.1</w:t>
            </w:r>
          </w:p>
        </w:tc>
        <w:tc>
          <w:tcPr>
            <w:tcW w:w="1132" w:type="dxa"/>
            <w:vAlign w:val="bottom"/>
          </w:tcPr>
          <w:p w14:paraId="150C1F1D" w14:textId="77777777" w:rsidR="00A3021A" w:rsidRPr="00701439" w:rsidRDefault="00A3021A">
            <w:pPr>
              <w:jc w:val="right"/>
              <w:rPr>
                <w:rFonts w:asciiTheme="minorHAnsi" w:hAnsiTheme="minorHAnsi" w:cs="Arial"/>
                <w:sz w:val="20"/>
                <w:szCs w:val="20"/>
              </w:rPr>
            </w:pPr>
            <w:r w:rsidRPr="00701439">
              <w:rPr>
                <w:rFonts w:ascii="Calibri (Body)" w:hAnsi="Calibri (Body)" w:cs="Calibri"/>
                <w:color w:val="000000"/>
                <w:sz w:val="20"/>
                <w:szCs w:val="20"/>
              </w:rPr>
              <w:t>5.3</w:t>
            </w:r>
          </w:p>
        </w:tc>
        <w:tc>
          <w:tcPr>
            <w:tcW w:w="1173" w:type="dxa"/>
            <w:vAlign w:val="bottom"/>
          </w:tcPr>
          <w:p w14:paraId="0D125DA0" w14:textId="77777777" w:rsidR="00A3021A" w:rsidRPr="00701439" w:rsidRDefault="00A3021A">
            <w:pPr>
              <w:jc w:val="right"/>
              <w:rPr>
                <w:rFonts w:asciiTheme="minorHAnsi" w:hAnsiTheme="minorHAnsi" w:cs="Arial"/>
                <w:sz w:val="20"/>
                <w:szCs w:val="20"/>
              </w:rPr>
            </w:pPr>
            <w:r w:rsidRPr="00701439">
              <w:rPr>
                <w:rFonts w:ascii="Calibri (Body)" w:hAnsi="Calibri (Body)" w:cs="Calibri"/>
                <w:color w:val="000000"/>
                <w:sz w:val="20"/>
                <w:szCs w:val="20"/>
              </w:rPr>
              <w:t>85.5</w:t>
            </w:r>
          </w:p>
        </w:tc>
      </w:tr>
      <w:tr w:rsidR="00A3021A" w:rsidRPr="00701439" w14:paraId="3C434DA8" w14:textId="77777777">
        <w:tc>
          <w:tcPr>
            <w:tcW w:w="5069" w:type="dxa"/>
            <w:vAlign w:val="bottom"/>
          </w:tcPr>
          <w:p w14:paraId="1F6975E9" w14:textId="77777777" w:rsidR="00A3021A" w:rsidRPr="00701439" w:rsidRDefault="00A3021A">
            <w:pPr>
              <w:rPr>
                <w:rFonts w:asciiTheme="minorHAnsi" w:hAnsiTheme="minorHAnsi" w:cs="Arial"/>
                <w:b/>
                <w:sz w:val="20"/>
                <w:szCs w:val="20"/>
              </w:rPr>
            </w:pPr>
            <w:r w:rsidRPr="00701439">
              <w:rPr>
                <w:rFonts w:asciiTheme="minorHAnsi" w:hAnsiTheme="minorHAnsi" w:cs="Arial"/>
                <w:b/>
                <w:sz w:val="20"/>
                <w:szCs w:val="20"/>
              </w:rPr>
              <w:t>Total group</w:t>
            </w:r>
          </w:p>
        </w:tc>
        <w:tc>
          <w:tcPr>
            <w:tcW w:w="1275" w:type="dxa"/>
            <w:tcBorders>
              <w:top w:val="single" w:sz="4" w:space="0" w:color="auto"/>
              <w:left w:val="nil"/>
              <w:bottom w:val="single" w:sz="4" w:space="0" w:color="auto"/>
              <w:right w:val="nil"/>
            </w:tcBorders>
            <w:vAlign w:val="bottom"/>
          </w:tcPr>
          <w:p w14:paraId="2BDD3633" w14:textId="77777777" w:rsidR="00A3021A" w:rsidRPr="00701439" w:rsidRDefault="00A3021A">
            <w:pPr>
              <w:jc w:val="right"/>
              <w:rPr>
                <w:rFonts w:asciiTheme="minorHAnsi" w:hAnsiTheme="minorHAnsi" w:cs="Arial"/>
                <w:sz w:val="20"/>
                <w:szCs w:val="20"/>
              </w:rPr>
            </w:pPr>
            <w:r w:rsidRPr="00701439">
              <w:rPr>
                <w:rFonts w:ascii="Calibri (Body)" w:hAnsi="Calibri (Body)" w:cs="Calibri"/>
                <w:color w:val="000000"/>
                <w:sz w:val="20"/>
                <w:szCs w:val="20"/>
              </w:rPr>
              <w:t>1,545.7</w:t>
            </w:r>
          </w:p>
        </w:tc>
        <w:tc>
          <w:tcPr>
            <w:tcW w:w="1274" w:type="dxa"/>
            <w:tcBorders>
              <w:top w:val="single" w:sz="4" w:space="0" w:color="auto"/>
              <w:left w:val="nil"/>
              <w:bottom w:val="single" w:sz="4" w:space="0" w:color="auto"/>
              <w:right w:val="nil"/>
            </w:tcBorders>
            <w:vAlign w:val="bottom"/>
          </w:tcPr>
          <w:p w14:paraId="60751219" w14:textId="77777777" w:rsidR="00A3021A" w:rsidRPr="00701439" w:rsidRDefault="00A3021A">
            <w:pPr>
              <w:jc w:val="right"/>
              <w:rPr>
                <w:rFonts w:asciiTheme="minorHAnsi" w:hAnsiTheme="minorHAnsi" w:cs="Arial"/>
                <w:sz w:val="20"/>
                <w:szCs w:val="20"/>
              </w:rPr>
            </w:pPr>
            <w:r w:rsidRPr="00701439">
              <w:rPr>
                <w:rFonts w:ascii="Calibri (Body)" w:hAnsi="Calibri (Body)" w:cs="Calibri"/>
                <w:color w:val="000000"/>
                <w:sz w:val="20"/>
                <w:szCs w:val="20"/>
              </w:rPr>
              <w:t>320.1</w:t>
            </w:r>
          </w:p>
        </w:tc>
        <w:tc>
          <w:tcPr>
            <w:tcW w:w="1132" w:type="dxa"/>
            <w:tcBorders>
              <w:top w:val="single" w:sz="4" w:space="0" w:color="auto"/>
              <w:left w:val="nil"/>
              <w:bottom w:val="single" w:sz="4" w:space="0" w:color="auto"/>
              <w:right w:val="nil"/>
            </w:tcBorders>
            <w:vAlign w:val="bottom"/>
          </w:tcPr>
          <w:p w14:paraId="0644458B" w14:textId="77777777" w:rsidR="00A3021A" w:rsidRPr="00701439" w:rsidRDefault="00A3021A">
            <w:pPr>
              <w:jc w:val="right"/>
              <w:rPr>
                <w:rFonts w:asciiTheme="minorHAnsi" w:hAnsiTheme="minorHAnsi" w:cs="Arial"/>
                <w:sz w:val="20"/>
                <w:szCs w:val="20"/>
              </w:rPr>
            </w:pPr>
            <w:r w:rsidRPr="00701439">
              <w:rPr>
                <w:rFonts w:ascii="Calibri (Body)" w:hAnsi="Calibri (Body)" w:cs="Calibri"/>
                <w:color w:val="000000"/>
                <w:sz w:val="20"/>
                <w:szCs w:val="20"/>
              </w:rPr>
              <w:t>644.0</w:t>
            </w:r>
          </w:p>
        </w:tc>
        <w:tc>
          <w:tcPr>
            <w:tcW w:w="1173" w:type="dxa"/>
            <w:tcBorders>
              <w:top w:val="single" w:sz="4" w:space="0" w:color="auto"/>
              <w:left w:val="nil"/>
              <w:bottom w:val="single" w:sz="4" w:space="0" w:color="auto"/>
              <w:right w:val="nil"/>
            </w:tcBorders>
            <w:vAlign w:val="bottom"/>
          </w:tcPr>
          <w:p w14:paraId="042C8DA9" w14:textId="77777777" w:rsidR="00A3021A" w:rsidRPr="00701439" w:rsidRDefault="00A3021A">
            <w:pPr>
              <w:jc w:val="right"/>
              <w:rPr>
                <w:rFonts w:asciiTheme="minorHAnsi" w:hAnsiTheme="minorHAnsi" w:cs="Arial"/>
                <w:sz w:val="20"/>
                <w:szCs w:val="20"/>
              </w:rPr>
            </w:pPr>
            <w:r w:rsidRPr="00701439">
              <w:rPr>
                <w:rFonts w:ascii="Calibri (Body)" w:hAnsi="Calibri (Body)" w:cs="Calibri"/>
                <w:color w:val="000000"/>
                <w:sz w:val="20"/>
                <w:szCs w:val="20"/>
              </w:rPr>
              <w:t>2,509.8</w:t>
            </w:r>
          </w:p>
        </w:tc>
      </w:tr>
      <w:tr w:rsidR="00A3021A" w:rsidRPr="00701439" w14:paraId="0F5AE1B9" w14:textId="77777777">
        <w:tc>
          <w:tcPr>
            <w:tcW w:w="5069" w:type="dxa"/>
            <w:vAlign w:val="bottom"/>
          </w:tcPr>
          <w:p w14:paraId="7D0707E2" w14:textId="77777777" w:rsidR="00A3021A" w:rsidRPr="00701439" w:rsidRDefault="00A3021A">
            <w:pPr>
              <w:rPr>
                <w:rFonts w:asciiTheme="minorHAnsi" w:hAnsiTheme="minorHAnsi" w:cs="Arial"/>
                <w:sz w:val="20"/>
                <w:szCs w:val="20"/>
              </w:rPr>
            </w:pPr>
          </w:p>
        </w:tc>
        <w:tc>
          <w:tcPr>
            <w:tcW w:w="1275" w:type="dxa"/>
            <w:tcBorders>
              <w:top w:val="single" w:sz="4" w:space="0" w:color="auto"/>
              <w:left w:val="nil"/>
              <w:bottom w:val="nil"/>
              <w:right w:val="nil"/>
            </w:tcBorders>
            <w:vAlign w:val="bottom"/>
          </w:tcPr>
          <w:p w14:paraId="11C671D9" w14:textId="77777777" w:rsidR="00A3021A" w:rsidRPr="00701439" w:rsidRDefault="00A3021A">
            <w:pPr>
              <w:jc w:val="right"/>
              <w:rPr>
                <w:rFonts w:asciiTheme="minorHAnsi" w:hAnsiTheme="minorHAnsi" w:cs="Arial"/>
                <w:sz w:val="20"/>
                <w:szCs w:val="20"/>
              </w:rPr>
            </w:pPr>
          </w:p>
        </w:tc>
        <w:tc>
          <w:tcPr>
            <w:tcW w:w="1274" w:type="dxa"/>
            <w:tcBorders>
              <w:top w:val="single" w:sz="4" w:space="0" w:color="auto"/>
              <w:left w:val="nil"/>
              <w:bottom w:val="nil"/>
              <w:right w:val="nil"/>
            </w:tcBorders>
            <w:vAlign w:val="bottom"/>
          </w:tcPr>
          <w:p w14:paraId="050A5858" w14:textId="77777777" w:rsidR="00A3021A" w:rsidRPr="00701439" w:rsidRDefault="00A3021A">
            <w:pPr>
              <w:jc w:val="right"/>
              <w:rPr>
                <w:rFonts w:asciiTheme="minorHAnsi" w:hAnsiTheme="minorHAnsi" w:cs="Arial"/>
                <w:sz w:val="20"/>
                <w:szCs w:val="20"/>
              </w:rPr>
            </w:pPr>
          </w:p>
        </w:tc>
        <w:tc>
          <w:tcPr>
            <w:tcW w:w="1132" w:type="dxa"/>
            <w:tcBorders>
              <w:top w:val="single" w:sz="4" w:space="0" w:color="auto"/>
              <w:left w:val="nil"/>
              <w:bottom w:val="nil"/>
              <w:right w:val="nil"/>
            </w:tcBorders>
          </w:tcPr>
          <w:p w14:paraId="78EBD885" w14:textId="77777777" w:rsidR="00A3021A" w:rsidRPr="00701439" w:rsidRDefault="00A3021A">
            <w:pPr>
              <w:jc w:val="right"/>
              <w:rPr>
                <w:rFonts w:asciiTheme="minorHAnsi" w:hAnsiTheme="minorHAnsi" w:cs="Arial"/>
                <w:sz w:val="20"/>
                <w:szCs w:val="20"/>
              </w:rPr>
            </w:pPr>
          </w:p>
        </w:tc>
        <w:tc>
          <w:tcPr>
            <w:tcW w:w="1173" w:type="dxa"/>
            <w:tcBorders>
              <w:top w:val="single" w:sz="4" w:space="0" w:color="auto"/>
              <w:left w:val="nil"/>
              <w:bottom w:val="nil"/>
              <w:right w:val="nil"/>
            </w:tcBorders>
          </w:tcPr>
          <w:p w14:paraId="0ADE5B22" w14:textId="77777777" w:rsidR="00A3021A" w:rsidRPr="00701439" w:rsidRDefault="00A3021A">
            <w:pPr>
              <w:jc w:val="right"/>
              <w:rPr>
                <w:rFonts w:asciiTheme="minorHAnsi" w:hAnsiTheme="minorHAnsi" w:cs="Arial"/>
                <w:sz w:val="20"/>
                <w:szCs w:val="20"/>
              </w:rPr>
            </w:pPr>
          </w:p>
        </w:tc>
      </w:tr>
      <w:tr w:rsidR="00A3021A" w:rsidRPr="00701439" w14:paraId="5AD0F145" w14:textId="77777777">
        <w:tc>
          <w:tcPr>
            <w:tcW w:w="5069" w:type="dxa"/>
          </w:tcPr>
          <w:p w14:paraId="2C923CCA" w14:textId="77777777" w:rsidR="00A3021A" w:rsidRPr="00701439" w:rsidRDefault="00A3021A">
            <w:pPr>
              <w:rPr>
                <w:rFonts w:asciiTheme="minorHAnsi" w:hAnsiTheme="minorHAnsi" w:cs="Arial"/>
                <w:b/>
                <w:sz w:val="20"/>
                <w:szCs w:val="20"/>
              </w:rPr>
            </w:pPr>
            <w:r w:rsidRPr="00701439">
              <w:rPr>
                <w:rFonts w:asciiTheme="minorHAnsi" w:hAnsiTheme="minorHAnsi" w:cs="Arial"/>
                <w:b/>
                <w:sz w:val="20"/>
                <w:szCs w:val="20"/>
              </w:rPr>
              <w:t>Allowance account</w:t>
            </w:r>
          </w:p>
        </w:tc>
        <w:tc>
          <w:tcPr>
            <w:tcW w:w="1275" w:type="dxa"/>
            <w:vAlign w:val="bottom"/>
          </w:tcPr>
          <w:p w14:paraId="0132EF46" w14:textId="77777777" w:rsidR="00A3021A" w:rsidRPr="00701439" w:rsidRDefault="00A3021A">
            <w:pPr>
              <w:jc w:val="right"/>
              <w:rPr>
                <w:rFonts w:asciiTheme="minorHAnsi" w:hAnsiTheme="minorHAnsi" w:cs="Arial"/>
                <w:sz w:val="20"/>
                <w:szCs w:val="20"/>
              </w:rPr>
            </w:pPr>
          </w:p>
        </w:tc>
        <w:tc>
          <w:tcPr>
            <w:tcW w:w="1274" w:type="dxa"/>
            <w:vAlign w:val="bottom"/>
          </w:tcPr>
          <w:p w14:paraId="1A11F466" w14:textId="77777777" w:rsidR="00A3021A" w:rsidRPr="00701439" w:rsidRDefault="00A3021A">
            <w:pPr>
              <w:jc w:val="right"/>
              <w:rPr>
                <w:rFonts w:asciiTheme="minorHAnsi" w:hAnsiTheme="minorHAnsi" w:cs="Arial"/>
                <w:sz w:val="20"/>
                <w:szCs w:val="20"/>
              </w:rPr>
            </w:pPr>
          </w:p>
        </w:tc>
        <w:tc>
          <w:tcPr>
            <w:tcW w:w="1132" w:type="dxa"/>
          </w:tcPr>
          <w:p w14:paraId="3DD9A7BA" w14:textId="77777777" w:rsidR="00A3021A" w:rsidRPr="00701439" w:rsidRDefault="00A3021A">
            <w:pPr>
              <w:jc w:val="right"/>
              <w:rPr>
                <w:rFonts w:asciiTheme="minorHAnsi" w:hAnsiTheme="minorHAnsi" w:cs="Arial"/>
                <w:sz w:val="20"/>
                <w:szCs w:val="20"/>
              </w:rPr>
            </w:pPr>
          </w:p>
        </w:tc>
        <w:tc>
          <w:tcPr>
            <w:tcW w:w="1173" w:type="dxa"/>
          </w:tcPr>
          <w:p w14:paraId="6204522A" w14:textId="77777777" w:rsidR="00A3021A" w:rsidRPr="00701439" w:rsidRDefault="00A3021A">
            <w:pPr>
              <w:jc w:val="right"/>
              <w:rPr>
                <w:rFonts w:asciiTheme="minorHAnsi" w:hAnsiTheme="minorHAnsi" w:cs="Arial"/>
                <w:sz w:val="20"/>
                <w:szCs w:val="20"/>
              </w:rPr>
            </w:pPr>
          </w:p>
        </w:tc>
      </w:tr>
      <w:tr w:rsidR="00A3021A" w:rsidRPr="00701439" w14:paraId="61D5762A" w14:textId="77777777">
        <w:tc>
          <w:tcPr>
            <w:tcW w:w="5069" w:type="dxa"/>
            <w:vAlign w:val="bottom"/>
          </w:tcPr>
          <w:p w14:paraId="1CC4C002"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Credit cards</w:t>
            </w:r>
          </w:p>
        </w:tc>
        <w:tc>
          <w:tcPr>
            <w:tcW w:w="1275" w:type="dxa"/>
            <w:vAlign w:val="bottom"/>
          </w:tcPr>
          <w:p w14:paraId="4306BB55" w14:textId="77777777" w:rsidR="00A3021A" w:rsidRPr="00701439" w:rsidRDefault="00A3021A">
            <w:pPr>
              <w:jc w:val="right"/>
              <w:rPr>
                <w:rFonts w:asciiTheme="minorHAnsi" w:hAnsiTheme="minorHAnsi" w:cs="Arial"/>
                <w:sz w:val="20"/>
                <w:szCs w:val="20"/>
              </w:rPr>
            </w:pPr>
            <w:r w:rsidRPr="00701439">
              <w:rPr>
                <w:rFonts w:ascii="Calibri (Body)" w:hAnsi="Calibri (Body)" w:cs="Calibri"/>
                <w:color w:val="000000"/>
                <w:sz w:val="20"/>
                <w:szCs w:val="20"/>
              </w:rPr>
              <w:t>(93.2)</w:t>
            </w:r>
          </w:p>
        </w:tc>
        <w:tc>
          <w:tcPr>
            <w:tcW w:w="1274" w:type="dxa"/>
            <w:vAlign w:val="bottom"/>
          </w:tcPr>
          <w:p w14:paraId="744D84F7" w14:textId="77777777" w:rsidR="00A3021A" w:rsidRPr="00701439" w:rsidRDefault="00A3021A">
            <w:pPr>
              <w:jc w:val="right"/>
              <w:rPr>
                <w:rFonts w:asciiTheme="minorHAnsi" w:hAnsiTheme="minorHAnsi" w:cs="Arial"/>
                <w:sz w:val="20"/>
                <w:szCs w:val="20"/>
              </w:rPr>
            </w:pPr>
            <w:r w:rsidRPr="00701439">
              <w:rPr>
                <w:rFonts w:ascii="Calibri (Body)" w:hAnsi="Calibri (Body)" w:cs="Calibri"/>
                <w:color w:val="000000"/>
                <w:sz w:val="20"/>
                <w:szCs w:val="20"/>
              </w:rPr>
              <w:t>(58.2)</w:t>
            </w:r>
          </w:p>
        </w:tc>
        <w:tc>
          <w:tcPr>
            <w:tcW w:w="1132" w:type="dxa"/>
            <w:vAlign w:val="bottom"/>
          </w:tcPr>
          <w:p w14:paraId="5CF2F6CF" w14:textId="77777777" w:rsidR="00A3021A" w:rsidRPr="00701439" w:rsidRDefault="00A3021A">
            <w:pPr>
              <w:jc w:val="right"/>
              <w:rPr>
                <w:rFonts w:asciiTheme="minorHAnsi" w:hAnsiTheme="minorHAnsi" w:cs="Arial"/>
                <w:sz w:val="20"/>
                <w:szCs w:val="20"/>
              </w:rPr>
            </w:pPr>
            <w:r w:rsidRPr="00701439">
              <w:rPr>
                <w:rFonts w:ascii="Calibri (Body)" w:hAnsi="Calibri (Body)" w:cs="Calibri"/>
                <w:color w:val="000000"/>
                <w:sz w:val="20"/>
                <w:szCs w:val="20"/>
              </w:rPr>
              <w:t>(119.0)</w:t>
            </w:r>
          </w:p>
        </w:tc>
        <w:tc>
          <w:tcPr>
            <w:tcW w:w="1173" w:type="dxa"/>
            <w:vAlign w:val="bottom"/>
          </w:tcPr>
          <w:p w14:paraId="6FF33F6F" w14:textId="77777777" w:rsidR="00A3021A" w:rsidRPr="00701439" w:rsidRDefault="00A3021A">
            <w:pPr>
              <w:jc w:val="right"/>
              <w:rPr>
                <w:rFonts w:asciiTheme="minorHAnsi" w:hAnsiTheme="minorHAnsi" w:cs="Arial"/>
                <w:sz w:val="20"/>
                <w:szCs w:val="20"/>
              </w:rPr>
            </w:pPr>
            <w:r w:rsidRPr="00701439">
              <w:rPr>
                <w:rFonts w:ascii="Calibri (Body)" w:hAnsi="Calibri (Body)" w:cs="Calibri"/>
                <w:color w:val="000000"/>
                <w:sz w:val="20"/>
                <w:szCs w:val="20"/>
              </w:rPr>
              <w:t>(270.4)</w:t>
            </w:r>
          </w:p>
        </w:tc>
      </w:tr>
      <w:tr w:rsidR="00A3021A" w:rsidRPr="00701439" w14:paraId="2A7C6894" w14:textId="77777777">
        <w:tc>
          <w:tcPr>
            <w:tcW w:w="5069" w:type="dxa"/>
            <w:vAlign w:val="bottom"/>
          </w:tcPr>
          <w:p w14:paraId="55231860"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Vehicle finance</w:t>
            </w:r>
          </w:p>
        </w:tc>
        <w:tc>
          <w:tcPr>
            <w:tcW w:w="1275" w:type="dxa"/>
            <w:vAlign w:val="bottom"/>
          </w:tcPr>
          <w:p w14:paraId="3E6B0307" w14:textId="77777777" w:rsidR="00A3021A" w:rsidRPr="00701439" w:rsidRDefault="00A3021A">
            <w:pPr>
              <w:jc w:val="right"/>
              <w:rPr>
                <w:rFonts w:asciiTheme="minorHAnsi" w:hAnsiTheme="minorHAnsi" w:cs="Arial"/>
                <w:sz w:val="20"/>
                <w:szCs w:val="20"/>
              </w:rPr>
            </w:pPr>
            <w:r w:rsidRPr="00701439">
              <w:rPr>
                <w:rFonts w:ascii="Calibri (Body)" w:hAnsi="Calibri (Body)" w:cs="Calibri"/>
                <w:color w:val="000000"/>
                <w:sz w:val="20"/>
                <w:szCs w:val="20"/>
              </w:rPr>
              <w:t>(15.9)</w:t>
            </w:r>
          </w:p>
        </w:tc>
        <w:tc>
          <w:tcPr>
            <w:tcW w:w="1274" w:type="dxa"/>
            <w:vAlign w:val="bottom"/>
          </w:tcPr>
          <w:p w14:paraId="2A5FE974" w14:textId="77777777" w:rsidR="00A3021A" w:rsidRPr="00701439" w:rsidRDefault="00A3021A">
            <w:pPr>
              <w:jc w:val="right"/>
              <w:rPr>
                <w:rFonts w:asciiTheme="minorHAnsi" w:hAnsiTheme="minorHAnsi" w:cs="Arial"/>
                <w:sz w:val="20"/>
                <w:szCs w:val="20"/>
              </w:rPr>
            </w:pPr>
            <w:r w:rsidRPr="00701439">
              <w:rPr>
                <w:rFonts w:ascii="Calibri (Body)" w:hAnsi="Calibri (Body)" w:cs="Calibri"/>
                <w:color w:val="000000"/>
                <w:sz w:val="20"/>
                <w:szCs w:val="20"/>
              </w:rPr>
              <w:t>(25.8)</w:t>
            </w:r>
          </w:p>
        </w:tc>
        <w:tc>
          <w:tcPr>
            <w:tcW w:w="1132" w:type="dxa"/>
            <w:vAlign w:val="bottom"/>
          </w:tcPr>
          <w:p w14:paraId="3C8BCCAD" w14:textId="77777777" w:rsidR="00A3021A" w:rsidRPr="00701439" w:rsidRDefault="00A3021A">
            <w:pPr>
              <w:jc w:val="right"/>
              <w:rPr>
                <w:rFonts w:asciiTheme="minorHAnsi" w:hAnsiTheme="minorHAnsi" w:cs="Arial"/>
                <w:sz w:val="20"/>
                <w:szCs w:val="20"/>
              </w:rPr>
            </w:pPr>
            <w:r w:rsidRPr="00701439">
              <w:rPr>
                <w:rFonts w:ascii="Calibri (Body)" w:hAnsi="Calibri (Body)" w:cs="Calibri"/>
                <w:color w:val="000000"/>
                <w:sz w:val="20"/>
                <w:szCs w:val="20"/>
              </w:rPr>
              <w:t>(284.5)</w:t>
            </w:r>
          </w:p>
        </w:tc>
        <w:tc>
          <w:tcPr>
            <w:tcW w:w="1173" w:type="dxa"/>
            <w:vAlign w:val="bottom"/>
          </w:tcPr>
          <w:p w14:paraId="5A37D1E7" w14:textId="77777777" w:rsidR="00A3021A" w:rsidRPr="00701439" w:rsidRDefault="00A3021A">
            <w:pPr>
              <w:jc w:val="right"/>
              <w:rPr>
                <w:rFonts w:asciiTheme="minorHAnsi" w:hAnsiTheme="minorHAnsi" w:cs="Arial"/>
                <w:sz w:val="20"/>
                <w:szCs w:val="20"/>
              </w:rPr>
            </w:pPr>
            <w:r w:rsidRPr="00701439">
              <w:rPr>
                <w:rFonts w:ascii="Calibri (Body)" w:hAnsi="Calibri (Body)" w:cs="Calibri"/>
                <w:color w:val="000000"/>
                <w:sz w:val="20"/>
                <w:szCs w:val="20"/>
              </w:rPr>
              <w:t>(326.2)</w:t>
            </w:r>
          </w:p>
        </w:tc>
      </w:tr>
      <w:tr w:rsidR="00A3021A" w:rsidRPr="00701439" w14:paraId="1833C381" w14:textId="77777777">
        <w:tc>
          <w:tcPr>
            <w:tcW w:w="5069" w:type="dxa"/>
            <w:vAlign w:val="bottom"/>
          </w:tcPr>
          <w:p w14:paraId="01C4D18F"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Personal loans</w:t>
            </w:r>
          </w:p>
        </w:tc>
        <w:tc>
          <w:tcPr>
            <w:tcW w:w="1275" w:type="dxa"/>
            <w:vAlign w:val="bottom"/>
          </w:tcPr>
          <w:p w14:paraId="76A7FB9D" w14:textId="77777777" w:rsidR="00A3021A" w:rsidRPr="00701439" w:rsidRDefault="00A3021A">
            <w:pPr>
              <w:jc w:val="right"/>
              <w:rPr>
                <w:rFonts w:asciiTheme="minorHAnsi" w:hAnsiTheme="minorHAnsi" w:cs="Arial"/>
                <w:sz w:val="20"/>
                <w:szCs w:val="20"/>
              </w:rPr>
            </w:pPr>
            <w:r w:rsidRPr="00701439">
              <w:rPr>
                <w:rFonts w:ascii="Calibri (Body)" w:hAnsi="Calibri (Body)" w:cs="Calibri"/>
                <w:color w:val="000000"/>
                <w:sz w:val="20"/>
                <w:szCs w:val="20"/>
              </w:rPr>
              <w:t>(5.0)</w:t>
            </w:r>
          </w:p>
        </w:tc>
        <w:tc>
          <w:tcPr>
            <w:tcW w:w="1274" w:type="dxa"/>
            <w:vAlign w:val="bottom"/>
          </w:tcPr>
          <w:p w14:paraId="256CBDBC" w14:textId="77777777" w:rsidR="00A3021A" w:rsidRPr="00701439" w:rsidRDefault="00A3021A">
            <w:pPr>
              <w:jc w:val="right"/>
              <w:rPr>
                <w:rFonts w:asciiTheme="minorHAnsi" w:hAnsiTheme="minorHAnsi" w:cs="Arial"/>
                <w:sz w:val="20"/>
                <w:szCs w:val="20"/>
              </w:rPr>
            </w:pPr>
            <w:r w:rsidRPr="00701439">
              <w:rPr>
                <w:rFonts w:ascii="Calibri (Body)" w:hAnsi="Calibri (Body)" w:cs="Calibri"/>
                <w:color w:val="000000"/>
                <w:sz w:val="20"/>
                <w:szCs w:val="20"/>
              </w:rPr>
              <w:t>(0.7)</w:t>
            </w:r>
          </w:p>
        </w:tc>
        <w:tc>
          <w:tcPr>
            <w:tcW w:w="1132" w:type="dxa"/>
            <w:vAlign w:val="bottom"/>
          </w:tcPr>
          <w:p w14:paraId="57B79DE7" w14:textId="77777777" w:rsidR="00A3021A" w:rsidRPr="00701439" w:rsidRDefault="00A3021A">
            <w:pPr>
              <w:jc w:val="right"/>
              <w:rPr>
                <w:rFonts w:asciiTheme="minorHAnsi" w:hAnsiTheme="minorHAnsi" w:cs="Arial"/>
                <w:sz w:val="20"/>
                <w:szCs w:val="20"/>
              </w:rPr>
            </w:pPr>
            <w:r w:rsidRPr="00701439">
              <w:rPr>
                <w:rFonts w:ascii="Calibri (Body)" w:hAnsi="Calibri (Body)" w:cs="Calibri"/>
                <w:color w:val="000000"/>
                <w:sz w:val="20"/>
                <w:szCs w:val="20"/>
              </w:rPr>
              <w:t>(3.5)</w:t>
            </w:r>
          </w:p>
        </w:tc>
        <w:tc>
          <w:tcPr>
            <w:tcW w:w="1173" w:type="dxa"/>
            <w:vAlign w:val="bottom"/>
          </w:tcPr>
          <w:p w14:paraId="3A318122" w14:textId="77777777" w:rsidR="00A3021A" w:rsidRPr="00701439" w:rsidRDefault="00A3021A">
            <w:pPr>
              <w:jc w:val="right"/>
              <w:rPr>
                <w:rFonts w:asciiTheme="minorHAnsi" w:hAnsiTheme="minorHAnsi" w:cs="Arial"/>
                <w:sz w:val="20"/>
                <w:szCs w:val="20"/>
              </w:rPr>
            </w:pPr>
            <w:r w:rsidRPr="00701439">
              <w:rPr>
                <w:rFonts w:ascii="Calibri (Body)" w:hAnsi="Calibri (Body)" w:cs="Calibri"/>
                <w:color w:val="000000"/>
                <w:sz w:val="20"/>
                <w:szCs w:val="20"/>
              </w:rPr>
              <w:t>(9.2)</w:t>
            </w:r>
          </w:p>
        </w:tc>
      </w:tr>
      <w:tr w:rsidR="00A3021A" w:rsidRPr="00701439" w14:paraId="5109FBEF" w14:textId="77777777">
        <w:tc>
          <w:tcPr>
            <w:tcW w:w="5069" w:type="dxa"/>
            <w:vAlign w:val="bottom"/>
          </w:tcPr>
          <w:p w14:paraId="14DFF0A7" w14:textId="77777777" w:rsidR="00A3021A" w:rsidRPr="00701439" w:rsidRDefault="00A3021A">
            <w:pPr>
              <w:rPr>
                <w:rFonts w:asciiTheme="minorHAnsi" w:hAnsiTheme="minorHAnsi" w:cs="Arial"/>
                <w:b/>
                <w:sz w:val="20"/>
                <w:szCs w:val="20"/>
              </w:rPr>
            </w:pPr>
            <w:r w:rsidRPr="00701439">
              <w:rPr>
                <w:rFonts w:asciiTheme="minorHAnsi" w:hAnsiTheme="minorHAnsi" w:cs="Arial"/>
                <w:b/>
                <w:sz w:val="20"/>
                <w:szCs w:val="20"/>
              </w:rPr>
              <w:t>Total group</w:t>
            </w:r>
          </w:p>
        </w:tc>
        <w:tc>
          <w:tcPr>
            <w:tcW w:w="1275" w:type="dxa"/>
            <w:tcBorders>
              <w:top w:val="single" w:sz="4" w:space="0" w:color="auto"/>
              <w:left w:val="nil"/>
              <w:bottom w:val="single" w:sz="4" w:space="0" w:color="auto"/>
              <w:right w:val="nil"/>
            </w:tcBorders>
            <w:vAlign w:val="bottom"/>
          </w:tcPr>
          <w:p w14:paraId="6E1FE067" w14:textId="77777777" w:rsidR="00A3021A" w:rsidRPr="00701439" w:rsidRDefault="00A3021A">
            <w:pPr>
              <w:jc w:val="right"/>
              <w:rPr>
                <w:rFonts w:asciiTheme="minorHAnsi" w:hAnsiTheme="minorHAnsi" w:cs="Arial"/>
                <w:sz w:val="20"/>
                <w:szCs w:val="20"/>
              </w:rPr>
            </w:pPr>
            <w:r w:rsidRPr="00701439">
              <w:rPr>
                <w:rFonts w:ascii="Calibri (Body)" w:hAnsi="Calibri (Body)" w:cs="Calibri"/>
                <w:color w:val="000000"/>
                <w:sz w:val="20"/>
                <w:szCs w:val="20"/>
              </w:rPr>
              <w:t>(114.1)</w:t>
            </w:r>
          </w:p>
        </w:tc>
        <w:tc>
          <w:tcPr>
            <w:tcW w:w="1274" w:type="dxa"/>
            <w:tcBorders>
              <w:top w:val="single" w:sz="4" w:space="0" w:color="auto"/>
              <w:left w:val="nil"/>
              <w:bottom w:val="single" w:sz="4" w:space="0" w:color="auto"/>
              <w:right w:val="nil"/>
            </w:tcBorders>
            <w:vAlign w:val="bottom"/>
          </w:tcPr>
          <w:p w14:paraId="57F0AFED" w14:textId="77777777" w:rsidR="00A3021A" w:rsidRPr="00701439" w:rsidRDefault="00A3021A">
            <w:pPr>
              <w:jc w:val="right"/>
              <w:rPr>
                <w:rFonts w:asciiTheme="minorHAnsi" w:hAnsiTheme="minorHAnsi" w:cs="Arial"/>
                <w:sz w:val="20"/>
                <w:szCs w:val="20"/>
              </w:rPr>
            </w:pPr>
            <w:r w:rsidRPr="00701439">
              <w:rPr>
                <w:rFonts w:ascii="Calibri (Body)" w:hAnsi="Calibri (Body)" w:cs="Calibri"/>
                <w:color w:val="000000"/>
                <w:sz w:val="20"/>
                <w:szCs w:val="20"/>
              </w:rPr>
              <w:t>(84.7)</w:t>
            </w:r>
          </w:p>
        </w:tc>
        <w:tc>
          <w:tcPr>
            <w:tcW w:w="1132" w:type="dxa"/>
            <w:tcBorders>
              <w:top w:val="single" w:sz="4" w:space="0" w:color="auto"/>
              <w:left w:val="nil"/>
              <w:bottom w:val="single" w:sz="4" w:space="0" w:color="auto"/>
              <w:right w:val="nil"/>
            </w:tcBorders>
            <w:vAlign w:val="bottom"/>
          </w:tcPr>
          <w:p w14:paraId="4799EF23" w14:textId="77777777" w:rsidR="00A3021A" w:rsidRPr="00701439" w:rsidRDefault="00A3021A">
            <w:pPr>
              <w:jc w:val="right"/>
              <w:rPr>
                <w:rFonts w:asciiTheme="minorHAnsi" w:hAnsiTheme="minorHAnsi" w:cs="Arial"/>
                <w:sz w:val="20"/>
                <w:szCs w:val="20"/>
              </w:rPr>
            </w:pPr>
            <w:r w:rsidRPr="00701439">
              <w:rPr>
                <w:rFonts w:ascii="Calibri (Body)" w:hAnsi="Calibri (Body)" w:cs="Calibri"/>
                <w:color w:val="000000"/>
                <w:sz w:val="20"/>
                <w:szCs w:val="20"/>
              </w:rPr>
              <w:t>(407.0)</w:t>
            </w:r>
          </w:p>
        </w:tc>
        <w:tc>
          <w:tcPr>
            <w:tcW w:w="1173" w:type="dxa"/>
            <w:tcBorders>
              <w:top w:val="single" w:sz="4" w:space="0" w:color="auto"/>
              <w:left w:val="nil"/>
              <w:bottom w:val="single" w:sz="4" w:space="0" w:color="auto"/>
              <w:right w:val="nil"/>
            </w:tcBorders>
            <w:vAlign w:val="bottom"/>
          </w:tcPr>
          <w:p w14:paraId="7777FBF6" w14:textId="77777777" w:rsidR="00A3021A" w:rsidRPr="00701439" w:rsidRDefault="00A3021A">
            <w:pPr>
              <w:jc w:val="right"/>
              <w:rPr>
                <w:rFonts w:asciiTheme="minorHAnsi" w:hAnsiTheme="minorHAnsi" w:cs="Arial"/>
                <w:sz w:val="20"/>
                <w:szCs w:val="20"/>
              </w:rPr>
            </w:pPr>
            <w:r w:rsidRPr="00701439">
              <w:rPr>
                <w:rFonts w:ascii="Calibri (Body)" w:hAnsi="Calibri (Body)" w:cs="Calibri"/>
                <w:color w:val="000000"/>
                <w:sz w:val="20"/>
                <w:szCs w:val="20"/>
              </w:rPr>
              <w:t>(605.8)</w:t>
            </w:r>
          </w:p>
        </w:tc>
      </w:tr>
      <w:tr w:rsidR="00A3021A" w:rsidRPr="00701439" w14:paraId="1A8CED03" w14:textId="77777777">
        <w:tc>
          <w:tcPr>
            <w:tcW w:w="5069" w:type="dxa"/>
            <w:vAlign w:val="bottom"/>
          </w:tcPr>
          <w:p w14:paraId="0712EB80" w14:textId="77777777" w:rsidR="00A3021A" w:rsidRPr="00701439" w:rsidRDefault="00A3021A">
            <w:pPr>
              <w:rPr>
                <w:rFonts w:asciiTheme="minorHAnsi" w:hAnsiTheme="minorHAnsi" w:cs="Arial"/>
                <w:b/>
                <w:sz w:val="20"/>
                <w:szCs w:val="20"/>
              </w:rPr>
            </w:pPr>
          </w:p>
        </w:tc>
        <w:tc>
          <w:tcPr>
            <w:tcW w:w="1275" w:type="dxa"/>
            <w:tcBorders>
              <w:top w:val="single" w:sz="4" w:space="0" w:color="auto"/>
              <w:left w:val="nil"/>
              <w:right w:val="nil"/>
            </w:tcBorders>
            <w:vAlign w:val="bottom"/>
          </w:tcPr>
          <w:p w14:paraId="7BE141A6" w14:textId="77777777" w:rsidR="00A3021A" w:rsidRPr="00701439" w:rsidRDefault="00A3021A">
            <w:pPr>
              <w:jc w:val="right"/>
              <w:rPr>
                <w:rFonts w:asciiTheme="minorHAnsi" w:hAnsiTheme="minorHAnsi" w:cs="Arial"/>
                <w:sz w:val="20"/>
                <w:szCs w:val="20"/>
              </w:rPr>
            </w:pPr>
          </w:p>
        </w:tc>
        <w:tc>
          <w:tcPr>
            <w:tcW w:w="1274" w:type="dxa"/>
            <w:tcBorders>
              <w:top w:val="single" w:sz="4" w:space="0" w:color="auto"/>
              <w:left w:val="nil"/>
              <w:right w:val="nil"/>
            </w:tcBorders>
            <w:vAlign w:val="bottom"/>
          </w:tcPr>
          <w:p w14:paraId="0BA06755" w14:textId="77777777" w:rsidR="00A3021A" w:rsidRPr="00701439" w:rsidRDefault="00A3021A">
            <w:pPr>
              <w:jc w:val="right"/>
              <w:rPr>
                <w:rFonts w:asciiTheme="minorHAnsi" w:hAnsiTheme="minorHAnsi" w:cs="Arial"/>
                <w:sz w:val="20"/>
                <w:szCs w:val="20"/>
              </w:rPr>
            </w:pPr>
          </w:p>
        </w:tc>
        <w:tc>
          <w:tcPr>
            <w:tcW w:w="1132" w:type="dxa"/>
            <w:tcBorders>
              <w:top w:val="single" w:sz="4" w:space="0" w:color="auto"/>
              <w:left w:val="nil"/>
              <w:right w:val="nil"/>
            </w:tcBorders>
          </w:tcPr>
          <w:p w14:paraId="23A8DC41" w14:textId="77777777" w:rsidR="00A3021A" w:rsidRPr="00701439" w:rsidRDefault="00A3021A">
            <w:pPr>
              <w:jc w:val="right"/>
              <w:rPr>
                <w:rFonts w:asciiTheme="minorHAnsi" w:hAnsiTheme="minorHAnsi" w:cs="Arial"/>
                <w:sz w:val="20"/>
                <w:szCs w:val="20"/>
              </w:rPr>
            </w:pPr>
          </w:p>
        </w:tc>
        <w:tc>
          <w:tcPr>
            <w:tcW w:w="1173" w:type="dxa"/>
            <w:tcBorders>
              <w:top w:val="single" w:sz="4" w:space="0" w:color="auto"/>
              <w:left w:val="nil"/>
              <w:right w:val="nil"/>
            </w:tcBorders>
          </w:tcPr>
          <w:p w14:paraId="2016822E" w14:textId="77777777" w:rsidR="00A3021A" w:rsidRPr="00701439" w:rsidRDefault="00A3021A">
            <w:pPr>
              <w:jc w:val="right"/>
              <w:rPr>
                <w:rFonts w:asciiTheme="minorHAnsi" w:hAnsiTheme="minorHAnsi" w:cs="Arial"/>
                <w:sz w:val="20"/>
                <w:szCs w:val="20"/>
              </w:rPr>
            </w:pPr>
          </w:p>
        </w:tc>
      </w:tr>
      <w:tr w:rsidR="00A3021A" w:rsidRPr="00701439" w14:paraId="4052261A" w14:textId="77777777">
        <w:tc>
          <w:tcPr>
            <w:tcW w:w="5069" w:type="dxa"/>
          </w:tcPr>
          <w:p w14:paraId="2B6D5ED0" w14:textId="77777777" w:rsidR="00A3021A" w:rsidRPr="00701439" w:rsidRDefault="00A3021A">
            <w:pPr>
              <w:rPr>
                <w:rFonts w:asciiTheme="minorHAnsi" w:hAnsiTheme="minorHAnsi" w:cs="Arial"/>
                <w:b/>
                <w:sz w:val="20"/>
                <w:szCs w:val="20"/>
              </w:rPr>
            </w:pPr>
            <w:r w:rsidRPr="00701439">
              <w:rPr>
                <w:rFonts w:asciiTheme="minorHAnsi" w:hAnsiTheme="minorHAnsi" w:cs="Arial"/>
                <w:b/>
                <w:sz w:val="20"/>
                <w:szCs w:val="20"/>
              </w:rPr>
              <w:t>Net receivables</w:t>
            </w:r>
          </w:p>
        </w:tc>
        <w:tc>
          <w:tcPr>
            <w:tcW w:w="1275" w:type="dxa"/>
            <w:tcBorders>
              <w:left w:val="nil"/>
              <w:right w:val="nil"/>
            </w:tcBorders>
            <w:vAlign w:val="bottom"/>
          </w:tcPr>
          <w:p w14:paraId="1DDB196C" w14:textId="77777777" w:rsidR="00A3021A" w:rsidRPr="00701439" w:rsidRDefault="00A3021A">
            <w:pPr>
              <w:jc w:val="right"/>
              <w:rPr>
                <w:rFonts w:asciiTheme="minorHAnsi" w:hAnsiTheme="minorHAnsi" w:cs="Arial"/>
                <w:sz w:val="20"/>
                <w:szCs w:val="20"/>
              </w:rPr>
            </w:pPr>
          </w:p>
        </w:tc>
        <w:tc>
          <w:tcPr>
            <w:tcW w:w="1274" w:type="dxa"/>
            <w:tcBorders>
              <w:left w:val="nil"/>
              <w:right w:val="nil"/>
            </w:tcBorders>
            <w:vAlign w:val="bottom"/>
          </w:tcPr>
          <w:p w14:paraId="796AFF20" w14:textId="77777777" w:rsidR="00A3021A" w:rsidRPr="00701439" w:rsidRDefault="00A3021A">
            <w:pPr>
              <w:jc w:val="right"/>
              <w:rPr>
                <w:rFonts w:asciiTheme="minorHAnsi" w:hAnsiTheme="minorHAnsi" w:cs="Arial"/>
                <w:sz w:val="20"/>
                <w:szCs w:val="20"/>
              </w:rPr>
            </w:pPr>
          </w:p>
        </w:tc>
        <w:tc>
          <w:tcPr>
            <w:tcW w:w="1132" w:type="dxa"/>
            <w:tcBorders>
              <w:left w:val="nil"/>
              <w:right w:val="nil"/>
            </w:tcBorders>
          </w:tcPr>
          <w:p w14:paraId="18CA65FD" w14:textId="77777777" w:rsidR="00A3021A" w:rsidRPr="00701439" w:rsidRDefault="00A3021A">
            <w:pPr>
              <w:jc w:val="right"/>
              <w:rPr>
                <w:rFonts w:asciiTheme="minorHAnsi" w:hAnsiTheme="minorHAnsi" w:cs="Arial"/>
                <w:sz w:val="20"/>
                <w:szCs w:val="20"/>
              </w:rPr>
            </w:pPr>
          </w:p>
        </w:tc>
        <w:tc>
          <w:tcPr>
            <w:tcW w:w="1173" w:type="dxa"/>
            <w:tcBorders>
              <w:left w:val="nil"/>
              <w:right w:val="nil"/>
            </w:tcBorders>
          </w:tcPr>
          <w:p w14:paraId="27B75C06" w14:textId="77777777" w:rsidR="00A3021A" w:rsidRPr="00701439" w:rsidRDefault="00A3021A">
            <w:pPr>
              <w:jc w:val="right"/>
              <w:rPr>
                <w:rFonts w:asciiTheme="minorHAnsi" w:hAnsiTheme="minorHAnsi" w:cs="Arial"/>
                <w:sz w:val="20"/>
                <w:szCs w:val="20"/>
              </w:rPr>
            </w:pPr>
          </w:p>
        </w:tc>
      </w:tr>
      <w:tr w:rsidR="00A3021A" w:rsidRPr="00701439" w14:paraId="16CF1889" w14:textId="77777777">
        <w:tc>
          <w:tcPr>
            <w:tcW w:w="5069" w:type="dxa"/>
            <w:vAlign w:val="bottom"/>
          </w:tcPr>
          <w:p w14:paraId="2A8C77B5" w14:textId="77777777" w:rsidR="00A3021A" w:rsidRPr="00701439" w:rsidRDefault="00A3021A">
            <w:pPr>
              <w:rPr>
                <w:rFonts w:asciiTheme="minorHAnsi" w:hAnsiTheme="minorHAnsi" w:cs="Arial"/>
                <w:b/>
                <w:sz w:val="20"/>
                <w:szCs w:val="20"/>
              </w:rPr>
            </w:pPr>
            <w:r w:rsidRPr="00701439">
              <w:rPr>
                <w:rFonts w:asciiTheme="minorHAnsi" w:hAnsiTheme="minorHAnsi" w:cs="Arial"/>
                <w:sz w:val="20"/>
                <w:szCs w:val="20"/>
              </w:rPr>
              <w:t>Credit cards</w:t>
            </w:r>
          </w:p>
        </w:tc>
        <w:tc>
          <w:tcPr>
            <w:tcW w:w="1275" w:type="dxa"/>
            <w:tcBorders>
              <w:left w:val="nil"/>
              <w:right w:val="nil"/>
            </w:tcBorders>
            <w:vAlign w:val="bottom"/>
          </w:tcPr>
          <w:p w14:paraId="69D9206F" w14:textId="77777777" w:rsidR="00A3021A" w:rsidRPr="00701439" w:rsidRDefault="00A3021A">
            <w:pPr>
              <w:jc w:val="right"/>
              <w:rPr>
                <w:rFonts w:asciiTheme="minorHAnsi" w:hAnsiTheme="minorHAnsi" w:cs="Arial"/>
                <w:sz w:val="20"/>
                <w:szCs w:val="20"/>
              </w:rPr>
            </w:pPr>
            <w:r w:rsidRPr="00701439">
              <w:rPr>
                <w:rFonts w:ascii="Calibri (Body)" w:hAnsi="Calibri (Body)" w:cs="Calibri"/>
                <w:color w:val="000000"/>
                <w:sz w:val="20"/>
                <w:szCs w:val="20"/>
              </w:rPr>
              <w:t>1,023.4</w:t>
            </w:r>
          </w:p>
        </w:tc>
        <w:tc>
          <w:tcPr>
            <w:tcW w:w="1274" w:type="dxa"/>
            <w:tcBorders>
              <w:left w:val="nil"/>
              <w:right w:val="nil"/>
            </w:tcBorders>
            <w:vAlign w:val="bottom"/>
          </w:tcPr>
          <w:p w14:paraId="49BE3FAE" w14:textId="77777777" w:rsidR="00A3021A" w:rsidRPr="00701439" w:rsidRDefault="00A3021A">
            <w:pPr>
              <w:jc w:val="right"/>
              <w:rPr>
                <w:rFonts w:asciiTheme="minorHAnsi" w:hAnsiTheme="minorHAnsi" w:cs="Arial"/>
                <w:sz w:val="20"/>
                <w:szCs w:val="20"/>
              </w:rPr>
            </w:pPr>
            <w:r w:rsidRPr="00701439">
              <w:rPr>
                <w:rFonts w:ascii="Calibri (Body)" w:hAnsi="Calibri (Body)" w:cs="Calibri"/>
                <w:color w:val="000000"/>
                <w:sz w:val="20"/>
                <w:szCs w:val="20"/>
              </w:rPr>
              <w:t>90.5</w:t>
            </w:r>
          </w:p>
        </w:tc>
        <w:tc>
          <w:tcPr>
            <w:tcW w:w="1132" w:type="dxa"/>
            <w:tcBorders>
              <w:left w:val="nil"/>
              <w:right w:val="nil"/>
            </w:tcBorders>
            <w:vAlign w:val="bottom"/>
          </w:tcPr>
          <w:p w14:paraId="229DCBA2" w14:textId="77777777" w:rsidR="00A3021A" w:rsidRPr="00701439" w:rsidRDefault="00A3021A">
            <w:pPr>
              <w:jc w:val="right"/>
              <w:rPr>
                <w:rFonts w:asciiTheme="minorHAnsi" w:hAnsiTheme="minorHAnsi" w:cs="Arial"/>
                <w:sz w:val="20"/>
                <w:szCs w:val="20"/>
              </w:rPr>
            </w:pPr>
            <w:r w:rsidRPr="00701439">
              <w:rPr>
                <w:rFonts w:ascii="Calibri (Body)" w:hAnsi="Calibri (Body)" w:cs="Calibri"/>
                <w:color w:val="000000"/>
                <w:sz w:val="20"/>
                <w:szCs w:val="20"/>
              </w:rPr>
              <w:t>67.7</w:t>
            </w:r>
          </w:p>
        </w:tc>
        <w:tc>
          <w:tcPr>
            <w:tcW w:w="1173" w:type="dxa"/>
            <w:tcBorders>
              <w:left w:val="nil"/>
              <w:right w:val="nil"/>
            </w:tcBorders>
            <w:vAlign w:val="bottom"/>
          </w:tcPr>
          <w:p w14:paraId="1A99BC07" w14:textId="77777777" w:rsidR="00A3021A" w:rsidRPr="00701439" w:rsidRDefault="00A3021A">
            <w:pPr>
              <w:jc w:val="right"/>
              <w:rPr>
                <w:rFonts w:asciiTheme="minorHAnsi" w:hAnsiTheme="minorHAnsi" w:cs="Arial"/>
                <w:sz w:val="20"/>
                <w:szCs w:val="20"/>
              </w:rPr>
            </w:pPr>
            <w:r w:rsidRPr="00701439">
              <w:rPr>
                <w:rFonts w:ascii="Calibri (Body)" w:hAnsi="Calibri (Body)" w:cs="Calibri"/>
                <w:color w:val="000000"/>
                <w:sz w:val="20"/>
                <w:szCs w:val="20"/>
              </w:rPr>
              <w:t>1,181.6</w:t>
            </w:r>
          </w:p>
        </w:tc>
      </w:tr>
      <w:tr w:rsidR="00A3021A" w:rsidRPr="00701439" w14:paraId="24F19E88" w14:textId="77777777">
        <w:tc>
          <w:tcPr>
            <w:tcW w:w="5069" w:type="dxa"/>
            <w:vAlign w:val="bottom"/>
          </w:tcPr>
          <w:p w14:paraId="21ECF7E5" w14:textId="77777777" w:rsidR="00A3021A" w:rsidRPr="00701439" w:rsidRDefault="00A3021A">
            <w:pPr>
              <w:rPr>
                <w:rFonts w:asciiTheme="minorHAnsi" w:hAnsiTheme="minorHAnsi" w:cs="Arial"/>
                <w:b/>
                <w:sz w:val="20"/>
                <w:szCs w:val="20"/>
              </w:rPr>
            </w:pPr>
            <w:r w:rsidRPr="00701439">
              <w:rPr>
                <w:rFonts w:asciiTheme="minorHAnsi" w:hAnsiTheme="minorHAnsi" w:cs="Arial"/>
                <w:sz w:val="20"/>
                <w:szCs w:val="20"/>
              </w:rPr>
              <w:t>Vehicle finance</w:t>
            </w:r>
          </w:p>
        </w:tc>
        <w:tc>
          <w:tcPr>
            <w:tcW w:w="1275" w:type="dxa"/>
            <w:tcBorders>
              <w:left w:val="nil"/>
              <w:right w:val="nil"/>
            </w:tcBorders>
            <w:vAlign w:val="bottom"/>
          </w:tcPr>
          <w:p w14:paraId="1AEEC18B" w14:textId="77777777" w:rsidR="00A3021A" w:rsidRPr="00701439" w:rsidRDefault="00A3021A">
            <w:pPr>
              <w:jc w:val="right"/>
              <w:rPr>
                <w:rFonts w:asciiTheme="minorHAnsi" w:hAnsiTheme="minorHAnsi" w:cs="Arial"/>
                <w:sz w:val="20"/>
                <w:szCs w:val="20"/>
              </w:rPr>
            </w:pPr>
            <w:r w:rsidRPr="00701439">
              <w:rPr>
                <w:rFonts w:ascii="Calibri (Body)" w:hAnsi="Calibri (Body)" w:cs="Calibri"/>
                <w:color w:val="000000"/>
                <w:sz w:val="20"/>
                <w:szCs w:val="20"/>
              </w:rPr>
              <w:t>335.1</w:t>
            </w:r>
          </w:p>
        </w:tc>
        <w:tc>
          <w:tcPr>
            <w:tcW w:w="1274" w:type="dxa"/>
            <w:tcBorders>
              <w:left w:val="nil"/>
              <w:right w:val="nil"/>
            </w:tcBorders>
            <w:vAlign w:val="bottom"/>
          </w:tcPr>
          <w:p w14:paraId="5483B18F" w14:textId="77777777" w:rsidR="00A3021A" w:rsidRPr="00701439" w:rsidRDefault="00A3021A">
            <w:pPr>
              <w:jc w:val="right"/>
              <w:rPr>
                <w:rFonts w:asciiTheme="minorHAnsi" w:hAnsiTheme="minorHAnsi" w:cs="Arial"/>
                <w:sz w:val="20"/>
                <w:szCs w:val="20"/>
              </w:rPr>
            </w:pPr>
            <w:r w:rsidRPr="00701439">
              <w:rPr>
                <w:rFonts w:ascii="Calibri (Body)" w:hAnsi="Calibri (Body)" w:cs="Calibri"/>
                <w:color w:val="000000"/>
                <w:sz w:val="20"/>
                <w:szCs w:val="20"/>
              </w:rPr>
              <w:t>143.5</w:t>
            </w:r>
          </w:p>
        </w:tc>
        <w:tc>
          <w:tcPr>
            <w:tcW w:w="1132" w:type="dxa"/>
            <w:tcBorders>
              <w:left w:val="nil"/>
              <w:right w:val="nil"/>
            </w:tcBorders>
            <w:vAlign w:val="bottom"/>
          </w:tcPr>
          <w:p w14:paraId="5B3FA067" w14:textId="77777777" w:rsidR="00A3021A" w:rsidRPr="00701439" w:rsidRDefault="00A3021A">
            <w:pPr>
              <w:jc w:val="right"/>
              <w:rPr>
                <w:rFonts w:asciiTheme="minorHAnsi" w:hAnsiTheme="minorHAnsi" w:cs="Arial"/>
                <w:sz w:val="20"/>
                <w:szCs w:val="20"/>
              </w:rPr>
            </w:pPr>
            <w:r w:rsidRPr="00701439">
              <w:rPr>
                <w:rFonts w:ascii="Calibri (Body)" w:hAnsi="Calibri (Body)" w:cs="Calibri"/>
                <w:color w:val="000000"/>
                <w:sz w:val="20"/>
                <w:szCs w:val="20"/>
              </w:rPr>
              <w:t>167.5</w:t>
            </w:r>
          </w:p>
        </w:tc>
        <w:tc>
          <w:tcPr>
            <w:tcW w:w="1173" w:type="dxa"/>
            <w:tcBorders>
              <w:left w:val="nil"/>
              <w:right w:val="nil"/>
            </w:tcBorders>
            <w:vAlign w:val="bottom"/>
          </w:tcPr>
          <w:p w14:paraId="32F96703" w14:textId="77777777" w:rsidR="00A3021A" w:rsidRPr="00701439" w:rsidRDefault="00A3021A">
            <w:pPr>
              <w:jc w:val="right"/>
              <w:rPr>
                <w:rFonts w:asciiTheme="minorHAnsi" w:hAnsiTheme="minorHAnsi" w:cs="Arial"/>
                <w:sz w:val="20"/>
                <w:szCs w:val="20"/>
              </w:rPr>
            </w:pPr>
            <w:r w:rsidRPr="00701439">
              <w:rPr>
                <w:rFonts w:ascii="Calibri (Body)" w:hAnsi="Calibri (Body)" w:cs="Calibri"/>
                <w:color w:val="000000"/>
                <w:sz w:val="20"/>
                <w:szCs w:val="20"/>
              </w:rPr>
              <w:t>646.1</w:t>
            </w:r>
          </w:p>
        </w:tc>
      </w:tr>
      <w:tr w:rsidR="00A3021A" w:rsidRPr="00701439" w14:paraId="670AEA20" w14:textId="77777777">
        <w:tc>
          <w:tcPr>
            <w:tcW w:w="5069" w:type="dxa"/>
            <w:vAlign w:val="bottom"/>
          </w:tcPr>
          <w:p w14:paraId="645B82F9"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Personal loans</w:t>
            </w:r>
          </w:p>
        </w:tc>
        <w:tc>
          <w:tcPr>
            <w:tcW w:w="1275" w:type="dxa"/>
            <w:tcBorders>
              <w:left w:val="nil"/>
              <w:right w:val="nil"/>
            </w:tcBorders>
            <w:vAlign w:val="bottom"/>
          </w:tcPr>
          <w:p w14:paraId="25BC73CF" w14:textId="77777777" w:rsidR="00A3021A" w:rsidRPr="00701439" w:rsidRDefault="00A3021A">
            <w:pPr>
              <w:jc w:val="right"/>
              <w:rPr>
                <w:rFonts w:asciiTheme="minorHAnsi" w:hAnsiTheme="minorHAnsi" w:cs="Arial"/>
                <w:sz w:val="20"/>
                <w:szCs w:val="20"/>
              </w:rPr>
            </w:pPr>
            <w:r w:rsidRPr="00701439">
              <w:rPr>
                <w:rFonts w:ascii="Calibri (Body)" w:hAnsi="Calibri (Body)" w:cs="Calibri"/>
                <w:color w:val="000000"/>
                <w:sz w:val="20"/>
                <w:szCs w:val="20"/>
              </w:rPr>
              <w:t>73.1</w:t>
            </w:r>
          </w:p>
        </w:tc>
        <w:tc>
          <w:tcPr>
            <w:tcW w:w="1274" w:type="dxa"/>
            <w:tcBorders>
              <w:left w:val="nil"/>
              <w:right w:val="nil"/>
            </w:tcBorders>
            <w:vAlign w:val="bottom"/>
          </w:tcPr>
          <w:p w14:paraId="49B38E83" w14:textId="77777777" w:rsidR="00A3021A" w:rsidRPr="00701439" w:rsidRDefault="00A3021A">
            <w:pPr>
              <w:jc w:val="right"/>
              <w:rPr>
                <w:rFonts w:asciiTheme="minorHAnsi" w:hAnsiTheme="minorHAnsi" w:cs="Arial"/>
                <w:sz w:val="20"/>
                <w:szCs w:val="20"/>
              </w:rPr>
            </w:pPr>
            <w:r w:rsidRPr="00701439">
              <w:rPr>
                <w:rFonts w:ascii="Calibri (Body)" w:hAnsi="Calibri (Body)" w:cs="Calibri"/>
                <w:color w:val="000000"/>
                <w:sz w:val="20"/>
                <w:szCs w:val="20"/>
              </w:rPr>
              <w:t>1.4</w:t>
            </w:r>
          </w:p>
        </w:tc>
        <w:tc>
          <w:tcPr>
            <w:tcW w:w="1132" w:type="dxa"/>
            <w:tcBorders>
              <w:left w:val="nil"/>
              <w:right w:val="nil"/>
            </w:tcBorders>
            <w:vAlign w:val="bottom"/>
          </w:tcPr>
          <w:p w14:paraId="086F07EB" w14:textId="77777777" w:rsidR="00A3021A" w:rsidRPr="00701439" w:rsidRDefault="00A3021A">
            <w:pPr>
              <w:jc w:val="right"/>
              <w:rPr>
                <w:rFonts w:asciiTheme="minorHAnsi" w:hAnsiTheme="minorHAnsi" w:cs="Arial"/>
                <w:sz w:val="20"/>
                <w:szCs w:val="20"/>
              </w:rPr>
            </w:pPr>
            <w:r w:rsidRPr="00701439">
              <w:rPr>
                <w:rFonts w:ascii="Calibri (Body)" w:hAnsi="Calibri (Body)" w:cs="Calibri"/>
                <w:color w:val="000000"/>
                <w:sz w:val="20"/>
                <w:szCs w:val="20"/>
              </w:rPr>
              <w:t>1.8</w:t>
            </w:r>
          </w:p>
        </w:tc>
        <w:tc>
          <w:tcPr>
            <w:tcW w:w="1173" w:type="dxa"/>
            <w:tcBorders>
              <w:left w:val="nil"/>
              <w:right w:val="nil"/>
            </w:tcBorders>
            <w:vAlign w:val="bottom"/>
          </w:tcPr>
          <w:p w14:paraId="268F6B0F" w14:textId="77777777" w:rsidR="00A3021A" w:rsidRPr="00701439" w:rsidRDefault="00A3021A">
            <w:pPr>
              <w:jc w:val="right"/>
              <w:rPr>
                <w:rFonts w:asciiTheme="minorHAnsi" w:hAnsiTheme="minorHAnsi" w:cs="Arial"/>
                <w:sz w:val="20"/>
                <w:szCs w:val="20"/>
              </w:rPr>
            </w:pPr>
            <w:r w:rsidRPr="00701439">
              <w:rPr>
                <w:rFonts w:ascii="Calibri (Body)" w:hAnsi="Calibri (Body)" w:cs="Calibri"/>
                <w:color w:val="000000"/>
                <w:sz w:val="20"/>
                <w:szCs w:val="20"/>
              </w:rPr>
              <w:t>76.3</w:t>
            </w:r>
          </w:p>
        </w:tc>
      </w:tr>
      <w:tr w:rsidR="00A3021A" w:rsidRPr="00701439" w14:paraId="3DC18A48" w14:textId="77777777">
        <w:tc>
          <w:tcPr>
            <w:tcW w:w="5069" w:type="dxa"/>
            <w:vAlign w:val="bottom"/>
          </w:tcPr>
          <w:p w14:paraId="28C4B900" w14:textId="77777777" w:rsidR="00A3021A" w:rsidRPr="00701439" w:rsidRDefault="00A3021A">
            <w:pPr>
              <w:rPr>
                <w:rFonts w:asciiTheme="minorHAnsi" w:hAnsiTheme="minorHAnsi" w:cs="Arial"/>
                <w:b/>
                <w:sz w:val="20"/>
                <w:szCs w:val="20"/>
              </w:rPr>
            </w:pPr>
            <w:r w:rsidRPr="00701439">
              <w:rPr>
                <w:rFonts w:asciiTheme="minorHAnsi" w:hAnsiTheme="minorHAnsi" w:cs="Arial"/>
                <w:b/>
                <w:sz w:val="20"/>
                <w:szCs w:val="20"/>
              </w:rPr>
              <w:t>Total group</w:t>
            </w:r>
          </w:p>
        </w:tc>
        <w:tc>
          <w:tcPr>
            <w:tcW w:w="1275" w:type="dxa"/>
            <w:tcBorders>
              <w:top w:val="single" w:sz="4" w:space="0" w:color="auto"/>
              <w:left w:val="nil"/>
              <w:bottom w:val="single" w:sz="12" w:space="0" w:color="auto"/>
              <w:right w:val="nil"/>
            </w:tcBorders>
            <w:vAlign w:val="bottom"/>
          </w:tcPr>
          <w:p w14:paraId="1DF9F3A4" w14:textId="77777777" w:rsidR="00A3021A" w:rsidRPr="00701439" w:rsidRDefault="00A3021A">
            <w:pPr>
              <w:jc w:val="right"/>
              <w:rPr>
                <w:rFonts w:asciiTheme="minorHAnsi" w:hAnsiTheme="minorHAnsi" w:cs="Arial"/>
                <w:sz w:val="20"/>
                <w:szCs w:val="20"/>
              </w:rPr>
            </w:pPr>
            <w:r w:rsidRPr="00701439">
              <w:rPr>
                <w:rFonts w:ascii="Calibri (Body)" w:hAnsi="Calibri (Body)" w:cs="Calibri"/>
                <w:color w:val="000000"/>
                <w:sz w:val="20"/>
                <w:szCs w:val="20"/>
              </w:rPr>
              <w:t>1,431.6</w:t>
            </w:r>
          </w:p>
        </w:tc>
        <w:tc>
          <w:tcPr>
            <w:tcW w:w="1274" w:type="dxa"/>
            <w:tcBorders>
              <w:top w:val="single" w:sz="4" w:space="0" w:color="auto"/>
              <w:left w:val="nil"/>
              <w:bottom w:val="single" w:sz="12" w:space="0" w:color="auto"/>
              <w:right w:val="nil"/>
            </w:tcBorders>
            <w:vAlign w:val="bottom"/>
          </w:tcPr>
          <w:p w14:paraId="1904AEBA" w14:textId="77777777" w:rsidR="00A3021A" w:rsidRPr="00701439" w:rsidRDefault="00A3021A">
            <w:pPr>
              <w:jc w:val="right"/>
              <w:rPr>
                <w:rFonts w:asciiTheme="minorHAnsi" w:hAnsiTheme="minorHAnsi" w:cs="Arial"/>
                <w:sz w:val="20"/>
                <w:szCs w:val="20"/>
              </w:rPr>
            </w:pPr>
            <w:r w:rsidRPr="00701439">
              <w:rPr>
                <w:rFonts w:ascii="Calibri (Body)" w:hAnsi="Calibri (Body)" w:cs="Calibri"/>
                <w:color w:val="000000"/>
                <w:sz w:val="20"/>
                <w:szCs w:val="20"/>
              </w:rPr>
              <w:t>235.4</w:t>
            </w:r>
          </w:p>
        </w:tc>
        <w:tc>
          <w:tcPr>
            <w:tcW w:w="1132" w:type="dxa"/>
            <w:tcBorders>
              <w:top w:val="single" w:sz="4" w:space="0" w:color="auto"/>
              <w:left w:val="nil"/>
              <w:bottom w:val="single" w:sz="12" w:space="0" w:color="auto"/>
              <w:right w:val="nil"/>
            </w:tcBorders>
            <w:vAlign w:val="bottom"/>
          </w:tcPr>
          <w:p w14:paraId="63AFC85F" w14:textId="77777777" w:rsidR="00A3021A" w:rsidRPr="00701439" w:rsidRDefault="00A3021A">
            <w:pPr>
              <w:jc w:val="right"/>
              <w:rPr>
                <w:rFonts w:asciiTheme="minorHAnsi" w:hAnsiTheme="minorHAnsi" w:cs="Arial"/>
                <w:sz w:val="20"/>
                <w:szCs w:val="20"/>
              </w:rPr>
            </w:pPr>
            <w:r w:rsidRPr="00701439">
              <w:rPr>
                <w:rFonts w:ascii="Calibri (Body)" w:hAnsi="Calibri (Body)" w:cs="Calibri"/>
                <w:color w:val="000000"/>
                <w:sz w:val="20"/>
                <w:szCs w:val="20"/>
              </w:rPr>
              <w:t>237.0</w:t>
            </w:r>
          </w:p>
        </w:tc>
        <w:tc>
          <w:tcPr>
            <w:tcW w:w="1173" w:type="dxa"/>
            <w:tcBorders>
              <w:top w:val="single" w:sz="4" w:space="0" w:color="auto"/>
              <w:left w:val="nil"/>
              <w:bottom w:val="single" w:sz="12" w:space="0" w:color="auto"/>
              <w:right w:val="nil"/>
            </w:tcBorders>
            <w:vAlign w:val="bottom"/>
          </w:tcPr>
          <w:p w14:paraId="69A6C431" w14:textId="77777777" w:rsidR="00A3021A" w:rsidRPr="00701439" w:rsidRDefault="00A3021A">
            <w:pPr>
              <w:jc w:val="right"/>
              <w:rPr>
                <w:rFonts w:asciiTheme="minorHAnsi" w:hAnsiTheme="minorHAnsi" w:cs="Arial"/>
                <w:sz w:val="20"/>
                <w:szCs w:val="20"/>
              </w:rPr>
            </w:pPr>
            <w:r w:rsidRPr="00701439">
              <w:rPr>
                <w:rFonts w:ascii="Calibri (Body)" w:hAnsi="Calibri (Body)" w:cs="Calibri"/>
                <w:color w:val="000000"/>
                <w:sz w:val="20"/>
                <w:szCs w:val="20"/>
              </w:rPr>
              <w:t>1,904.0</w:t>
            </w:r>
          </w:p>
        </w:tc>
      </w:tr>
    </w:tbl>
    <w:p w14:paraId="4893B32C" w14:textId="77777777" w:rsidR="00A3021A" w:rsidRPr="00701439" w:rsidRDefault="00A3021A" w:rsidP="00A3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sz w:val="20"/>
          <w:szCs w:val="20"/>
        </w:rPr>
      </w:pPr>
    </w:p>
    <w:tbl>
      <w:tblPr>
        <w:tblW w:w="9923" w:type="dxa"/>
        <w:tblLook w:val="0000" w:firstRow="0" w:lastRow="0" w:firstColumn="0" w:lastColumn="0" w:noHBand="0" w:noVBand="0"/>
      </w:tblPr>
      <w:tblGrid>
        <w:gridCol w:w="5069"/>
        <w:gridCol w:w="1275"/>
        <w:gridCol w:w="1274"/>
        <w:gridCol w:w="1132"/>
        <w:gridCol w:w="1173"/>
      </w:tblGrid>
      <w:tr w:rsidR="00A3021A" w:rsidRPr="00701439" w14:paraId="14D94B16" w14:textId="77777777">
        <w:tc>
          <w:tcPr>
            <w:tcW w:w="5069" w:type="dxa"/>
          </w:tcPr>
          <w:p w14:paraId="654D8AF4" w14:textId="77777777" w:rsidR="00A3021A" w:rsidRPr="00701439" w:rsidRDefault="00A3021A">
            <w:pPr>
              <w:rPr>
                <w:rFonts w:asciiTheme="minorHAnsi" w:hAnsiTheme="minorHAnsi" w:cs="Arial"/>
                <w:sz w:val="20"/>
                <w:szCs w:val="20"/>
              </w:rPr>
            </w:pPr>
          </w:p>
        </w:tc>
        <w:tc>
          <w:tcPr>
            <w:tcW w:w="4854" w:type="dxa"/>
            <w:gridSpan w:val="4"/>
          </w:tcPr>
          <w:p w14:paraId="6AD8A906" w14:textId="77777777" w:rsidR="00A3021A" w:rsidRPr="00701439" w:rsidRDefault="00A3021A">
            <w:pPr>
              <w:jc w:val="center"/>
              <w:rPr>
                <w:rFonts w:asciiTheme="minorHAnsi" w:hAnsiTheme="minorHAnsi" w:cs="Arial"/>
                <w:sz w:val="20"/>
                <w:szCs w:val="20"/>
              </w:rPr>
            </w:pPr>
            <w:r w:rsidRPr="00701439">
              <w:rPr>
                <w:rFonts w:asciiTheme="minorHAnsi" w:hAnsiTheme="minorHAnsi" w:cs="Arial"/>
                <w:sz w:val="20"/>
                <w:szCs w:val="20"/>
              </w:rPr>
              <w:t>2021</w:t>
            </w:r>
          </w:p>
        </w:tc>
      </w:tr>
      <w:tr w:rsidR="00A3021A" w:rsidRPr="00701439" w14:paraId="66E0E782" w14:textId="77777777">
        <w:tc>
          <w:tcPr>
            <w:tcW w:w="5069" w:type="dxa"/>
          </w:tcPr>
          <w:p w14:paraId="6F2240DD" w14:textId="77777777" w:rsidR="00A3021A" w:rsidRPr="00701439" w:rsidRDefault="00A3021A">
            <w:pPr>
              <w:rPr>
                <w:rFonts w:asciiTheme="minorHAnsi" w:hAnsiTheme="minorHAnsi" w:cs="Arial"/>
                <w:sz w:val="20"/>
                <w:szCs w:val="20"/>
              </w:rPr>
            </w:pPr>
          </w:p>
        </w:tc>
        <w:tc>
          <w:tcPr>
            <w:tcW w:w="1275" w:type="dxa"/>
          </w:tcPr>
          <w:p w14:paraId="101F4F21"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Stage 1 </w:t>
            </w:r>
          </w:p>
        </w:tc>
        <w:tc>
          <w:tcPr>
            <w:tcW w:w="1274" w:type="dxa"/>
          </w:tcPr>
          <w:p w14:paraId="1C2B6DBF"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Stage 2  </w:t>
            </w:r>
          </w:p>
        </w:tc>
        <w:tc>
          <w:tcPr>
            <w:tcW w:w="1132" w:type="dxa"/>
          </w:tcPr>
          <w:p w14:paraId="491DFA2C"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Stage 3 </w:t>
            </w:r>
          </w:p>
        </w:tc>
        <w:tc>
          <w:tcPr>
            <w:tcW w:w="1173" w:type="dxa"/>
          </w:tcPr>
          <w:p w14:paraId="1E135642"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Total </w:t>
            </w:r>
          </w:p>
        </w:tc>
      </w:tr>
      <w:tr w:rsidR="00A3021A" w:rsidRPr="00701439" w14:paraId="074C4F90" w14:textId="77777777">
        <w:tc>
          <w:tcPr>
            <w:tcW w:w="5069" w:type="dxa"/>
          </w:tcPr>
          <w:p w14:paraId="5D1E55A5" w14:textId="77777777" w:rsidR="00A3021A" w:rsidRPr="00701439" w:rsidRDefault="00A3021A">
            <w:pPr>
              <w:rPr>
                <w:rFonts w:asciiTheme="minorHAnsi" w:hAnsiTheme="minorHAnsi" w:cs="Arial"/>
                <w:sz w:val="20"/>
                <w:szCs w:val="20"/>
              </w:rPr>
            </w:pPr>
          </w:p>
        </w:tc>
        <w:tc>
          <w:tcPr>
            <w:tcW w:w="1275" w:type="dxa"/>
            <w:tcBorders>
              <w:top w:val="nil"/>
              <w:left w:val="nil"/>
              <w:bottom w:val="single" w:sz="4" w:space="0" w:color="auto"/>
              <w:right w:val="nil"/>
            </w:tcBorders>
          </w:tcPr>
          <w:p w14:paraId="6FC87899"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£m </w:t>
            </w:r>
          </w:p>
        </w:tc>
        <w:tc>
          <w:tcPr>
            <w:tcW w:w="1274" w:type="dxa"/>
            <w:tcBorders>
              <w:top w:val="nil"/>
              <w:left w:val="nil"/>
              <w:bottom w:val="single" w:sz="4" w:space="0" w:color="auto"/>
              <w:right w:val="nil"/>
            </w:tcBorders>
          </w:tcPr>
          <w:p w14:paraId="78C787BB"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£m  </w:t>
            </w:r>
          </w:p>
        </w:tc>
        <w:tc>
          <w:tcPr>
            <w:tcW w:w="1132" w:type="dxa"/>
            <w:tcBorders>
              <w:top w:val="nil"/>
              <w:left w:val="nil"/>
              <w:bottom w:val="single" w:sz="4" w:space="0" w:color="auto"/>
              <w:right w:val="nil"/>
            </w:tcBorders>
          </w:tcPr>
          <w:p w14:paraId="19AEFE68"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£m </w:t>
            </w:r>
          </w:p>
        </w:tc>
        <w:tc>
          <w:tcPr>
            <w:tcW w:w="1173" w:type="dxa"/>
            <w:tcBorders>
              <w:top w:val="nil"/>
              <w:left w:val="nil"/>
              <w:bottom w:val="single" w:sz="4" w:space="0" w:color="auto"/>
              <w:right w:val="nil"/>
            </w:tcBorders>
          </w:tcPr>
          <w:p w14:paraId="69629DCA"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£m </w:t>
            </w:r>
          </w:p>
        </w:tc>
      </w:tr>
      <w:tr w:rsidR="00A3021A" w:rsidRPr="00701439" w14:paraId="7E1C56E6" w14:textId="77777777">
        <w:tc>
          <w:tcPr>
            <w:tcW w:w="5069" w:type="dxa"/>
          </w:tcPr>
          <w:p w14:paraId="1595007C" w14:textId="77777777" w:rsidR="00A3021A" w:rsidRPr="00701439" w:rsidRDefault="00A3021A">
            <w:pPr>
              <w:rPr>
                <w:rFonts w:asciiTheme="minorHAnsi" w:hAnsiTheme="minorHAnsi" w:cs="Arial"/>
                <w:b/>
                <w:sz w:val="20"/>
                <w:szCs w:val="20"/>
              </w:rPr>
            </w:pPr>
            <w:r w:rsidRPr="00701439">
              <w:rPr>
                <w:rFonts w:asciiTheme="minorHAnsi" w:hAnsiTheme="minorHAnsi" w:cs="Arial"/>
                <w:b/>
                <w:sz w:val="20"/>
                <w:szCs w:val="20"/>
              </w:rPr>
              <w:t>Gross receivables</w:t>
            </w:r>
          </w:p>
        </w:tc>
        <w:tc>
          <w:tcPr>
            <w:tcW w:w="1275" w:type="dxa"/>
            <w:vAlign w:val="bottom"/>
          </w:tcPr>
          <w:p w14:paraId="10405F3B" w14:textId="77777777" w:rsidR="00A3021A" w:rsidRPr="00701439" w:rsidRDefault="00A3021A">
            <w:pPr>
              <w:jc w:val="right"/>
              <w:rPr>
                <w:rFonts w:asciiTheme="minorHAnsi" w:hAnsiTheme="minorHAnsi" w:cs="Arial"/>
                <w:sz w:val="20"/>
                <w:szCs w:val="20"/>
              </w:rPr>
            </w:pPr>
          </w:p>
        </w:tc>
        <w:tc>
          <w:tcPr>
            <w:tcW w:w="1274" w:type="dxa"/>
            <w:vAlign w:val="bottom"/>
          </w:tcPr>
          <w:p w14:paraId="1092072B" w14:textId="77777777" w:rsidR="00A3021A" w:rsidRPr="00701439" w:rsidRDefault="00A3021A">
            <w:pPr>
              <w:jc w:val="right"/>
              <w:rPr>
                <w:rFonts w:asciiTheme="minorHAnsi" w:hAnsiTheme="minorHAnsi" w:cs="Arial"/>
                <w:sz w:val="20"/>
                <w:szCs w:val="20"/>
              </w:rPr>
            </w:pPr>
          </w:p>
        </w:tc>
        <w:tc>
          <w:tcPr>
            <w:tcW w:w="1132" w:type="dxa"/>
          </w:tcPr>
          <w:p w14:paraId="4D29C0F5" w14:textId="77777777" w:rsidR="00A3021A" w:rsidRPr="00701439" w:rsidRDefault="00A3021A">
            <w:pPr>
              <w:jc w:val="right"/>
              <w:rPr>
                <w:rFonts w:asciiTheme="minorHAnsi" w:hAnsiTheme="minorHAnsi" w:cs="Arial"/>
                <w:sz w:val="20"/>
                <w:szCs w:val="20"/>
              </w:rPr>
            </w:pPr>
          </w:p>
        </w:tc>
        <w:tc>
          <w:tcPr>
            <w:tcW w:w="1173" w:type="dxa"/>
          </w:tcPr>
          <w:p w14:paraId="55DC43A8" w14:textId="77777777" w:rsidR="00A3021A" w:rsidRPr="00701439" w:rsidRDefault="00A3021A">
            <w:pPr>
              <w:jc w:val="right"/>
              <w:rPr>
                <w:rFonts w:asciiTheme="minorHAnsi" w:hAnsiTheme="minorHAnsi" w:cs="Arial"/>
                <w:sz w:val="20"/>
                <w:szCs w:val="20"/>
              </w:rPr>
            </w:pPr>
          </w:p>
        </w:tc>
      </w:tr>
      <w:tr w:rsidR="00A3021A" w:rsidRPr="00701439" w14:paraId="51CF6C07" w14:textId="77777777">
        <w:tc>
          <w:tcPr>
            <w:tcW w:w="5069" w:type="dxa"/>
            <w:vAlign w:val="bottom"/>
          </w:tcPr>
          <w:p w14:paraId="203EB1B7"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Credit cards</w:t>
            </w:r>
          </w:p>
        </w:tc>
        <w:tc>
          <w:tcPr>
            <w:tcW w:w="1275" w:type="dxa"/>
            <w:vAlign w:val="bottom"/>
          </w:tcPr>
          <w:p w14:paraId="20346C36" w14:textId="77777777" w:rsidR="00A3021A" w:rsidRPr="00701439" w:rsidRDefault="00A3021A">
            <w:pPr>
              <w:jc w:val="right"/>
              <w:rPr>
                <w:rFonts w:asciiTheme="minorHAnsi" w:hAnsiTheme="minorHAnsi" w:cs="Arial"/>
                <w:sz w:val="20"/>
                <w:szCs w:val="20"/>
              </w:rPr>
            </w:pPr>
            <w:r w:rsidRPr="00701439">
              <w:rPr>
                <w:rFonts w:ascii="Calibri" w:hAnsi="Calibri" w:cs="Calibri"/>
                <w:color w:val="000000"/>
                <w:sz w:val="20"/>
                <w:szCs w:val="20"/>
              </w:rPr>
              <w:t>883.8</w:t>
            </w:r>
          </w:p>
        </w:tc>
        <w:tc>
          <w:tcPr>
            <w:tcW w:w="1274" w:type="dxa"/>
            <w:vAlign w:val="bottom"/>
          </w:tcPr>
          <w:p w14:paraId="162805F9" w14:textId="77777777" w:rsidR="00A3021A" w:rsidRPr="00701439" w:rsidRDefault="00A3021A">
            <w:pPr>
              <w:jc w:val="right"/>
              <w:rPr>
                <w:rFonts w:asciiTheme="minorHAnsi" w:hAnsiTheme="minorHAnsi" w:cs="Arial"/>
                <w:sz w:val="20"/>
                <w:szCs w:val="20"/>
              </w:rPr>
            </w:pPr>
            <w:r w:rsidRPr="00701439">
              <w:rPr>
                <w:rFonts w:ascii="Calibri" w:hAnsi="Calibri" w:cs="Calibri"/>
                <w:color w:val="000000"/>
                <w:sz w:val="20"/>
                <w:szCs w:val="20"/>
              </w:rPr>
              <w:t>340.9</w:t>
            </w:r>
          </w:p>
        </w:tc>
        <w:tc>
          <w:tcPr>
            <w:tcW w:w="1132" w:type="dxa"/>
            <w:vAlign w:val="bottom"/>
          </w:tcPr>
          <w:p w14:paraId="1879D755" w14:textId="77777777" w:rsidR="00A3021A" w:rsidRPr="00701439" w:rsidRDefault="00A3021A">
            <w:pPr>
              <w:jc w:val="right"/>
              <w:rPr>
                <w:rFonts w:asciiTheme="minorHAnsi" w:hAnsiTheme="minorHAnsi" w:cs="Arial"/>
                <w:sz w:val="20"/>
                <w:szCs w:val="20"/>
              </w:rPr>
            </w:pPr>
            <w:r w:rsidRPr="00701439">
              <w:rPr>
                <w:rFonts w:ascii="Calibri" w:hAnsi="Calibri" w:cs="Calibri"/>
                <w:color w:val="000000"/>
                <w:sz w:val="20"/>
                <w:szCs w:val="20"/>
              </w:rPr>
              <w:t>192.5</w:t>
            </w:r>
          </w:p>
        </w:tc>
        <w:tc>
          <w:tcPr>
            <w:tcW w:w="1173" w:type="dxa"/>
            <w:vAlign w:val="bottom"/>
          </w:tcPr>
          <w:p w14:paraId="1546A25C" w14:textId="77777777" w:rsidR="00A3021A" w:rsidRPr="00701439" w:rsidRDefault="00A3021A">
            <w:pPr>
              <w:jc w:val="right"/>
              <w:rPr>
                <w:rFonts w:asciiTheme="minorHAnsi" w:hAnsiTheme="minorHAnsi" w:cs="Arial"/>
                <w:sz w:val="20"/>
                <w:szCs w:val="20"/>
              </w:rPr>
            </w:pPr>
            <w:r w:rsidRPr="00701439">
              <w:rPr>
                <w:rFonts w:ascii="Calibri" w:hAnsi="Calibri" w:cs="Calibri"/>
                <w:color w:val="000000"/>
                <w:sz w:val="20"/>
                <w:szCs w:val="20"/>
              </w:rPr>
              <w:t>1,417.2</w:t>
            </w:r>
          </w:p>
        </w:tc>
      </w:tr>
      <w:tr w:rsidR="00A3021A" w:rsidRPr="00701439" w14:paraId="7E96C3E9" w14:textId="77777777">
        <w:tc>
          <w:tcPr>
            <w:tcW w:w="5069" w:type="dxa"/>
            <w:vAlign w:val="bottom"/>
          </w:tcPr>
          <w:p w14:paraId="1D7022C2"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Vehicle finance</w:t>
            </w:r>
          </w:p>
        </w:tc>
        <w:tc>
          <w:tcPr>
            <w:tcW w:w="1275" w:type="dxa"/>
            <w:vAlign w:val="bottom"/>
          </w:tcPr>
          <w:p w14:paraId="71F23AA0" w14:textId="77777777" w:rsidR="00A3021A" w:rsidRPr="00701439" w:rsidRDefault="00A3021A">
            <w:pPr>
              <w:jc w:val="right"/>
              <w:rPr>
                <w:rFonts w:asciiTheme="minorHAnsi" w:hAnsiTheme="minorHAnsi" w:cs="Arial"/>
                <w:sz w:val="20"/>
                <w:szCs w:val="20"/>
              </w:rPr>
            </w:pPr>
            <w:r w:rsidRPr="00701439">
              <w:rPr>
                <w:rFonts w:ascii="Calibri" w:hAnsi="Calibri" w:cs="Calibri"/>
                <w:color w:val="000000"/>
                <w:sz w:val="20"/>
                <w:szCs w:val="20"/>
              </w:rPr>
              <w:t>350.2</w:t>
            </w:r>
          </w:p>
        </w:tc>
        <w:tc>
          <w:tcPr>
            <w:tcW w:w="1274" w:type="dxa"/>
            <w:vAlign w:val="bottom"/>
          </w:tcPr>
          <w:p w14:paraId="74BFF745" w14:textId="77777777" w:rsidR="00A3021A" w:rsidRPr="00701439" w:rsidRDefault="00A3021A">
            <w:pPr>
              <w:jc w:val="right"/>
              <w:rPr>
                <w:rFonts w:asciiTheme="minorHAnsi" w:hAnsiTheme="minorHAnsi" w:cs="Arial"/>
                <w:sz w:val="20"/>
                <w:szCs w:val="20"/>
              </w:rPr>
            </w:pPr>
            <w:r w:rsidRPr="00701439">
              <w:rPr>
                <w:rFonts w:ascii="Calibri" w:hAnsi="Calibri" w:cs="Calibri"/>
                <w:color w:val="000000"/>
                <w:sz w:val="20"/>
                <w:szCs w:val="20"/>
              </w:rPr>
              <w:t>112.9</w:t>
            </w:r>
          </w:p>
        </w:tc>
        <w:tc>
          <w:tcPr>
            <w:tcW w:w="1132" w:type="dxa"/>
            <w:vAlign w:val="bottom"/>
          </w:tcPr>
          <w:p w14:paraId="037E08AF" w14:textId="77777777" w:rsidR="00A3021A" w:rsidRPr="00701439" w:rsidRDefault="00A3021A">
            <w:pPr>
              <w:jc w:val="right"/>
              <w:rPr>
                <w:rFonts w:asciiTheme="minorHAnsi" w:hAnsiTheme="minorHAnsi" w:cs="Arial"/>
                <w:sz w:val="20"/>
                <w:szCs w:val="20"/>
              </w:rPr>
            </w:pPr>
            <w:r w:rsidRPr="00701439">
              <w:rPr>
                <w:rFonts w:ascii="Calibri" w:hAnsi="Calibri" w:cs="Calibri"/>
                <w:color w:val="000000"/>
                <w:sz w:val="20"/>
                <w:szCs w:val="20"/>
              </w:rPr>
              <w:t>378.6</w:t>
            </w:r>
          </w:p>
        </w:tc>
        <w:tc>
          <w:tcPr>
            <w:tcW w:w="1173" w:type="dxa"/>
            <w:vAlign w:val="bottom"/>
          </w:tcPr>
          <w:p w14:paraId="151FC35F" w14:textId="77777777" w:rsidR="00A3021A" w:rsidRPr="00701439" w:rsidRDefault="00A3021A">
            <w:pPr>
              <w:jc w:val="right"/>
              <w:rPr>
                <w:rFonts w:asciiTheme="minorHAnsi" w:hAnsiTheme="minorHAnsi" w:cs="Arial"/>
                <w:sz w:val="20"/>
                <w:szCs w:val="20"/>
              </w:rPr>
            </w:pPr>
            <w:r w:rsidRPr="00701439">
              <w:rPr>
                <w:rFonts w:ascii="Calibri" w:hAnsi="Calibri" w:cs="Calibri"/>
                <w:color w:val="000000"/>
                <w:sz w:val="20"/>
                <w:szCs w:val="20"/>
              </w:rPr>
              <w:t>841.7</w:t>
            </w:r>
          </w:p>
        </w:tc>
      </w:tr>
      <w:tr w:rsidR="00A3021A" w:rsidRPr="00701439" w14:paraId="5B456831" w14:textId="77777777">
        <w:tc>
          <w:tcPr>
            <w:tcW w:w="5069" w:type="dxa"/>
            <w:vAlign w:val="bottom"/>
          </w:tcPr>
          <w:p w14:paraId="78E6CEE2"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Personal loans</w:t>
            </w:r>
          </w:p>
        </w:tc>
        <w:tc>
          <w:tcPr>
            <w:tcW w:w="1275" w:type="dxa"/>
            <w:vAlign w:val="bottom"/>
          </w:tcPr>
          <w:p w14:paraId="499B9D13" w14:textId="77777777" w:rsidR="00A3021A" w:rsidRPr="00701439" w:rsidRDefault="00A3021A">
            <w:pPr>
              <w:jc w:val="right"/>
              <w:rPr>
                <w:rFonts w:asciiTheme="minorHAnsi" w:hAnsiTheme="minorHAnsi" w:cs="Arial"/>
                <w:sz w:val="20"/>
                <w:szCs w:val="20"/>
              </w:rPr>
            </w:pPr>
            <w:r w:rsidRPr="00701439">
              <w:rPr>
                <w:rFonts w:ascii="Calibri" w:hAnsi="Calibri" w:cs="Calibri"/>
                <w:color w:val="000000"/>
                <w:sz w:val="20"/>
                <w:szCs w:val="20"/>
              </w:rPr>
              <w:t>29.9</w:t>
            </w:r>
          </w:p>
        </w:tc>
        <w:tc>
          <w:tcPr>
            <w:tcW w:w="1274" w:type="dxa"/>
            <w:vAlign w:val="bottom"/>
          </w:tcPr>
          <w:p w14:paraId="71E5CE2C" w14:textId="77777777" w:rsidR="00A3021A" w:rsidRPr="00701439" w:rsidRDefault="00A3021A">
            <w:pPr>
              <w:jc w:val="right"/>
              <w:rPr>
                <w:rFonts w:asciiTheme="minorHAnsi" w:hAnsiTheme="minorHAnsi" w:cs="Arial"/>
                <w:sz w:val="20"/>
                <w:szCs w:val="20"/>
              </w:rPr>
            </w:pPr>
            <w:r w:rsidRPr="00701439">
              <w:rPr>
                <w:rFonts w:ascii="Calibri" w:hAnsi="Calibri" w:cs="Calibri"/>
                <w:color w:val="000000"/>
                <w:sz w:val="20"/>
                <w:szCs w:val="20"/>
              </w:rPr>
              <w:t>1.8</w:t>
            </w:r>
          </w:p>
        </w:tc>
        <w:tc>
          <w:tcPr>
            <w:tcW w:w="1132" w:type="dxa"/>
            <w:vAlign w:val="bottom"/>
          </w:tcPr>
          <w:p w14:paraId="182359E2" w14:textId="77777777" w:rsidR="00A3021A" w:rsidRPr="00701439" w:rsidRDefault="00A3021A">
            <w:pPr>
              <w:jc w:val="right"/>
              <w:rPr>
                <w:rFonts w:asciiTheme="minorHAnsi" w:hAnsiTheme="minorHAnsi" w:cs="Arial"/>
                <w:sz w:val="20"/>
                <w:szCs w:val="20"/>
              </w:rPr>
            </w:pPr>
            <w:r w:rsidRPr="00701439">
              <w:rPr>
                <w:rFonts w:ascii="Calibri" w:hAnsi="Calibri" w:cs="Calibri"/>
                <w:color w:val="000000"/>
                <w:sz w:val="20"/>
                <w:szCs w:val="20"/>
              </w:rPr>
              <w:t>2.0</w:t>
            </w:r>
          </w:p>
        </w:tc>
        <w:tc>
          <w:tcPr>
            <w:tcW w:w="1173" w:type="dxa"/>
            <w:vAlign w:val="bottom"/>
          </w:tcPr>
          <w:p w14:paraId="1F3BFC29" w14:textId="77777777" w:rsidR="00A3021A" w:rsidRPr="00701439" w:rsidRDefault="00A3021A">
            <w:pPr>
              <w:jc w:val="right"/>
              <w:rPr>
                <w:rFonts w:asciiTheme="minorHAnsi" w:hAnsiTheme="minorHAnsi" w:cs="Arial"/>
                <w:sz w:val="20"/>
                <w:szCs w:val="20"/>
              </w:rPr>
            </w:pPr>
            <w:r w:rsidRPr="00701439">
              <w:rPr>
                <w:rFonts w:ascii="Calibri" w:hAnsi="Calibri" w:cs="Calibri"/>
                <w:color w:val="000000"/>
                <w:sz w:val="20"/>
                <w:szCs w:val="20"/>
              </w:rPr>
              <w:t>33.7</w:t>
            </w:r>
          </w:p>
        </w:tc>
      </w:tr>
      <w:tr w:rsidR="00A3021A" w:rsidRPr="00701439" w14:paraId="43EAB74A" w14:textId="77777777">
        <w:tc>
          <w:tcPr>
            <w:tcW w:w="5069" w:type="dxa"/>
            <w:vAlign w:val="bottom"/>
          </w:tcPr>
          <w:p w14:paraId="10BAFB97" w14:textId="77777777" w:rsidR="00A3021A" w:rsidRPr="00701439" w:rsidRDefault="00A3021A">
            <w:pPr>
              <w:rPr>
                <w:rFonts w:asciiTheme="minorHAnsi" w:hAnsiTheme="minorHAnsi" w:cs="Arial"/>
                <w:b/>
                <w:sz w:val="20"/>
                <w:szCs w:val="20"/>
              </w:rPr>
            </w:pPr>
            <w:r w:rsidRPr="00701439">
              <w:rPr>
                <w:rFonts w:asciiTheme="minorHAnsi" w:hAnsiTheme="minorHAnsi" w:cs="Arial"/>
                <w:b/>
                <w:sz w:val="20"/>
                <w:szCs w:val="20"/>
              </w:rPr>
              <w:t>Total group</w:t>
            </w:r>
          </w:p>
        </w:tc>
        <w:tc>
          <w:tcPr>
            <w:tcW w:w="1275" w:type="dxa"/>
            <w:tcBorders>
              <w:top w:val="single" w:sz="4" w:space="0" w:color="auto"/>
              <w:left w:val="nil"/>
              <w:bottom w:val="single" w:sz="4" w:space="0" w:color="auto"/>
              <w:right w:val="nil"/>
            </w:tcBorders>
            <w:vAlign w:val="bottom"/>
          </w:tcPr>
          <w:p w14:paraId="705296E3"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1,263.9</w:t>
            </w:r>
          </w:p>
        </w:tc>
        <w:tc>
          <w:tcPr>
            <w:tcW w:w="1274" w:type="dxa"/>
            <w:tcBorders>
              <w:top w:val="single" w:sz="4" w:space="0" w:color="auto"/>
              <w:left w:val="nil"/>
              <w:bottom w:val="single" w:sz="4" w:space="0" w:color="auto"/>
              <w:right w:val="nil"/>
            </w:tcBorders>
            <w:vAlign w:val="bottom"/>
          </w:tcPr>
          <w:p w14:paraId="2B7363CC"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455.6</w:t>
            </w:r>
          </w:p>
        </w:tc>
        <w:tc>
          <w:tcPr>
            <w:tcW w:w="1132" w:type="dxa"/>
            <w:tcBorders>
              <w:top w:val="single" w:sz="4" w:space="0" w:color="auto"/>
              <w:left w:val="nil"/>
              <w:bottom w:val="single" w:sz="4" w:space="0" w:color="auto"/>
              <w:right w:val="nil"/>
            </w:tcBorders>
          </w:tcPr>
          <w:p w14:paraId="04C86127"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573.1</w:t>
            </w:r>
          </w:p>
        </w:tc>
        <w:tc>
          <w:tcPr>
            <w:tcW w:w="1173" w:type="dxa"/>
            <w:tcBorders>
              <w:top w:val="single" w:sz="4" w:space="0" w:color="auto"/>
              <w:left w:val="nil"/>
              <w:bottom w:val="single" w:sz="4" w:space="0" w:color="auto"/>
              <w:right w:val="nil"/>
            </w:tcBorders>
          </w:tcPr>
          <w:p w14:paraId="1643D90E"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2,292.6</w:t>
            </w:r>
          </w:p>
        </w:tc>
      </w:tr>
      <w:tr w:rsidR="00A3021A" w:rsidRPr="00701439" w14:paraId="0E537C1B" w14:textId="77777777">
        <w:tc>
          <w:tcPr>
            <w:tcW w:w="5069" w:type="dxa"/>
            <w:vAlign w:val="bottom"/>
          </w:tcPr>
          <w:p w14:paraId="1E867D7B" w14:textId="77777777" w:rsidR="00A3021A" w:rsidRPr="00701439" w:rsidRDefault="00A3021A">
            <w:pPr>
              <w:rPr>
                <w:rFonts w:asciiTheme="minorHAnsi" w:hAnsiTheme="minorHAnsi" w:cs="Arial"/>
                <w:sz w:val="20"/>
                <w:szCs w:val="20"/>
              </w:rPr>
            </w:pPr>
          </w:p>
        </w:tc>
        <w:tc>
          <w:tcPr>
            <w:tcW w:w="1275" w:type="dxa"/>
            <w:tcBorders>
              <w:top w:val="single" w:sz="4" w:space="0" w:color="auto"/>
              <w:left w:val="nil"/>
              <w:bottom w:val="nil"/>
              <w:right w:val="nil"/>
            </w:tcBorders>
            <w:vAlign w:val="bottom"/>
          </w:tcPr>
          <w:p w14:paraId="2888AB3B" w14:textId="77777777" w:rsidR="00A3021A" w:rsidRPr="00701439" w:rsidRDefault="00A3021A">
            <w:pPr>
              <w:jc w:val="right"/>
              <w:rPr>
                <w:rFonts w:asciiTheme="minorHAnsi" w:hAnsiTheme="minorHAnsi" w:cs="Arial"/>
                <w:sz w:val="20"/>
                <w:szCs w:val="20"/>
              </w:rPr>
            </w:pPr>
          </w:p>
        </w:tc>
        <w:tc>
          <w:tcPr>
            <w:tcW w:w="1274" w:type="dxa"/>
            <w:tcBorders>
              <w:top w:val="single" w:sz="4" w:space="0" w:color="auto"/>
              <w:left w:val="nil"/>
              <w:bottom w:val="nil"/>
              <w:right w:val="nil"/>
            </w:tcBorders>
            <w:vAlign w:val="bottom"/>
          </w:tcPr>
          <w:p w14:paraId="1E1DBE38" w14:textId="77777777" w:rsidR="00A3021A" w:rsidRPr="00701439" w:rsidRDefault="00A3021A">
            <w:pPr>
              <w:jc w:val="right"/>
              <w:rPr>
                <w:rFonts w:asciiTheme="minorHAnsi" w:hAnsiTheme="minorHAnsi" w:cs="Arial"/>
                <w:sz w:val="20"/>
                <w:szCs w:val="20"/>
              </w:rPr>
            </w:pPr>
          </w:p>
        </w:tc>
        <w:tc>
          <w:tcPr>
            <w:tcW w:w="1132" w:type="dxa"/>
            <w:tcBorders>
              <w:top w:val="single" w:sz="4" w:space="0" w:color="auto"/>
              <w:left w:val="nil"/>
              <w:bottom w:val="nil"/>
              <w:right w:val="nil"/>
            </w:tcBorders>
          </w:tcPr>
          <w:p w14:paraId="76171E44" w14:textId="77777777" w:rsidR="00A3021A" w:rsidRPr="00701439" w:rsidRDefault="00A3021A">
            <w:pPr>
              <w:jc w:val="right"/>
              <w:rPr>
                <w:rFonts w:asciiTheme="minorHAnsi" w:hAnsiTheme="minorHAnsi" w:cs="Arial"/>
                <w:sz w:val="20"/>
                <w:szCs w:val="20"/>
              </w:rPr>
            </w:pPr>
          </w:p>
        </w:tc>
        <w:tc>
          <w:tcPr>
            <w:tcW w:w="1173" w:type="dxa"/>
            <w:tcBorders>
              <w:top w:val="single" w:sz="4" w:space="0" w:color="auto"/>
              <w:left w:val="nil"/>
              <w:bottom w:val="nil"/>
              <w:right w:val="nil"/>
            </w:tcBorders>
          </w:tcPr>
          <w:p w14:paraId="6FF1122F" w14:textId="77777777" w:rsidR="00A3021A" w:rsidRPr="00701439" w:rsidRDefault="00A3021A">
            <w:pPr>
              <w:jc w:val="right"/>
              <w:rPr>
                <w:rFonts w:asciiTheme="minorHAnsi" w:hAnsiTheme="minorHAnsi" w:cs="Arial"/>
                <w:sz w:val="20"/>
                <w:szCs w:val="20"/>
              </w:rPr>
            </w:pPr>
          </w:p>
        </w:tc>
      </w:tr>
      <w:tr w:rsidR="00A3021A" w:rsidRPr="00701439" w14:paraId="5A535B30" w14:textId="77777777">
        <w:tc>
          <w:tcPr>
            <w:tcW w:w="5069" w:type="dxa"/>
          </w:tcPr>
          <w:p w14:paraId="33CCC1FF" w14:textId="77777777" w:rsidR="00A3021A" w:rsidRPr="00701439" w:rsidRDefault="00A3021A">
            <w:pPr>
              <w:rPr>
                <w:rFonts w:asciiTheme="minorHAnsi" w:hAnsiTheme="minorHAnsi" w:cs="Arial"/>
                <w:b/>
                <w:sz w:val="20"/>
                <w:szCs w:val="20"/>
              </w:rPr>
            </w:pPr>
            <w:r w:rsidRPr="00701439">
              <w:rPr>
                <w:rFonts w:asciiTheme="minorHAnsi" w:hAnsiTheme="minorHAnsi" w:cs="Arial"/>
                <w:b/>
                <w:sz w:val="20"/>
                <w:szCs w:val="20"/>
              </w:rPr>
              <w:t>Allowance account</w:t>
            </w:r>
          </w:p>
        </w:tc>
        <w:tc>
          <w:tcPr>
            <w:tcW w:w="1275" w:type="dxa"/>
            <w:vAlign w:val="bottom"/>
          </w:tcPr>
          <w:p w14:paraId="513B113A" w14:textId="77777777" w:rsidR="00A3021A" w:rsidRPr="00701439" w:rsidRDefault="00A3021A">
            <w:pPr>
              <w:jc w:val="right"/>
              <w:rPr>
                <w:rFonts w:asciiTheme="minorHAnsi" w:hAnsiTheme="minorHAnsi" w:cs="Arial"/>
                <w:sz w:val="20"/>
                <w:szCs w:val="20"/>
              </w:rPr>
            </w:pPr>
          </w:p>
        </w:tc>
        <w:tc>
          <w:tcPr>
            <w:tcW w:w="1274" w:type="dxa"/>
            <w:vAlign w:val="bottom"/>
          </w:tcPr>
          <w:p w14:paraId="6210C3BF" w14:textId="77777777" w:rsidR="00A3021A" w:rsidRPr="00701439" w:rsidRDefault="00A3021A">
            <w:pPr>
              <w:jc w:val="right"/>
              <w:rPr>
                <w:rFonts w:asciiTheme="minorHAnsi" w:hAnsiTheme="minorHAnsi" w:cs="Arial"/>
                <w:sz w:val="20"/>
                <w:szCs w:val="20"/>
              </w:rPr>
            </w:pPr>
          </w:p>
        </w:tc>
        <w:tc>
          <w:tcPr>
            <w:tcW w:w="1132" w:type="dxa"/>
          </w:tcPr>
          <w:p w14:paraId="383262E2" w14:textId="77777777" w:rsidR="00A3021A" w:rsidRPr="00701439" w:rsidRDefault="00A3021A">
            <w:pPr>
              <w:jc w:val="right"/>
              <w:rPr>
                <w:rFonts w:asciiTheme="minorHAnsi" w:hAnsiTheme="minorHAnsi" w:cs="Arial"/>
                <w:sz w:val="20"/>
                <w:szCs w:val="20"/>
              </w:rPr>
            </w:pPr>
          </w:p>
        </w:tc>
        <w:tc>
          <w:tcPr>
            <w:tcW w:w="1173" w:type="dxa"/>
          </w:tcPr>
          <w:p w14:paraId="0008528B" w14:textId="77777777" w:rsidR="00A3021A" w:rsidRPr="00701439" w:rsidRDefault="00A3021A">
            <w:pPr>
              <w:jc w:val="right"/>
              <w:rPr>
                <w:rFonts w:asciiTheme="minorHAnsi" w:hAnsiTheme="minorHAnsi" w:cs="Arial"/>
                <w:sz w:val="20"/>
                <w:szCs w:val="20"/>
              </w:rPr>
            </w:pPr>
          </w:p>
        </w:tc>
      </w:tr>
      <w:tr w:rsidR="00A3021A" w:rsidRPr="00701439" w14:paraId="0C3EC9B9" w14:textId="77777777">
        <w:tc>
          <w:tcPr>
            <w:tcW w:w="5069" w:type="dxa"/>
            <w:vAlign w:val="bottom"/>
          </w:tcPr>
          <w:p w14:paraId="4ADE1F39"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Credit cards</w:t>
            </w:r>
          </w:p>
        </w:tc>
        <w:tc>
          <w:tcPr>
            <w:tcW w:w="1275" w:type="dxa"/>
            <w:vAlign w:val="bottom"/>
          </w:tcPr>
          <w:p w14:paraId="4660AC91"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(99.7)</w:t>
            </w:r>
          </w:p>
        </w:tc>
        <w:tc>
          <w:tcPr>
            <w:tcW w:w="1274" w:type="dxa"/>
            <w:vAlign w:val="bottom"/>
          </w:tcPr>
          <w:p w14:paraId="05C90EDF"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(102.1)</w:t>
            </w:r>
          </w:p>
        </w:tc>
        <w:tc>
          <w:tcPr>
            <w:tcW w:w="1132" w:type="dxa"/>
            <w:vAlign w:val="bottom"/>
          </w:tcPr>
          <w:p w14:paraId="0D4C2C79"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(152.0)</w:t>
            </w:r>
          </w:p>
        </w:tc>
        <w:tc>
          <w:tcPr>
            <w:tcW w:w="1173" w:type="dxa"/>
            <w:vAlign w:val="bottom"/>
          </w:tcPr>
          <w:p w14:paraId="3E52DEEC"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(353.8)</w:t>
            </w:r>
          </w:p>
        </w:tc>
      </w:tr>
      <w:tr w:rsidR="00A3021A" w:rsidRPr="00701439" w14:paraId="4AE232AB" w14:textId="77777777">
        <w:tc>
          <w:tcPr>
            <w:tcW w:w="5069" w:type="dxa"/>
            <w:vAlign w:val="bottom"/>
          </w:tcPr>
          <w:p w14:paraId="5FCD6458"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Vehicle finance</w:t>
            </w:r>
          </w:p>
        </w:tc>
        <w:tc>
          <w:tcPr>
            <w:tcW w:w="1275" w:type="dxa"/>
            <w:vAlign w:val="bottom"/>
          </w:tcPr>
          <w:p w14:paraId="658F6F44"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(14.3)</w:t>
            </w:r>
          </w:p>
        </w:tc>
        <w:tc>
          <w:tcPr>
            <w:tcW w:w="1274" w:type="dxa"/>
            <w:vAlign w:val="bottom"/>
          </w:tcPr>
          <w:p w14:paraId="4AAC61BD"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(15.8)</w:t>
            </w:r>
          </w:p>
        </w:tc>
        <w:tc>
          <w:tcPr>
            <w:tcW w:w="1132" w:type="dxa"/>
          </w:tcPr>
          <w:p w14:paraId="522E67ED"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(225.4)</w:t>
            </w:r>
          </w:p>
        </w:tc>
        <w:tc>
          <w:tcPr>
            <w:tcW w:w="1173" w:type="dxa"/>
          </w:tcPr>
          <w:p w14:paraId="5955C7E3"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(255.5)</w:t>
            </w:r>
          </w:p>
        </w:tc>
      </w:tr>
      <w:tr w:rsidR="00A3021A" w:rsidRPr="00701439" w14:paraId="7420442B" w14:textId="77777777">
        <w:tc>
          <w:tcPr>
            <w:tcW w:w="5069" w:type="dxa"/>
            <w:vAlign w:val="bottom"/>
          </w:tcPr>
          <w:p w14:paraId="62BEB6D7"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Personal loans</w:t>
            </w:r>
          </w:p>
        </w:tc>
        <w:tc>
          <w:tcPr>
            <w:tcW w:w="1275" w:type="dxa"/>
            <w:vAlign w:val="bottom"/>
          </w:tcPr>
          <w:p w14:paraId="49794573" w14:textId="77777777" w:rsidR="00A3021A" w:rsidRPr="00701439" w:rsidRDefault="00A3021A">
            <w:pPr>
              <w:jc w:val="right"/>
              <w:rPr>
                <w:rFonts w:asciiTheme="minorHAnsi" w:hAnsiTheme="minorHAnsi" w:cs="Arial"/>
                <w:sz w:val="20"/>
                <w:szCs w:val="20"/>
              </w:rPr>
            </w:pPr>
            <w:r w:rsidRPr="00701439">
              <w:rPr>
                <w:rFonts w:ascii="Calibri (Body)" w:hAnsi="Calibri (Body)" w:cs="Calibri"/>
                <w:color w:val="000000"/>
                <w:sz w:val="20"/>
                <w:szCs w:val="20"/>
              </w:rPr>
              <w:t>(3.5)</w:t>
            </w:r>
          </w:p>
        </w:tc>
        <w:tc>
          <w:tcPr>
            <w:tcW w:w="1274" w:type="dxa"/>
            <w:vAlign w:val="bottom"/>
          </w:tcPr>
          <w:p w14:paraId="4C6A2378" w14:textId="77777777" w:rsidR="00A3021A" w:rsidRPr="00701439" w:rsidRDefault="00A3021A">
            <w:pPr>
              <w:jc w:val="right"/>
              <w:rPr>
                <w:rFonts w:asciiTheme="minorHAnsi" w:hAnsiTheme="minorHAnsi" w:cs="Arial"/>
                <w:sz w:val="20"/>
                <w:szCs w:val="20"/>
              </w:rPr>
            </w:pPr>
            <w:r w:rsidRPr="00701439">
              <w:rPr>
                <w:rFonts w:ascii="Calibri (Body)" w:hAnsi="Calibri (Body)" w:cs="Calibri"/>
                <w:color w:val="000000"/>
                <w:sz w:val="20"/>
                <w:szCs w:val="20"/>
              </w:rPr>
              <w:t>(0.8)</w:t>
            </w:r>
          </w:p>
        </w:tc>
        <w:tc>
          <w:tcPr>
            <w:tcW w:w="1132" w:type="dxa"/>
            <w:vAlign w:val="bottom"/>
          </w:tcPr>
          <w:p w14:paraId="1EDF9281" w14:textId="77777777" w:rsidR="00A3021A" w:rsidRPr="00701439" w:rsidRDefault="00A3021A">
            <w:pPr>
              <w:jc w:val="right"/>
              <w:rPr>
                <w:rFonts w:asciiTheme="minorHAnsi" w:hAnsiTheme="minorHAnsi" w:cs="Arial"/>
                <w:sz w:val="20"/>
                <w:szCs w:val="20"/>
              </w:rPr>
            </w:pPr>
            <w:r w:rsidRPr="00701439">
              <w:rPr>
                <w:rFonts w:ascii="Calibri (Body)" w:hAnsi="Calibri (Body)" w:cs="Calibri"/>
                <w:color w:val="000000"/>
                <w:sz w:val="20"/>
                <w:szCs w:val="20"/>
              </w:rPr>
              <w:t>(1.3)</w:t>
            </w:r>
          </w:p>
        </w:tc>
        <w:tc>
          <w:tcPr>
            <w:tcW w:w="1173" w:type="dxa"/>
            <w:vAlign w:val="bottom"/>
          </w:tcPr>
          <w:p w14:paraId="02042586" w14:textId="77777777" w:rsidR="00A3021A" w:rsidRPr="00701439" w:rsidRDefault="00A3021A">
            <w:pPr>
              <w:jc w:val="right"/>
              <w:rPr>
                <w:rFonts w:asciiTheme="minorHAnsi" w:hAnsiTheme="minorHAnsi" w:cs="Arial"/>
                <w:sz w:val="20"/>
                <w:szCs w:val="20"/>
              </w:rPr>
            </w:pPr>
            <w:r w:rsidRPr="00701439">
              <w:rPr>
                <w:rFonts w:ascii="Calibri (Body)" w:hAnsi="Calibri (Body)" w:cs="Calibri"/>
                <w:color w:val="000000"/>
                <w:sz w:val="20"/>
                <w:szCs w:val="20"/>
              </w:rPr>
              <w:t>(5.6)</w:t>
            </w:r>
          </w:p>
        </w:tc>
      </w:tr>
      <w:tr w:rsidR="00A3021A" w:rsidRPr="00701439" w14:paraId="62FDBA23" w14:textId="77777777">
        <w:tc>
          <w:tcPr>
            <w:tcW w:w="5069" w:type="dxa"/>
            <w:vAlign w:val="bottom"/>
          </w:tcPr>
          <w:p w14:paraId="14E41233" w14:textId="77777777" w:rsidR="00A3021A" w:rsidRPr="00701439" w:rsidRDefault="00A3021A">
            <w:pPr>
              <w:rPr>
                <w:rFonts w:asciiTheme="minorHAnsi" w:hAnsiTheme="minorHAnsi" w:cs="Arial"/>
                <w:b/>
                <w:sz w:val="20"/>
                <w:szCs w:val="20"/>
              </w:rPr>
            </w:pPr>
            <w:r w:rsidRPr="00701439">
              <w:rPr>
                <w:rFonts w:asciiTheme="minorHAnsi" w:hAnsiTheme="minorHAnsi" w:cs="Arial"/>
                <w:b/>
                <w:sz w:val="20"/>
                <w:szCs w:val="20"/>
              </w:rPr>
              <w:t>Total group</w:t>
            </w:r>
          </w:p>
        </w:tc>
        <w:tc>
          <w:tcPr>
            <w:tcW w:w="1275" w:type="dxa"/>
            <w:tcBorders>
              <w:top w:val="single" w:sz="4" w:space="0" w:color="auto"/>
              <w:left w:val="nil"/>
              <w:bottom w:val="single" w:sz="4" w:space="0" w:color="auto"/>
              <w:right w:val="nil"/>
            </w:tcBorders>
            <w:vAlign w:val="bottom"/>
          </w:tcPr>
          <w:p w14:paraId="0C9ADA37"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(117.5)</w:t>
            </w:r>
          </w:p>
        </w:tc>
        <w:tc>
          <w:tcPr>
            <w:tcW w:w="1274" w:type="dxa"/>
            <w:tcBorders>
              <w:top w:val="single" w:sz="4" w:space="0" w:color="auto"/>
              <w:left w:val="nil"/>
              <w:bottom w:val="single" w:sz="4" w:space="0" w:color="auto"/>
              <w:right w:val="nil"/>
            </w:tcBorders>
            <w:vAlign w:val="bottom"/>
          </w:tcPr>
          <w:p w14:paraId="2BB21F7D"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(118.7)</w:t>
            </w:r>
          </w:p>
        </w:tc>
        <w:tc>
          <w:tcPr>
            <w:tcW w:w="1132" w:type="dxa"/>
            <w:tcBorders>
              <w:top w:val="single" w:sz="4" w:space="0" w:color="auto"/>
              <w:left w:val="nil"/>
              <w:bottom w:val="single" w:sz="4" w:space="0" w:color="auto"/>
              <w:right w:val="nil"/>
            </w:tcBorders>
          </w:tcPr>
          <w:p w14:paraId="6B6EB807"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(378.7)</w:t>
            </w:r>
          </w:p>
        </w:tc>
        <w:tc>
          <w:tcPr>
            <w:tcW w:w="1173" w:type="dxa"/>
            <w:tcBorders>
              <w:top w:val="single" w:sz="4" w:space="0" w:color="auto"/>
              <w:left w:val="nil"/>
              <w:bottom w:val="single" w:sz="4" w:space="0" w:color="auto"/>
              <w:right w:val="nil"/>
            </w:tcBorders>
          </w:tcPr>
          <w:p w14:paraId="1196D889"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(614.9)</w:t>
            </w:r>
          </w:p>
        </w:tc>
      </w:tr>
      <w:tr w:rsidR="00A3021A" w:rsidRPr="00701439" w14:paraId="076CC79D" w14:textId="77777777">
        <w:tc>
          <w:tcPr>
            <w:tcW w:w="5069" w:type="dxa"/>
            <w:vAlign w:val="bottom"/>
          </w:tcPr>
          <w:p w14:paraId="3ADABDA9" w14:textId="77777777" w:rsidR="00A3021A" w:rsidRPr="00701439" w:rsidRDefault="00A3021A">
            <w:pPr>
              <w:rPr>
                <w:rFonts w:asciiTheme="minorHAnsi" w:hAnsiTheme="minorHAnsi" w:cs="Arial"/>
                <w:b/>
                <w:sz w:val="20"/>
                <w:szCs w:val="20"/>
              </w:rPr>
            </w:pPr>
          </w:p>
        </w:tc>
        <w:tc>
          <w:tcPr>
            <w:tcW w:w="1275" w:type="dxa"/>
            <w:tcBorders>
              <w:top w:val="single" w:sz="4" w:space="0" w:color="auto"/>
              <w:left w:val="nil"/>
              <w:right w:val="nil"/>
            </w:tcBorders>
            <w:vAlign w:val="bottom"/>
          </w:tcPr>
          <w:p w14:paraId="74AADA47" w14:textId="77777777" w:rsidR="00A3021A" w:rsidRPr="00701439" w:rsidRDefault="00A3021A">
            <w:pPr>
              <w:jc w:val="right"/>
              <w:rPr>
                <w:rFonts w:asciiTheme="minorHAnsi" w:hAnsiTheme="minorHAnsi" w:cs="Arial"/>
                <w:sz w:val="20"/>
                <w:szCs w:val="20"/>
              </w:rPr>
            </w:pPr>
          </w:p>
        </w:tc>
        <w:tc>
          <w:tcPr>
            <w:tcW w:w="1274" w:type="dxa"/>
            <w:tcBorders>
              <w:top w:val="single" w:sz="4" w:space="0" w:color="auto"/>
              <w:left w:val="nil"/>
              <w:right w:val="nil"/>
            </w:tcBorders>
            <w:vAlign w:val="bottom"/>
          </w:tcPr>
          <w:p w14:paraId="5984C67C" w14:textId="77777777" w:rsidR="00A3021A" w:rsidRPr="00701439" w:rsidRDefault="00A3021A">
            <w:pPr>
              <w:jc w:val="right"/>
              <w:rPr>
                <w:rFonts w:asciiTheme="minorHAnsi" w:hAnsiTheme="minorHAnsi" w:cs="Arial"/>
                <w:sz w:val="20"/>
                <w:szCs w:val="20"/>
              </w:rPr>
            </w:pPr>
          </w:p>
        </w:tc>
        <w:tc>
          <w:tcPr>
            <w:tcW w:w="1132" w:type="dxa"/>
            <w:tcBorders>
              <w:top w:val="single" w:sz="4" w:space="0" w:color="auto"/>
              <w:left w:val="nil"/>
              <w:right w:val="nil"/>
            </w:tcBorders>
          </w:tcPr>
          <w:p w14:paraId="55BF6414" w14:textId="77777777" w:rsidR="00A3021A" w:rsidRPr="00701439" w:rsidRDefault="00A3021A">
            <w:pPr>
              <w:jc w:val="right"/>
              <w:rPr>
                <w:rFonts w:asciiTheme="minorHAnsi" w:hAnsiTheme="minorHAnsi" w:cs="Arial"/>
                <w:sz w:val="20"/>
                <w:szCs w:val="20"/>
              </w:rPr>
            </w:pPr>
          </w:p>
        </w:tc>
        <w:tc>
          <w:tcPr>
            <w:tcW w:w="1173" w:type="dxa"/>
            <w:tcBorders>
              <w:top w:val="single" w:sz="4" w:space="0" w:color="auto"/>
              <w:left w:val="nil"/>
              <w:right w:val="nil"/>
            </w:tcBorders>
          </w:tcPr>
          <w:p w14:paraId="2A6F35B9" w14:textId="77777777" w:rsidR="00A3021A" w:rsidRPr="00701439" w:rsidRDefault="00A3021A">
            <w:pPr>
              <w:jc w:val="right"/>
              <w:rPr>
                <w:rFonts w:asciiTheme="minorHAnsi" w:hAnsiTheme="minorHAnsi" w:cs="Arial"/>
                <w:sz w:val="20"/>
                <w:szCs w:val="20"/>
              </w:rPr>
            </w:pPr>
          </w:p>
        </w:tc>
      </w:tr>
      <w:tr w:rsidR="00A3021A" w:rsidRPr="00701439" w14:paraId="2E179DDF" w14:textId="77777777">
        <w:tc>
          <w:tcPr>
            <w:tcW w:w="5069" w:type="dxa"/>
          </w:tcPr>
          <w:p w14:paraId="7332777F" w14:textId="77777777" w:rsidR="00A3021A" w:rsidRPr="00701439" w:rsidRDefault="00A3021A">
            <w:pPr>
              <w:rPr>
                <w:rFonts w:asciiTheme="minorHAnsi" w:hAnsiTheme="minorHAnsi" w:cs="Arial"/>
                <w:b/>
                <w:sz w:val="20"/>
                <w:szCs w:val="20"/>
              </w:rPr>
            </w:pPr>
            <w:r w:rsidRPr="00701439">
              <w:rPr>
                <w:rFonts w:asciiTheme="minorHAnsi" w:hAnsiTheme="minorHAnsi" w:cs="Arial"/>
                <w:b/>
                <w:sz w:val="20"/>
                <w:szCs w:val="20"/>
              </w:rPr>
              <w:t>Net receivables</w:t>
            </w:r>
          </w:p>
        </w:tc>
        <w:tc>
          <w:tcPr>
            <w:tcW w:w="1275" w:type="dxa"/>
            <w:tcBorders>
              <w:left w:val="nil"/>
              <w:right w:val="nil"/>
            </w:tcBorders>
            <w:vAlign w:val="bottom"/>
          </w:tcPr>
          <w:p w14:paraId="721F3C71" w14:textId="77777777" w:rsidR="00A3021A" w:rsidRPr="00701439" w:rsidRDefault="00A3021A">
            <w:pPr>
              <w:jc w:val="right"/>
              <w:rPr>
                <w:rFonts w:asciiTheme="minorHAnsi" w:hAnsiTheme="minorHAnsi" w:cs="Arial"/>
                <w:sz w:val="20"/>
                <w:szCs w:val="20"/>
              </w:rPr>
            </w:pPr>
          </w:p>
        </w:tc>
        <w:tc>
          <w:tcPr>
            <w:tcW w:w="1274" w:type="dxa"/>
            <w:tcBorders>
              <w:left w:val="nil"/>
              <w:right w:val="nil"/>
            </w:tcBorders>
            <w:vAlign w:val="bottom"/>
          </w:tcPr>
          <w:p w14:paraId="335EBE40" w14:textId="77777777" w:rsidR="00A3021A" w:rsidRPr="00701439" w:rsidRDefault="00A3021A">
            <w:pPr>
              <w:jc w:val="right"/>
              <w:rPr>
                <w:rFonts w:asciiTheme="minorHAnsi" w:hAnsiTheme="minorHAnsi" w:cs="Arial"/>
                <w:sz w:val="20"/>
                <w:szCs w:val="20"/>
              </w:rPr>
            </w:pPr>
          </w:p>
        </w:tc>
        <w:tc>
          <w:tcPr>
            <w:tcW w:w="1132" w:type="dxa"/>
            <w:tcBorders>
              <w:left w:val="nil"/>
              <w:right w:val="nil"/>
            </w:tcBorders>
          </w:tcPr>
          <w:p w14:paraId="54B57930" w14:textId="77777777" w:rsidR="00A3021A" w:rsidRPr="00701439" w:rsidRDefault="00A3021A">
            <w:pPr>
              <w:jc w:val="right"/>
              <w:rPr>
                <w:rFonts w:asciiTheme="minorHAnsi" w:hAnsiTheme="minorHAnsi" w:cs="Arial"/>
                <w:sz w:val="20"/>
                <w:szCs w:val="20"/>
              </w:rPr>
            </w:pPr>
          </w:p>
        </w:tc>
        <w:tc>
          <w:tcPr>
            <w:tcW w:w="1173" w:type="dxa"/>
            <w:tcBorders>
              <w:left w:val="nil"/>
              <w:right w:val="nil"/>
            </w:tcBorders>
          </w:tcPr>
          <w:p w14:paraId="50F6FB68" w14:textId="77777777" w:rsidR="00A3021A" w:rsidRPr="00701439" w:rsidRDefault="00A3021A">
            <w:pPr>
              <w:jc w:val="right"/>
              <w:rPr>
                <w:rFonts w:asciiTheme="minorHAnsi" w:hAnsiTheme="minorHAnsi" w:cs="Arial"/>
                <w:sz w:val="20"/>
                <w:szCs w:val="20"/>
              </w:rPr>
            </w:pPr>
          </w:p>
        </w:tc>
      </w:tr>
      <w:tr w:rsidR="00A3021A" w:rsidRPr="00701439" w14:paraId="2ACE343B" w14:textId="77777777">
        <w:tc>
          <w:tcPr>
            <w:tcW w:w="5069" w:type="dxa"/>
            <w:vAlign w:val="bottom"/>
          </w:tcPr>
          <w:p w14:paraId="5B104CBA" w14:textId="77777777" w:rsidR="00A3021A" w:rsidRPr="00701439" w:rsidRDefault="00A3021A">
            <w:pPr>
              <w:rPr>
                <w:rFonts w:asciiTheme="minorHAnsi" w:hAnsiTheme="minorHAnsi" w:cs="Arial"/>
                <w:b/>
                <w:sz w:val="20"/>
                <w:szCs w:val="20"/>
              </w:rPr>
            </w:pPr>
            <w:r w:rsidRPr="00701439">
              <w:rPr>
                <w:rFonts w:asciiTheme="minorHAnsi" w:hAnsiTheme="minorHAnsi" w:cs="Arial"/>
                <w:sz w:val="20"/>
                <w:szCs w:val="20"/>
              </w:rPr>
              <w:t>Credit cards</w:t>
            </w:r>
          </w:p>
        </w:tc>
        <w:tc>
          <w:tcPr>
            <w:tcW w:w="1275" w:type="dxa"/>
            <w:tcBorders>
              <w:left w:val="nil"/>
              <w:right w:val="nil"/>
            </w:tcBorders>
            <w:vAlign w:val="bottom"/>
          </w:tcPr>
          <w:p w14:paraId="1B5C57CF" w14:textId="77777777" w:rsidR="00A3021A" w:rsidRPr="00701439" w:rsidRDefault="00A3021A">
            <w:pPr>
              <w:jc w:val="right"/>
              <w:rPr>
                <w:rFonts w:asciiTheme="minorHAnsi" w:hAnsiTheme="minorHAnsi" w:cs="Arial"/>
                <w:sz w:val="20"/>
                <w:szCs w:val="20"/>
              </w:rPr>
            </w:pPr>
            <w:r w:rsidRPr="00701439">
              <w:rPr>
                <w:rFonts w:ascii="Calibri (Body)" w:hAnsi="Calibri (Body)" w:cs="Calibri"/>
                <w:color w:val="000000"/>
                <w:sz w:val="20"/>
                <w:szCs w:val="20"/>
              </w:rPr>
              <w:t>784.1</w:t>
            </w:r>
          </w:p>
        </w:tc>
        <w:tc>
          <w:tcPr>
            <w:tcW w:w="1274" w:type="dxa"/>
            <w:tcBorders>
              <w:left w:val="nil"/>
              <w:right w:val="nil"/>
            </w:tcBorders>
            <w:vAlign w:val="bottom"/>
          </w:tcPr>
          <w:p w14:paraId="40A16AAE" w14:textId="77777777" w:rsidR="00A3021A" w:rsidRPr="00701439" w:rsidRDefault="00A3021A">
            <w:pPr>
              <w:jc w:val="right"/>
              <w:rPr>
                <w:rFonts w:asciiTheme="minorHAnsi" w:hAnsiTheme="minorHAnsi" w:cs="Arial"/>
                <w:sz w:val="20"/>
                <w:szCs w:val="20"/>
              </w:rPr>
            </w:pPr>
            <w:r w:rsidRPr="00701439">
              <w:rPr>
                <w:rFonts w:ascii="Calibri (Body)" w:hAnsi="Calibri (Body)" w:cs="Calibri"/>
                <w:color w:val="000000"/>
                <w:sz w:val="20"/>
                <w:szCs w:val="20"/>
              </w:rPr>
              <w:t>238.8</w:t>
            </w:r>
          </w:p>
        </w:tc>
        <w:tc>
          <w:tcPr>
            <w:tcW w:w="1132" w:type="dxa"/>
            <w:tcBorders>
              <w:left w:val="nil"/>
              <w:right w:val="nil"/>
            </w:tcBorders>
            <w:vAlign w:val="bottom"/>
          </w:tcPr>
          <w:p w14:paraId="0B865DD2" w14:textId="77777777" w:rsidR="00A3021A" w:rsidRPr="00701439" w:rsidRDefault="00A3021A">
            <w:pPr>
              <w:jc w:val="right"/>
              <w:rPr>
                <w:rFonts w:asciiTheme="minorHAnsi" w:hAnsiTheme="minorHAnsi" w:cs="Arial"/>
                <w:sz w:val="20"/>
                <w:szCs w:val="20"/>
              </w:rPr>
            </w:pPr>
            <w:r w:rsidRPr="00701439">
              <w:rPr>
                <w:rFonts w:ascii="Calibri (Body)" w:hAnsi="Calibri (Body)" w:cs="Calibri"/>
                <w:color w:val="000000"/>
                <w:sz w:val="20"/>
                <w:szCs w:val="20"/>
              </w:rPr>
              <w:t>40.5</w:t>
            </w:r>
          </w:p>
        </w:tc>
        <w:tc>
          <w:tcPr>
            <w:tcW w:w="1173" w:type="dxa"/>
            <w:tcBorders>
              <w:left w:val="nil"/>
              <w:right w:val="nil"/>
            </w:tcBorders>
            <w:vAlign w:val="bottom"/>
          </w:tcPr>
          <w:p w14:paraId="3CC9F524" w14:textId="77777777" w:rsidR="00A3021A" w:rsidRPr="00701439" w:rsidRDefault="00A3021A">
            <w:pPr>
              <w:jc w:val="right"/>
              <w:rPr>
                <w:rFonts w:asciiTheme="minorHAnsi" w:hAnsiTheme="minorHAnsi" w:cs="Arial"/>
                <w:sz w:val="20"/>
                <w:szCs w:val="20"/>
              </w:rPr>
            </w:pPr>
            <w:r w:rsidRPr="00701439">
              <w:rPr>
                <w:rFonts w:ascii="Calibri (Body)" w:hAnsi="Calibri (Body)" w:cs="Calibri"/>
                <w:color w:val="000000"/>
                <w:sz w:val="20"/>
                <w:szCs w:val="20"/>
              </w:rPr>
              <w:t>1,063.4</w:t>
            </w:r>
          </w:p>
        </w:tc>
      </w:tr>
      <w:tr w:rsidR="00A3021A" w:rsidRPr="00701439" w14:paraId="665AFE0B" w14:textId="77777777">
        <w:tc>
          <w:tcPr>
            <w:tcW w:w="5069" w:type="dxa"/>
            <w:vAlign w:val="bottom"/>
          </w:tcPr>
          <w:p w14:paraId="43B68038" w14:textId="77777777" w:rsidR="00A3021A" w:rsidRPr="00701439" w:rsidRDefault="00A3021A">
            <w:pPr>
              <w:rPr>
                <w:rFonts w:asciiTheme="minorHAnsi" w:hAnsiTheme="minorHAnsi" w:cs="Arial"/>
                <w:b/>
                <w:sz w:val="20"/>
                <w:szCs w:val="20"/>
              </w:rPr>
            </w:pPr>
            <w:r w:rsidRPr="00701439">
              <w:rPr>
                <w:rFonts w:asciiTheme="minorHAnsi" w:hAnsiTheme="minorHAnsi" w:cs="Arial"/>
                <w:sz w:val="20"/>
                <w:szCs w:val="20"/>
              </w:rPr>
              <w:t>Vehicle finance</w:t>
            </w:r>
          </w:p>
        </w:tc>
        <w:tc>
          <w:tcPr>
            <w:tcW w:w="1275" w:type="dxa"/>
            <w:tcBorders>
              <w:left w:val="nil"/>
              <w:right w:val="nil"/>
            </w:tcBorders>
            <w:vAlign w:val="bottom"/>
          </w:tcPr>
          <w:p w14:paraId="4B61B471"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335.9</w:t>
            </w:r>
          </w:p>
        </w:tc>
        <w:tc>
          <w:tcPr>
            <w:tcW w:w="1274" w:type="dxa"/>
            <w:tcBorders>
              <w:left w:val="nil"/>
              <w:right w:val="nil"/>
            </w:tcBorders>
            <w:vAlign w:val="bottom"/>
          </w:tcPr>
          <w:p w14:paraId="7E54338E"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97.1</w:t>
            </w:r>
          </w:p>
        </w:tc>
        <w:tc>
          <w:tcPr>
            <w:tcW w:w="1132" w:type="dxa"/>
            <w:tcBorders>
              <w:left w:val="nil"/>
              <w:right w:val="nil"/>
            </w:tcBorders>
          </w:tcPr>
          <w:p w14:paraId="7F4ACCFD"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153.2</w:t>
            </w:r>
          </w:p>
        </w:tc>
        <w:tc>
          <w:tcPr>
            <w:tcW w:w="1173" w:type="dxa"/>
            <w:tcBorders>
              <w:left w:val="nil"/>
              <w:right w:val="nil"/>
            </w:tcBorders>
          </w:tcPr>
          <w:p w14:paraId="73A6F03B"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586.2</w:t>
            </w:r>
          </w:p>
        </w:tc>
      </w:tr>
      <w:tr w:rsidR="00A3021A" w:rsidRPr="00701439" w14:paraId="3AA0664D" w14:textId="77777777">
        <w:tc>
          <w:tcPr>
            <w:tcW w:w="5069" w:type="dxa"/>
            <w:vAlign w:val="bottom"/>
          </w:tcPr>
          <w:p w14:paraId="4BD0DA84"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Personal loans</w:t>
            </w:r>
          </w:p>
        </w:tc>
        <w:tc>
          <w:tcPr>
            <w:tcW w:w="1275" w:type="dxa"/>
            <w:tcBorders>
              <w:left w:val="nil"/>
              <w:right w:val="nil"/>
            </w:tcBorders>
            <w:vAlign w:val="bottom"/>
          </w:tcPr>
          <w:p w14:paraId="265BD0B9" w14:textId="77777777" w:rsidR="00A3021A" w:rsidRPr="00701439" w:rsidRDefault="00A3021A">
            <w:pPr>
              <w:jc w:val="right"/>
              <w:rPr>
                <w:rFonts w:asciiTheme="minorHAnsi" w:hAnsiTheme="minorHAnsi" w:cs="Arial"/>
                <w:sz w:val="20"/>
                <w:szCs w:val="20"/>
              </w:rPr>
            </w:pPr>
            <w:r w:rsidRPr="00701439">
              <w:rPr>
                <w:rFonts w:ascii="Calibri (Body)" w:hAnsi="Calibri (Body)" w:cs="Calibri"/>
                <w:color w:val="000000"/>
                <w:sz w:val="20"/>
                <w:szCs w:val="20"/>
              </w:rPr>
              <w:t>26.4</w:t>
            </w:r>
          </w:p>
        </w:tc>
        <w:tc>
          <w:tcPr>
            <w:tcW w:w="1274" w:type="dxa"/>
            <w:tcBorders>
              <w:left w:val="nil"/>
              <w:right w:val="nil"/>
            </w:tcBorders>
            <w:vAlign w:val="bottom"/>
          </w:tcPr>
          <w:p w14:paraId="2B6309B9" w14:textId="77777777" w:rsidR="00A3021A" w:rsidRPr="00701439" w:rsidRDefault="00A3021A">
            <w:pPr>
              <w:jc w:val="right"/>
              <w:rPr>
                <w:rFonts w:asciiTheme="minorHAnsi" w:hAnsiTheme="minorHAnsi" w:cs="Arial"/>
                <w:sz w:val="20"/>
                <w:szCs w:val="20"/>
              </w:rPr>
            </w:pPr>
            <w:r w:rsidRPr="00701439">
              <w:rPr>
                <w:rFonts w:ascii="Calibri (Body)" w:hAnsi="Calibri (Body)" w:cs="Calibri"/>
                <w:color w:val="000000"/>
                <w:sz w:val="20"/>
                <w:szCs w:val="20"/>
              </w:rPr>
              <w:t>1.0</w:t>
            </w:r>
          </w:p>
        </w:tc>
        <w:tc>
          <w:tcPr>
            <w:tcW w:w="1132" w:type="dxa"/>
            <w:tcBorders>
              <w:left w:val="nil"/>
              <w:right w:val="nil"/>
            </w:tcBorders>
            <w:vAlign w:val="bottom"/>
          </w:tcPr>
          <w:p w14:paraId="1178C0BF" w14:textId="77777777" w:rsidR="00A3021A" w:rsidRPr="00701439" w:rsidRDefault="00A3021A">
            <w:pPr>
              <w:jc w:val="right"/>
              <w:rPr>
                <w:rFonts w:asciiTheme="minorHAnsi" w:hAnsiTheme="minorHAnsi" w:cs="Arial"/>
                <w:sz w:val="20"/>
                <w:szCs w:val="20"/>
              </w:rPr>
            </w:pPr>
            <w:r w:rsidRPr="00701439">
              <w:rPr>
                <w:rFonts w:ascii="Calibri (Body)" w:hAnsi="Calibri (Body)" w:cs="Calibri"/>
                <w:color w:val="000000"/>
                <w:sz w:val="20"/>
                <w:szCs w:val="20"/>
              </w:rPr>
              <w:t>0.7</w:t>
            </w:r>
          </w:p>
        </w:tc>
        <w:tc>
          <w:tcPr>
            <w:tcW w:w="1173" w:type="dxa"/>
            <w:tcBorders>
              <w:left w:val="nil"/>
              <w:right w:val="nil"/>
            </w:tcBorders>
            <w:vAlign w:val="bottom"/>
          </w:tcPr>
          <w:p w14:paraId="60871E40" w14:textId="77777777" w:rsidR="00A3021A" w:rsidRPr="00701439" w:rsidRDefault="00A3021A">
            <w:pPr>
              <w:jc w:val="right"/>
              <w:rPr>
                <w:rFonts w:asciiTheme="minorHAnsi" w:hAnsiTheme="minorHAnsi" w:cs="Arial"/>
                <w:sz w:val="20"/>
                <w:szCs w:val="20"/>
              </w:rPr>
            </w:pPr>
            <w:r w:rsidRPr="00701439">
              <w:rPr>
                <w:rFonts w:ascii="Calibri (Body)" w:hAnsi="Calibri (Body)" w:cs="Calibri"/>
                <w:color w:val="000000"/>
                <w:sz w:val="20"/>
                <w:szCs w:val="20"/>
              </w:rPr>
              <w:t>28.1</w:t>
            </w:r>
          </w:p>
        </w:tc>
      </w:tr>
      <w:tr w:rsidR="00A3021A" w:rsidRPr="00701439" w14:paraId="58A598D8" w14:textId="77777777">
        <w:tc>
          <w:tcPr>
            <w:tcW w:w="5069" w:type="dxa"/>
            <w:vAlign w:val="bottom"/>
          </w:tcPr>
          <w:p w14:paraId="368164C6" w14:textId="77777777" w:rsidR="00A3021A" w:rsidRPr="00701439" w:rsidRDefault="00A3021A">
            <w:pPr>
              <w:rPr>
                <w:rFonts w:asciiTheme="minorHAnsi" w:hAnsiTheme="minorHAnsi" w:cs="Arial"/>
                <w:b/>
                <w:sz w:val="20"/>
                <w:szCs w:val="20"/>
              </w:rPr>
            </w:pPr>
            <w:r w:rsidRPr="00701439">
              <w:rPr>
                <w:rFonts w:asciiTheme="minorHAnsi" w:hAnsiTheme="minorHAnsi" w:cs="Arial"/>
                <w:b/>
                <w:sz w:val="20"/>
                <w:szCs w:val="20"/>
              </w:rPr>
              <w:t>Total group</w:t>
            </w:r>
          </w:p>
        </w:tc>
        <w:tc>
          <w:tcPr>
            <w:tcW w:w="1275" w:type="dxa"/>
            <w:tcBorders>
              <w:top w:val="single" w:sz="4" w:space="0" w:color="auto"/>
              <w:left w:val="nil"/>
              <w:bottom w:val="single" w:sz="12" w:space="0" w:color="auto"/>
              <w:right w:val="nil"/>
            </w:tcBorders>
            <w:vAlign w:val="bottom"/>
          </w:tcPr>
          <w:p w14:paraId="1D03E0BD"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1,146.4</w:t>
            </w:r>
          </w:p>
        </w:tc>
        <w:tc>
          <w:tcPr>
            <w:tcW w:w="1274" w:type="dxa"/>
            <w:tcBorders>
              <w:top w:val="single" w:sz="4" w:space="0" w:color="auto"/>
              <w:left w:val="nil"/>
              <w:bottom w:val="single" w:sz="12" w:space="0" w:color="auto"/>
              <w:right w:val="nil"/>
            </w:tcBorders>
            <w:vAlign w:val="bottom"/>
          </w:tcPr>
          <w:p w14:paraId="38D18036"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336.9</w:t>
            </w:r>
          </w:p>
        </w:tc>
        <w:tc>
          <w:tcPr>
            <w:tcW w:w="1132" w:type="dxa"/>
            <w:tcBorders>
              <w:top w:val="single" w:sz="4" w:space="0" w:color="auto"/>
              <w:left w:val="nil"/>
              <w:bottom w:val="single" w:sz="12" w:space="0" w:color="auto"/>
              <w:right w:val="nil"/>
            </w:tcBorders>
          </w:tcPr>
          <w:p w14:paraId="58307161"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194.4</w:t>
            </w:r>
          </w:p>
        </w:tc>
        <w:tc>
          <w:tcPr>
            <w:tcW w:w="1173" w:type="dxa"/>
            <w:tcBorders>
              <w:top w:val="single" w:sz="4" w:space="0" w:color="auto"/>
              <w:left w:val="nil"/>
              <w:bottom w:val="single" w:sz="12" w:space="0" w:color="auto"/>
              <w:right w:val="nil"/>
            </w:tcBorders>
          </w:tcPr>
          <w:p w14:paraId="557A874E"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1,677.7</w:t>
            </w:r>
          </w:p>
        </w:tc>
      </w:tr>
    </w:tbl>
    <w:p w14:paraId="7CA82CA5" w14:textId="77777777" w:rsidR="00F44304" w:rsidRDefault="00F44304" w:rsidP="000C1ADB">
      <w:pPr>
        <w:ind w:left="567" w:hanging="567"/>
        <w:rPr>
          <w:rFonts w:asciiTheme="minorHAnsi" w:hAnsiTheme="minorHAnsi" w:cs="Arial"/>
          <w:b/>
          <w:color w:val="4747FF"/>
          <w:sz w:val="22"/>
          <w:szCs w:val="22"/>
        </w:rPr>
      </w:pPr>
    </w:p>
    <w:p w14:paraId="1FBACA17" w14:textId="242A0FAD" w:rsidR="000C1ADB" w:rsidRPr="00701439" w:rsidRDefault="000C1ADB" w:rsidP="000C1ADB">
      <w:pPr>
        <w:ind w:left="567" w:hanging="567"/>
        <w:rPr>
          <w:rFonts w:asciiTheme="minorHAnsi" w:hAnsiTheme="minorHAnsi" w:cs="Arial"/>
          <w:b/>
          <w:color w:val="4747FF"/>
          <w:sz w:val="22"/>
          <w:szCs w:val="22"/>
        </w:rPr>
      </w:pPr>
      <w:r w:rsidRPr="00701439">
        <w:rPr>
          <w:rFonts w:asciiTheme="minorHAnsi" w:hAnsiTheme="minorHAnsi" w:cs="Arial"/>
          <w:b/>
          <w:color w:val="4747FF"/>
          <w:sz w:val="22"/>
          <w:szCs w:val="22"/>
        </w:rPr>
        <w:lastRenderedPageBreak/>
        <w:t>8.</w:t>
      </w:r>
      <w:r w:rsidRPr="00701439">
        <w:rPr>
          <w:rFonts w:asciiTheme="minorHAnsi" w:hAnsiTheme="minorHAnsi" w:cs="Arial"/>
          <w:b/>
          <w:color w:val="4747FF"/>
          <w:sz w:val="22"/>
          <w:szCs w:val="22"/>
        </w:rPr>
        <w:tab/>
        <w:t>Amounts receivable from customers (continued)</w:t>
      </w:r>
    </w:p>
    <w:p w14:paraId="4236B0F1" w14:textId="77777777" w:rsidR="006B7F6A" w:rsidRPr="00701439" w:rsidRDefault="006B7F6A" w:rsidP="00A3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bCs/>
          <w:sz w:val="20"/>
          <w:szCs w:val="20"/>
        </w:rPr>
      </w:pPr>
    </w:p>
    <w:p w14:paraId="11D95259" w14:textId="28127F1F" w:rsidR="006B7F6A" w:rsidRPr="00701439" w:rsidRDefault="00702D95" w:rsidP="00A3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bCs/>
          <w:sz w:val="20"/>
          <w:szCs w:val="20"/>
        </w:rPr>
      </w:pPr>
      <w:r w:rsidRPr="00701439">
        <w:rPr>
          <w:rFonts w:asciiTheme="minorHAnsi" w:hAnsiTheme="minorHAnsi" w:cs="Arial"/>
          <w:bCs/>
          <w:sz w:val="20"/>
          <w:szCs w:val="20"/>
        </w:rPr>
        <w:t>The movement in directly attributable acquisition costs included within amounts receivable from customers can be analysed as follows:</w:t>
      </w:r>
    </w:p>
    <w:tbl>
      <w:tblPr>
        <w:tblpPr w:leftFromText="180" w:rightFromText="180" w:vertAnchor="page" w:horzAnchor="margin" w:tblpY="2472"/>
        <w:tblW w:w="10243" w:type="dxa"/>
        <w:tblLayout w:type="fixed"/>
        <w:tblLook w:val="0000" w:firstRow="0" w:lastRow="0" w:firstColumn="0" w:lastColumn="0" w:noHBand="0" w:noVBand="0"/>
      </w:tblPr>
      <w:tblGrid>
        <w:gridCol w:w="1798"/>
        <w:gridCol w:w="899"/>
        <w:gridCol w:w="1031"/>
        <w:gridCol w:w="939"/>
        <w:gridCol w:w="570"/>
        <w:gridCol w:w="719"/>
        <w:gridCol w:w="950"/>
        <w:gridCol w:w="823"/>
        <w:gridCol w:w="923"/>
        <w:gridCol w:w="667"/>
        <w:gridCol w:w="924"/>
      </w:tblGrid>
      <w:tr w:rsidR="008E44D3" w:rsidRPr="00701439" w14:paraId="75D511A1" w14:textId="77777777" w:rsidTr="008E44D3">
        <w:trPr>
          <w:trHeight w:val="221"/>
        </w:trPr>
        <w:tc>
          <w:tcPr>
            <w:tcW w:w="1798" w:type="dxa"/>
            <w:vAlign w:val="bottom"/>
          </w:tcPr>
          <w:p w14:paraId="6D229931" w14:textId="77777777" w:rsidR="008E44D3" w:rsidRPr="00701439" w:rsidRDefault="008E44D3" w:rsidP="008E44D3">
            <w:pPr>
              <w:rPr>
                <w:rFonts w:asciiTheme="minorHAnsi" w:hAnsiTheme="minorHAnsi" w:cs="Arial"/>
                <w:bCs/>
                <w:sz w:val="20"/>
                <w:szCs w:val="20"/>
              </w:rPr>
            </w:pPr>
          </w:p>
        </w:tc>
        <w:tc>
          <w:tcPr>
            <w:tcW w:w="899" w:type="dxa"/>
            <w:tcBorders>
              <w:top w:val="nil"/>
              <w:left w:val="nil"/>
              <w:right w:val="nil"/>
            </w:tcBorders>
            <w:vAlign w:val="bottom"/>
          </w:tcPr>
          <w:p w14:paraId="635BD4F3" w14:textId="77777777" w:rsidR="008E44D3" w:rsidRPr="00701439" w:rsidRDefault="008E44D3" w:rsidP="008E44D3">
            <w:pPr>
              <w:jc w:val="right"/>
              <w:rPr>
                <w:rFonts w:asciiTheme="minorHAnsi" w:hAnsiTheme="minorHAnsi" w:cs="Arial"/>
                <w:sz w:val="20"/>
                <w:szCs w:val="20"/>
              </w:rPr>
            </w:pPr>
          </w:p>
        </w:tc>
        <w:tc>
          <w:tcPr>
            <w:tcW w:w="1031" w:type="dxa"/>
            <w:tcBorders>
              <w:top w:val="nil"/>
              <w:left w:val="nil"/>
              <w:right w:val="nil"/>
            </w:tcBorders>
            <w:vAlign w:val="bottom"/>
          </w:tcPr>
          <w:p w14:paraId="55055AB3" w14:textId="77777777" w:rsidR="008E44D3" w:rsidRPr="00701439" w:rsidRDefault="008E44D3" w:rsidP="008E44D3">
            <w:pPr>
              <w:jc w:val="right"/>
              <w:rPr>
                <w:rFonts w:asciiTheme="minorHAnsi" w:hAnsiTheme="minorHAnsi" w:cs="Arial"/>
                <w:sz w:val="20"/>
                <w:szCs w:val="20"/>
              </w:rPr>
            </w:pPr>
            <w:r w:rsidRPr="00701439">
              <w:rPr>
                <w:rFonts w:asciiTheme="minorHAnsi" w:hAnsiTheme="minorHAnsi" w:cs="Arial"/>
                <w:sz w:val="20"/>
                <w:szCs w:val="20"/>
              </w:rPr>
              <w:t xml:space="preserve">    </w:t>
            </w:r>
          </w:p>
        </w:tc>
        <w:tc>
          <w:tcPr>
            <w:tcW w:w="939" w:type="dxa"/>
            <w:tcBorders>
              <w:top w:val="nil"/>
              <w:left w:val="nil"/>
              <w:right w:val="nil"/>
            </w:tcBorders>
          </w:tcPr>
          <w:p w14:paraId="4975587F" w14:textId="77777777" w:rsidR="008E44D3" w:rsidRPr="00701439" w:rsidRDefault="008E44D3" w:rsidP="008E44D3">
            <w:pPr>
              <w:jc w:val="center"/>
              <w:rPr>
                <w:rFonts w:asciiTheme="minorHAnsi" w:hAnsiTheme="minorHAnsi" w:cs="Arial"/>
                <w:sz w:val="20"/>
                <w:szCs w:val="20"/>
              </w:rPr>
            </w:pPr>
            <w:r w:rsidRPr="00701439">
              <w:rPr>
                <w:rFonts w:asciiTheme="minorHAnsi" w:hAnsiTheme="minorHAnsi" w:cs="Arial"/>
                <w:sz w:val="20"/>
                <w:szCs w:val="20"/>
              </w:rPr>
              <w:t>2022</w:t>
            </w:r>
          </w:p>
        </w:tc>
        <w:tc>
          <w:tcPr>
            <w:tcW w:w="570" w:type="dxa"/>
            <w:tcBorders>
              <w:top w:val="nil"/>
              <w:left w:val="nil"/>
              <w:right w:val="nil"/>
            </w:tcBorders>
          </w:tcPr>
          <w:p w14:paraId="35D0E750" w14:textId="77777777" w:rsidR="008E44D3" w:rsidRPr="00701439" w:rsidRDefault="008E44D3" w:rsidP="008E44D3">
            <w:pPr>
              <w:jc w:val="center"/>
              <w:rPr>
                <w:rFonts w:asciiTheme="minorHAnsi" w:hAnsiTheme="minorHAnsi" w:cs="Arial"/>
                <w:sz w:val="20"/>
                <w:szCs w:val="20"/>
              </w:rPr>
            </w:pPr>
          </w:p>
        </w:tc>
        <w:tc>
          <w:tcPr>
            <w:tcW w:w="719" w:type="dxa"/>
            <w:tcBorders>
              <w:top w:val="nil"/>
              <w:left w:val="nil"/>
              <w:right w:val="nil"/>
            </w:tcBorders>
          </w:tcPr>
          <w:p w14:paraId="2A46C679" w14:textId="77777777" w:rsidR="008E44D3" w:rsidRPr="00701439" w:rsidRDefault="008E44D3" w:rsidP="008E44D3">
            <w:pPr>
              <w:jc w:val="right"/>
              <w:rPr>
                <w:rFonts w:asciiTheme="minorHAnsi" w:hAnsiTheme="minorHAnsi" w:cs="Arial"/>
                <w:sz w:val="20"/>
                <w:szCs w:val="20"/>
              </w:rPr>
            </w:pPr>
          </w:p>
        </w:tc>
        <w:tc>
          <w:tcPr>
            <w:tcW w:w="950" w:type="dxa"/>
            <w:tcBorders>
              <w:top w:val="nil"/>
              <w:left w:val="nil"/>
              <w:right w:val="nil"/>
            </w:tcBorders>
          </w:tcPr>
          <w:p w14:paraId="7838E4B3" w14:textId="77777777" w:rsidR="008E44D3" w:rsidRPr="00701439" w:rsidRDefault="008E44D3" w:rsidP="008E44D3">
            <w:pPr>
              <w:jc w:val="right"/>
              <w:rPr>
                <w:rFonts w:asciiTheme="minorHAnsi" w:hAnsiTheme="minorHAnsi" w:cs="Arial"/>
                <w:sz w:val="20"/>
                <w:szCs w:val="20"/>
              </w:rPr>
            </w:pPr>
          </w:p>
        </w:tc>
        <w:tc>
          <w:tcPr>
            <w:tcW w:w="823" w:type="dxa"/>
            <w:tcBorders>
              <w:top w:val="nil"/>
              <w:left w:val="nil"/>
              <w:right w:val="nil"/>
            </w:tcBorders>
          </w:tcPr>
          <w:p w14:paraId="39AA9193" w14:textId="77777777" w:rsidR="008E44D3" w:rsidRPr="00701439" w:rsidRDefault="008E44D3" w:rsidP="008E44D3">
            <w:pPr>
              <w:jc w:val="right"/>
              <w:rPr>
                <w:rFonts w:asciiTheme="minorHAnsi" w:hAnsiTheme="minorHAnsi" w:cs="Arial"/>
                <w:sz w:val="20"/>
                <w:szCs w:val="20"/>
              </w:rPr>
            </w:pPr>
          </w:p>
        </w:tc>
        <w:tc>
          <w:tcPr>
            <w:tcW w:w="923" w:type="dxa"/>
            <w:tcBorders>
              <w:top w:val="nil"/>
              <w:left w:val="nil"/>
              <w:right w:val="nil"/>
            </w:tcBorders>
          </w:tcPr>
          <w:p w14:paraId="5F9F99A1" w14:textId="77777777" w:rsidR="008E44D3" w:rsidRPr="00701439" w:rsidRDefault="008E44D3" w:rsidP="008E44D3">
            <w:pPr>
              <w:jc w:val="right"/>
              <w:rPr>
                <w:rFonts w:asciiTheme="minorHAnsi" w:hAnsiTheme="minorHAnsi" w:cs="Arial"/>
                <w:sz w:val="20"/>
                <w:szCs w:val="20"/>
              </w:rPr>
            </w:pPr>
            <w:r w:rsidRPr="00701439">
              <w:rPr>
                <w:rFonts w:asciiTheme="minorHAnsi" w:hAnsiTheme="minorHAnsi" w:cs="Arial"/>
                <w:sz w:val="20"/>
                <w:szCs w:val="20"/>
              </w:rPr>
              <w:t>2021</w:t>
            </w:r>
          </w:p>
        </w:tc>
        <w:tc>
          <w:tcPr>
            <w:tcW w:w="667" w:type="dxa"/>
            <w:tcBorders>
              <w:top w:val="nil"/>
              <w:left w:val="nil"/>
              <w:right w:val="nil"/>
            </w:tcBorders>
          </w:tcPr>
          <w:p w14:paraId="08D59E8B" w14:textId="77777777" w:rsidR="008E44D3" w:rsidRPr="00701439" w:rsidRDefault="008E44D3" w:rsidP="008E44D3">
            <w:pPr>
              <w:jc w:val="right"/>
              <w:rPr>
                <w:rFonts w:asciiTheme="minorHAnsi" w:hAnsiTheme="minorHAnsi" w:cs="Arial"/>
                <w:sz w:val="20"/>
                <w:szCs w:val="20"/>
              </w:rPr>
            </w:pPr>
          </w:p>
        </w:tc>
        <w:tc>
          <w:tcPr>
            <w:tcW w:w="924" w:type="dxa"/>
            <w:tcBorders>
              <w:top w:val="nil"/>
              <w:left w:val="nil"/>
              <w:right w:val="nil"/>
            </w:tcBorders>
          </w:tcPr>
          <w:p w14:paraId="062FE0F0" w14:textId="77777777" w:rsidR="008E44D3" w:rsidRPr="00701439" w:rsidRDefault="008E44D3" w:rsidP="008E44D3">
            <w:pPr>
              <w:jc w:val="right"/>
              <w:rPr>
                <w:rFonts w:asciiTheme="minorHAnsi" w:hAnsiTheme="minorHAnsi" w:cs="Arial"/>
                <w:sz w:val="20"/>
                <w:szCs w:val="20"/>
              </w:rPr>
            </w:pPr>
          </w:p>
        </w:tc>
      </w:tr>
      <w:tr w:rsidR="008E44D3" w:rsidRPr="00701439" w14:paraId="06438DB0" w14:textId="77777777" w:rsidTr="008E44D3">
        <w:trPr>
          <w:trHeight w:val="221"/>
        </w:trPr>
        <w:tc>
          <w:tcPr>
            <w:tcW w:w="1798" w:type="dxa"/>
            <w:vAlign w:val="bottom"/>
          </w:tcPr>
          <w:p w14:paraId="0A124168" w14:textId="77777777" w:rsidR="008E44D3" w:rsidRPr="00701439" w:rsidRDefault="008E44D3" w:rsidP="008E44D3">
            <w:pPr>
              <w:rPr>
                <w:rFonts w:asciiTheme="minorHAnsi" w:hAnsiTheme="minorHAnsi" w:cs="Arial"/>
                <w:bCs/>
                <w:sz w:val="20"/>
                <w:szCs w:val="20"/>
              </w:rPr>
            </w:pPr>
          </w:p>
        </w:tc>
        <w:tc>
          <w:tcPr>
            <w:tcW w:w="899" w:type="dxa"/>
            <w:tcBorders>
              <w:left w:val="nil"/>
              <w:right w:val="nil"/>
            </w:tcBorders>
            <w:vAlign w:val="bottom"/>
          </w:tcPr>
          <w:p w14:paraId="7963E641" w14:textId="77777777" w:rsidR="008E44D3" w:rsidRPr="00701439" w:rsidRDefault="008E44D3" w:rsidP="008E44D3">
            <w:pPr>
              <w:jc w:val="right"/>
              <w:rPr>
                <w:rFonts w:asciiTheme="minorHAnsi" w:hAnsiTheme="minorHAnsi" w:cs="Arial"/>
                <w:sz w:val="20"/>
                <w:szCs w:val="20"/>
              </w:rPr>
            </w:pPr>
            <w:r w:rsidRPr="00701439">
              <w:rPr>
                <w:rFonts w:asciiTheme="minorHAnsi" w:hAnsiTheme="minorHAnsi" w:cs="Arial"/>
                <w:sz w:val="20"/>
                <w:szCs w:val="20"/>
              </w:rPr>
              <w:t>Credit cards</w:t>
            </w:r>
          </w:p>
        </w:tc>
        <w:tc>
          <w:tcPr>
            <w:tcW w:w="1031" w:type="dxa"/>
            <w:tcBorders>
              <w:left w:val="nil"/>
              <w:right w:val="nil"/>
            </w:tcBorders>
            <w:vAlign w:val="bottom"/>
          </w:tcPr>
          <w:p w14:paraId="088543A7" w14:textId="77777777" w:rsidR="008E44D3" w:rsidRPr="00701439" w:rsidRDefault="008E44D3" w:rsidP="008E44D3">
            <w:pPr>
              <w:jc w:val="right"/>
              <w:rPr>
                <w:rFonts w:asciiTheme="minorHAnsi" w:hAnsiTheme="minorHAnsi" w:cs="Arial"/>
                <w:sz w:val="20"/>
                <w:szCs w:val="20"/>
              </w:rPr>
            </w:pPr>
            <w:r w:rsidRPr="00701439">
              <w:rPr>
                <w:rFonts w:asciiTheme="minorHAnsi" w:hAnsiTheme="minorHAnsi" w:cs="Arial"/>
                <w:sz w:val="20"/>
                <w:szCs w:val="20"/>
              </w:rPr>
              <w:t>Vehicle finance</w:t>
            </w:r>
          </w:p>
        </w:tc>
        <w:tc>
          <w:tcPr>
            <w:tcW w:w="939" w:type="dxa"/>
            <w:tcBorders>
              <w:left w:val="nil"/>
              <w:right w:val="nil"/>
            </w:tcBorders>
          </w:tcPr>
          <w:p w14:paraId="7B8110D7" w14:textId="77777777" w:rsidR="008E44D3" w:rsidRPr="00701439" w:rsidRDefault="008E44D3" w:rsidP="008E44D3">
            <w:pPr>
              <w:jc w:val="right"/>
              <w:rPr>
                <w:rFonts w:asciiTheme="minorHAnsi" w:hAnsiTheme="minorHAnsi" w:cs="Arial"/>
                <w:sz w:val="20"/>
                <w:szCs w:val="20"/>
              </w:rPr>
            </w:pPr>
            <w:r w:rsidRPr="00701439">
              <w:rPr>
                <w:rFonts w:asciiTheme="minorHAnsi" w:hAnsiTheme="minorHAnsi" w:cs="Arial"/>
                <w:sz w:val="20"/>
                <w:szCs w:val="20"/>
              </w:rPr>
              <w:t>Personal loans</w:t>
            </w:r>
          </w:p>
        </w:tc>
        <w:tc>
          <w:tcPr>
            <w:tcW w:w="570" w:type="dxa"/>
            <w:tcBorders>
              <w:left w:val="nil"/>
              <w:right w:val="nil"/>
            </w:tcBorders>
          </w:tcPr>
          <w:p w14:paraId="21700AA2" w14:textId="77777777" w:rsidR="008E44D3" w:rsidRPr="00701439" w:rsidRDefault="008E44D3" w:rsidP="008E44D3">
            <w:pPr>
              <w:jc w:val="center"/>
              <w:rPr>
                <w:rFonts w:asciiTheme="minorHAnsi" w:hAnsiTheme="minorHAnsi" w:cs="Arial"/>
                <w:sz w:val="20"/>
                <w:szCs w:val="20"/>
              </w:rPr>
            </w:pPr>
            <w:r w:rsidRPr="00701439">
              <w:rPr>
                <w:rFonts w:asciiTheme="minorHAnsi" w:hAnsiTheme="minorHAnsi" w:cs="Arial"/>
                <w:sz w:val="20"/>
                <w:szCs w:val="20"/>
              </w:rPr>
              <w:t>CCD</w:t>
            </w:r>
          </w:p>
        </w:tc>
        <w:tc>
          <w:tcPr>
            <w:tcW w:w="719" w:type="dxa"/>
            <w:tcBorders>
              <w:left w:val="nil"/>
              <w:right w:val="nil"/>
            </w:tcBorders>
          </w:tcPr>
          <w:p w14:paraId="6254AC83" w14:textId="77777777" w:rsidR="008E44D3" w:rsidRPr="00701439" w:rsidRDefault="008E44D3" w:rsidP="008E44D3">
            <w:pPr>
              <w:jc w:val="right"/>
              <w:rPr>
                <w:rFonts w:asciiTheme="minorHAnsi" w:hAnsiTheme="minorHAnsi" w:cs="Arial"/>
                <w:sz w:val="20"/>
                <w:szCs w:val="20"/>
              </w:rPr>
            </w:pPr>
            <w:r w:rsidRPr="00701439">
              <w:rPr>
                <w:rFonts w:asciiTheme="minorHAnsi" w:hAnsiTheme="minorHAnsi" w:cs="Arial"/>
                <w:sz w:val="20"/>
                <w:szCs w:val="20"/>
              </w:rPr>
              <w:t>Total</w:t>
            </w:r>
          </w:p>
        </w:tc>
        <w:tc>
          <w:tcPr>
            <w:tcW w:w="950" w:type="dxa"/>
            <w:tcBorders>
              <w:left w:val="nil"/>
              <w:right w:val="nil"/>
            </w:tcBorders>
          </w:tcPr>
          <w:p w14:paraId="656AF840" w14:textId="77777777" w:rsidR="008E44D3" w:rsidRPr="00701439" w:rsidRDefault="008E44D3" w:rsidP="008E44D3">
            <w:pPr>
              <w:jc w:val="right"/>
              <w:rPr>
                <w:rFonts w:asciiTheme="minorHAnsi" w:hAnsiTheme="minorHAnsi" w:cs="Arial"/>
                <w:sz w:val="20"/>
                <w:szCs w:val="20"/>
              </w:rPr>
            </w:pPr>
            <w:r w:rsidRPr="00701439">
              <w:rPr>
                <w:rFonts w:asciiTheme="minorHAnsi" w:hAnsiTheme="minorHAnsi" w:cs="Arial"/>
                <w:sz w:val="20"/>
                <w:szCs w:val="20"/>
              </w:rPr>
              <w:t>Credit cards</w:t>
            </w:r>
          </w:p>
        </w:tc>
        <w:tc>
          <w:tcPr>
            <w:tcW w:w="823" w:type="dxa"/>
            <w:tcBorders>
              <w:left w:val="nil"/>
              <w:right w:val="nil"/>
            </w:tcBorders>
          </w:tcPr>
          <w:p w14:paraId="53C2A736" w14:textId="77777777" w:rsidR="008E44D3" w:rsidRPr="00701439" w:rsidRDefault="008E44D3" w:rsidP="008E44D3">
            <w:pPr>
              <w:jc w:val="right"/>
              <w:rPr>
                <w:rFonts w:asciiTheme="minorHAnsi" w:hAnsiTheme="minorHAnsi" w:cs="Arial"/>
                <w:sz w:val="20"/>
                <w:szCs w:val="20"/>
              </w:rPr>
            </w:pPr>
            <w:r w:rsidRPr="00701439">
              <w:rPr>
                <w:rFonts w:asciiTheme="minorHAnsi" w:hAnsiTheme="minorHAnsi" w:cs="Arial"/>
                <w:sz w:val="20"/>
                <w:szCs w:val="20"/>
              </w:rPr>
              <w:t>Vehicle finance</w:t>
            </w:r>
          </w:p>
        </w:tc>
        <w:tc>
          <w:tcPr>
            <w:tcW w:w="923" w:type="dxa"/>
            <w:tcBorders>
              <w:left w:val="nil"/>
              <w:right w:val="nil"/>
            </w:tcBorders>
          </w:tcPr>
          <w:p w14:paraId="6D959509" w14:textId="77777777" w:rsidR="008E44D3" w:rsidRPr="00701439" w:rsidRDefault="008E44D3" w:rsidP="008E44D3">
            <w:pPr>
              <w:jc w:val="right"/>
              <w:rPr>
                <w:rFonts w:asciiTheme="minorHAnsi" w:hAnsiTheme="minorHAnsi" w:cs="Arial"/>
                <w:sz w:val="20"/>
                <w:szCs w:val="20"/>
              </w:rPr>
            </w:pPr>
            <w:r w:rsidRPr="00701439">
              <w:rPr>
                <w:rFonts w:asciiTheme="minorHAnsi" w:hAnsiTheme="minorHAnsi" w:cs="Arial"/>
                <w:sz w:val="20"/>
                <w:szCs w:val="20"/>
              </w:rPr>
              <w:t>Personal loans</w:t>
            </w:r>
          </w:p>
        </w:tc>
        <w:tc>
          <w:tcPr>
            <w:tcW w:w="667" w:type="dxa"/>
            <w:tcBorders>
              <w:left w:val="nil"/>
              <w:right w:val="nil"/>
            </w:tcBorders>
          </w:tcPr>
          <w:p w14:paraId="1E8372FB" w14:textId="77777777" w:rsidR="008E44D3" w:rsidRPr="00701439" w:rsidRDefault="008E44D3" w:rsidP="008E44D3">
            <w:pPr>
              <w:jc w:val="right"/>
              <w:rPr>
                <w:rFonts w:asciiTheme="minorHAnsi" w:hAnsiTheme="minorHAnsi" w:cs="Arial"/>
                <w:sz w:val="20"/>
                <w:szCs w:val="20"/>
              </w:rPr>
            </w:pPr>
            <w:r w:rsidRPr="00701439">
              <w:rPr>
                <w:rFonts w:asciiTheme="minorHAnsi" w:hAnsiTheme="minorHAnsi" w:cs="Arial"/>
                <w:sz w:val="20"/>
                <w:szCs w:val="20"/>
              </w:rPr>
              <w:t>CCD</w:t>
            </w:r>
          </w:p>
        </w:tc>
        <w:tc>
          <w:tcPr>
            <w:tcW w:w="924" w:type="dxa"/>
            <w:tcBorders>
              <w:left w:val="nil"/>
              <w:right w:val="nil"/>
            </w:tcBorders>
          </w:tcPr>
          <w:p w14:paraId="33DED2A3" w14:textId="77777777" w:rsidR="008E44D3" w:rsidRPr="00701439" w:rsidRDefault="008E44D3" w:rsidP="008E44D3">
            <w:pPr>
              <w:jc w:val="right"/>
              <w:rPr>
                <w:rFonts w:asciiTheme="minorHAnsi" w:hAnsiTheme="minorHAnsi" w:cs="Arial"/>
                <w:sz w:val="20"/>
                <w:szCs w:val="20"/>
              </w:rPr>
            </w:pPr>
            <w:r w:rsidRPr="00701439">
              <w:rPr>
                <w:rFonts w:asciiTheme="minorHAnsi" w:hAnsiTheme="minorHAnsi" w:cs="Arial"/>
                <w:sz w:val="20"/>
                <w:szCs w:val="20"/>
              </w:rPr>
              <w:t>Total</w:t>
            </w:r>
          </w:p>
        </w:tc>
      </w:tr>
      <w:tr w:rsidR="008E44D3" w:rsidRPr="00701439" w14:paraId="06BBB7DB" w14:textId="77777777" w:rsidTr="008E44D3">
        <w:trPr>
          <w:trHeight w:val="221"/>
        </w:trPr>
        <w:tc>
          <w:tcPr>
            <w:tcW w:w="1798" w:type="dxa"/>
            <w:vAlign w:val="bottom"/>
          </w:tcPr>
          <w:p w14:paraId="689F3D93" w14:textId="77777777" w:rsidR="008E44D3" w:rsidRPr="00701439" w:rsidRDefault="008E44D3" w:rsidP="008E44D3">
            <w:pPr>
              <w:rPr>
                <w:rFonts w:asciiTheme="minorHAnsi" w:hAnsiTheme="minorHAnsi" w:cs="Arial"/>
                <w:bCs/>
                <w:sz w:val="20"/>
                <w:szCs w:val="20"/>
              </w:rPr>
            </w:pPr>
          </w:p>
        </w:tc>
        <w:tc>
          <w:tcPr>
            <w:tcW w:w="899" w:type="dxa"/>
            <w:tcBorders>
              <w:top w:val="nil"/>
              <w:left w:val="nil"/>
              <w:bottom w:val="single" w:sz="4" w:space="0" w:color="auto"/>
              <w:right w:val="nil"/>
            </w:tcBorders>
            <w:vAlign w:val="bottom"/>
          </w:tcPr>
          <w:p w14:paraId="400A29C9" w14:textId="77777777" w:rsidR="008E44D3" w:rsidRPr="00701439" w:rsidRDefault="008E44D3" w:rsidP="008E44D3">
            <w:pPr>
              <w:jc w:val="right"/>
              <w:rPr>
                <w:rFonts w:asciiTheme="minorHAnsi" w:hAnsiTheme="minorHAnsi" w:cs="Arial"/>
                <w:sz w:val="20"/>
                <w:szCs w:val="20"/>
              </w:rPr>
            </w:pPr>
            <w:r w:rsidRPr="00701439">
              <w:rPr>
                <w:rFonts w:asciiTheme="minorHAnsi" w:hAnsiTheme="minorHAnsi" w:cs="Arial"/>
                <w:sz w:val="20"/>
                <w:szCs w:val="20"/>
              </w:rPr>
              <w:t>£m </w:t>
            </w:r>
          </w:p>
        </w:tc>
        <w:tc>
          <w:tcPr>
            <w:tcW w:w="1031" w:type="dxa"/>
            <w:tcBorders>
              <w:top w:val="nil"/>
              <w:left w:val="nil"/>
              <w:bottom w:val="single" w:sz="4" w:space="0" w:color="auto"/>
              <w:right w:val="nil"/>
            </w:tcBorders>
            <w:vAlign w:val="bottom"/>
          </w:tcPr>
          <w:p w14:paraId="60F1E7BF" w14:textId="77777777" w:rsidR="008E44D3" w:rsidRPr="00701439" w:rsidRDefault="008E44D3" w:rsidP="008E44D3">
            <w:pPr>
              <w:jc w:val="right"/>
              <w:rPr>
                <w:rFonts w:asciiTheme="minorHAnsi" w:hAnsiTheme="minorHAnsi" w:cs="Arial"/>
                <w:sz w:val="20"/>
                <w:szCs w:val="20"/>
              </w:rPr>
            </w:pPr>
            <w:r w:rsidRPr="00701439">
              <w:rPr>
                <w:rFonts w:asciiTheme="minorHAnsi" w:hAnsiTheme="minorHAnsi" w:cs="Arial"/>
                <w:sz w:val="20"/>
                <w:szCs w:val="20"/>
              </w:rPr>
              <w:t>£m </w:t>
            </w:r>
          </w:p>
        </w:tc>
        <w:tc>
          <w:tcPr>
            <w:tcW w:w="939" w:type="dxa"/>
            <w:tcBorders>
              <w:top w:val="nil"/>
              <w:left w:val="nil"/>
              <w:bottom w:val="single" w:sz="4" w:space="0" w:color="auto"/>
              <w:right w:val="nil"/>
            </w:tcBorders>
          </w:tcPr>
          <w:p w14:paraId="3B548186" w14:textId="77777777" w:rsidR="008E44D3" w:rsidRPr="00701439" w:rsidRDefault="008E44D3" w:rsidP="008E44D3">
            <w:pPr>
              <w:jc w:val="right"/>
              <w:rPr>
                <w:rFonts w:asciiTheme="minorHAnsi" w:hAnsiTheme="minorHAnsi" w:cs="Arial"/>
                <w:sz w:val="20"/>
                <w:szCs w:val="20"/>
              </w:rPr>
            </w:pPr>
            <w:r w:rsidRPr="00701439">
              <w:rPr>
                <w:rFonts w:asciiTheme="minorHAnsi" w:hAnsiTheme="minorHAnsi" w:cs="Arial"/>
                <w:sz w:val="20"/>
                <w:szCs w:val="20"/>
              </w:rPr>
              <w:t>£m</w:t>
            </w:r>
          </w:p>
        </w:tc>
        <w:tc>
          <w:tcPr>
            <w:tcW w:w="570" w:type="dxa"/>
            <w:tcBorders>
              <w:top w:val="nil"/>
              <w:left w:val="nil"/>
              <w:bottom w:val="single" w:sz="4" w:space="0" w:color="auto"/>
              <w:right w:val="nil"/>
            </w:tcBorders>
          </w:tcPr>
          <w:p w14:paraId="33F9C42D" w14:textId="77777777" w:rsidR="008E44D3" w:rsidRPr="00701439" w:rsidRDefault="008E44D3" w:rsidP="008E44D3">
            <w:pPr>
              <w:jc w:val="center"/>
              <w:rPr>
                <w:rFonts w:asciiTheme="minorHAnsi" w:hAnsiTheme="minorHAnsi" w:cs="Arial"/>
                <w:sz w:val="20"/>
                <w:szCs w:val="20"/>
              </w:rPr>
            </w:pPr>
            <w:r w:rsidRPr="00701439">
              <w:rPr>
                <w:rFonts w:asciiTheme="minorHAnsi" w:hAnsiTheme="minorHAnsi" w:cs="Arial"/>
                <w:sz w:val="20"/>
                <w:szCs w:val="20"/>
              </w:rPr>
              <w:t>£m </w:t>
            </w:r>
          </w:p>
        </w:tc>
        <w:tc>
          <w:tcPr>
            <w:tcW w:w="719" w:type="dxa"/>
            <w:tcBorders>
              <w:top w:val="nil"/>
              <w:left w:val="nil"/>
              <w:bottom w:val="single" w:sz="4" w:space="0" w:color="auto"/>
              <w:right w:val="nil"/>
            </w:tcBorders>
          </w:tcPr>
          <w:p w14:paraId="0FE7CBAA" w14:textId="77777777" w:rsidR="008E44D3" w:rsidRPr="00701439" w:rsidRDefault="008E44D3" w:rsidP="008E44D3">
            <w:pPr>
              <w:jc w:val="right"/>
              <w:rPr>
                <w:rFonts w:asciiTheme="minorHAnsi" w:hAnsiTheme="minorHAnsi" w:cs="Arial"/>
                <w:sz w:val="20"/>
                <w:szCs w:val="20"/>
              </w:rPr>
            </w:pPr>
            <w:r w:rsidRPr="00701439">
              <w:rPr>
                <w:rFonts w:asciiTheme="minorHAnsi" w:hAnsiTheme="minorHAnsi" w:cs="Arial"/>
                <w:sz w:val="20"/>
                <w:szCs w:val="20"/>
              </w:rPr>
              <w:t>£m </w:t>
            </w:r>
          </w:p>
        </w:tc>
        <w:tc>
          <w:tcPr>
            <w:tcW w:w="950" w:type="dxa"/>
            <w:tcBorders>
              <w:top w:val="nil"/>
              <w:left w:val="nil"/>
              <w:bottom w:val="single" w:sz="4" w:space="0" w:color="auto"/>
              <w:right w:val="nil"/>
            </w:tcBorders>
          </w:tcPr>
          <w:p w14:paraId="4A7D0004" w14:textId="77777777" w:rsidR="008E44D3" w:rsidRPr="00701439" w:rsidRDefault="008E44D3" w:rsidP="008E44D3">
            <w:pPr>
              <w:jc w:val="right"/>
              <w:rPr>
                <w:rFonts w:asciiTheme="minorHAnsi" w:hAnsiTheme="minorHAnsi" w:cs="Arial"/>
                <w:sz w:val="20"/>
                <w:szCs w:val="20"/>
              </w:rPr>
            </w:pPr>
            <w:r w:rsidRPr="00701439">
              <w:rPr>
                <w:rFonts w:asciiTheme="minorHAnsi" w:hAnsiTheme="minorHAnsi" w:cs="Arial"/>
                <w:sz w:val="20"/>
                <w:szCs w:val="20"/>
              </w:rPr>
              <w:t>£m </w:t>
            </w:r>
          </w:p>
        </w:tc>
        <w:tc>
          <w:tcPr>
            <w:tcW w:w="823" w:type="dxa"/>
            <w:tcBorders>
              <w:top w:val="nil"/>
              <w:left w:val="nil"/>
              <w:bottom w:val="single" w:sz="4" w:space="0" w:color="auto"/>
              <w:right w:val="nil"/>
            </w:tcBorders>
          </w:tcPr>
          <w:p w14:paraId="38766954" w14:textId="77777777" w:rsidR="008E44D3" w:rsidRPr="00701439" w:rsidRDefault="008E44D3" w:rsidP="008E44D3">
            <w:pPr>
              <w:jc w:val="right"/>
              <w:rPr>
                <w:rFonts w:asciiTheme="minorHAnsi" w:hAnsiTheme="minorHAnsi" w:cs="Arial"/>
                <w:sz w:val="20"/>
                <w:szCs w:val="20"/>
              </w:rPr>
            </w:pPr>
            <w:r w:rsidRPr="00701439">
              <w:rPr>
                <w:rFonts w:asciiTheme="minorHAnsi" w:hAnsiTheme="minorHAnsi" w:cs="Arial"/>
                <w:sz w:val="20"/>
                <w:szCs w:val="20"/>
              </w:rPr>
              <w:t>£m </w:t>
            </w:r>
          </w:p>
        </w:tc>
        <w:tc>
          <w:tcPr>
            <w:tcW w:w="923" w:type="dxa"/>
            <w:tcBorders>
              <w:top w:val="nil"/>
              <w:left w:val="nil"/>
              <w:bottom w:val="single" w:sz="4" w:space="0" w:color="auto"/>
              <w:right w:val="nil"/>
            </w:tcBorders>
          </w:tcPr>
          <w:p w14:paraId="31B3871F" w14:textId="77777777" w:rsidR="008E44D3" w:rsidRPr="00701439" w:rsidRDefault="008E44D3" w:rsidP="008E44D3">
            <w:pPr>
              <w:jc w:val="right"/>
              <w:rPr>
                <w:rFonts w:asciiTheme="minorHAnsi" w:hAnsiTheme="minorHAnsi" w:cs="Arial"/>
                <w:sz w:val="20"/>
                <w:szCs w:val="20"/>
              </w:rPr>
            </w:pPr>
            <w:r w:rsidRPr="00701439">
              <w:rPr>
                <w:rFonts w:asciiTheme="minorHAnsi" w:hAnsiTheme="minorHAnsi" w:cs="Arial"/>
                <w:sz w:val="20"/>
                <w:szCs w:val="20"/>
              </w:rPr>
              <w:t>£m</w:t>
            </w:r>
          </w:p>
        </w:tc>
        <w:tc>
          <w:tcPr>
            <w:tcW w:w="667" w:type="dxa"/>
            <w:tcBorders>
              <w:top w:val="nil"/>
              <w:left w:val="nil"/>
              <w:bottom w:val="single" w:sz="4" w:space="0" w:color="auto"/>
              <w:right w:val="nil"/>
            </w:tcBorders>
          </w:tcPr>
          <w:p w14:paraId="4F536E4D" w14:textId="77777777" w:rsidR="008E44D3" w:rsidRPr="00701439" w:rsidRDefault="008E44D3" w:rsidP="008E44D3">
            <w:pPr>
              <w:jc w:val="right"/>
              <w:rPr>
                <w:rFonts w:asciiTheme="minorHAnsi" w:hAnsiTheme="minorHAnsi" w:cs="Arial"/>
                <w:sz w:val="20"/>
                <w:szCs w:val="20"/>
              </w:rPr>
            </w:pPr>
            <w:r w:rsidRPr="00701439">
              <w:rPr>
                <w:rFonts w:asciiTheme="minorHAnsi" w:hAnsiTheme="minorHAnsi" w:cs="Arial"/>
                <w:sz w:val="20"/>
                <w:szCs w:val="20"/>
              </w:rPr>
              <w:t>£m </w:t>
            </w:r>
          </w:p>
        </w:tc>
        <w:tc>
          <w:tcPr>
            <w:tcW w:w="924" w:type="dxa"/>
            <w:tcBorders>
              <w:top w:val="nil"/>
              <w:left w:val="nil"/>
              <w:bottom w:val="single" w:sz="4" w:space="0" w:color="auto"/>
              <w:right w:val="nil"/>
            </w:tcBorders>
          </w:tcPr>
          <w:p w14:paraId="4EBB6919" w14:textId="77777777" w:rsidR="008E44D3" w:rsidRPr="00701439" w:rsidRDefault="008E44D3" w:rsidP="008E44D3">
            <w:pPr>
              <w:jc w:val="right"/>
              <w:rPr>
                <w:rFonts w:asciiTheme="minorHAnsi" w:hAnsiTheme="minorHAnsi" w:cs="Arial"/>
                <w:sz w:val="20"/>
                <w:szCs w:val="20"/>
              </w:rPr>
            </w:pPr>
            <w:r w:rsidRPr="00701439">
              <w:rPr>
                <w:rFonts w:asciiTheme="minorHAnsi" w:hAnsiTheme="minorHAnsi" w:cs="Arial"/>
                <w:sz w:val="20"/>
                <w:szCs w:val="20"/>
              </w:rPr>
              <w:t>£m </w:t>
            </w:r>
          </w:p>
        </w:tc>
      </w:tr>
      <w:tr w:rsidR="008E44D3" w:rsidRPr="00701439" w14:paraId="53B3EB99" w14:textId="77777777" w:rsidTr="008E44D3">
        <w:trPr>
          <w:trHeight w:val="221"/>
        </w:trPr>
        <w:tc>
          <w:tcPr>
            <w:tcW w:w="1798" w:type="dxa"/>
            <w:vAlign w:val="bottom"/>
          </w:tcPr>
          <w:p w14:paraId="6A8902E1" w14:textId="77777777" w:rsidR="008E44D3" w:rsidRPr="00701439" w:rsidRDefault="008E44D3" w:rsidP="008E44D3">
            <w:pPr>
              <w:rPr>
                <w:rFonts w:asciiTheme="minorHAnsi" w:hAnsiTheme="minorHAnsi" w:cs="Arial"/>
                <w:sz w:val="20"/>
                <w:szCs w:val="20"/>
              </w:rPr>
            </w:pPr>
            <w:r w:rsidRPr="00701439">
              <w:rPr>
                <w:rFonts w:asciiTheme="minorHAnsi" w:hAnsiTheme="minorHAnsi" w:cs="Arial"/>
                <w:sz w:val="20"/>
                <w:szCs w:val="20"/>
              </w:rPr>
              <w:t>Brought forward</w:t>
            </w:r>
          </w:p>
        </w:tc>
        <w:tc>
          <w:tcPr>
            <w:tcW w:w="899" w:type="dxa"/>
            <w:vAlign w:val="bottom"/>
          </w:tcPr>
          <w:p w14:paraId="25406607" w14:textId="77777777" w:rsidR="008E44D3" w:rsidRPr="00701439" w:rsidRDefault="008E44D3" w:rsidP="008E44D3">
            <w:pPr>
              <w:jc w:val="right"/>
              <w:rPr>
                <w:rFonts w:asciiTheme="minorHAnsi" w:hAnsiTheme="minorHAnsi" w:cs="Arial"/>
                <w:sz w:val="20"/>
                <w:szCs w:val="20"/>
              </w:rPr>
            </w:pPr>
            <w:r w:rsidRPr="00701439">
              <w:rPr>
                <w:rFonts w:ascii="Calibri (Body)" w:hAnsi="Calibri (Body)" w:cs="Calibri"/>
                <w:color w:val="000000"/>
                <w:sz w:val="20"/>
                <w:szCs w:val="20"/>
              </w:rPr>
              <w:t>29.4</w:t>
            </w:r>
          </w:p>
        </w:tc>
        <w:tc>
          <w:tcPr>
            <w:tcW w:w="1031" w:type="dxa"/>
            <w:vAlign w:val="bottom"/>
          </w:tcPr>
          <w:p w14:paraId="3296F0C9" w14:textId="77777777" w:rsidR="008E44D3" w:rsidRPr="00701439" w:rsidRDefault="008E44D3" w:rsidP="008E44D3">
            <w:pPr>
              <w:jc w:val="right"/>
              <w:rPr>
                <w:rFonts w:asciiTheme="minorHAnsi" w:hAnsiTheme="minorHAnsi" w:cs="Arial"/>
                <w:sz w:val="20"/>
                <w:szCs w:val="20"/>
              </w:rPr>
            </w:pPr>
            <w:r w:rsidRPr="00701439">
              <w:rPr>
                <w:rFonts w:ascii="Calibri (Body)" w:hAnsi="Calibri (Body)" w:cs="Calibri"/>
                <w:color w:val="000000"/>
                <w:sz w:val="20"/>
                <w:szCs w:val="20"/>
              </w:rPr>
              <w:t>32.4</w:t>
            </w:r>
          </w:p>
        </w:tc>
        <w:tc>
          <w:tcPr>
            <w:tcW w:w="939" w:type="dxa"/>
            <w:vAlign w:val="bottom"/>
          </w:tcPr>
          <w:p w14:paraId="63A02B7B" w14:textId="77777777" w:rsidR="008E44D3" w:rsidRPr="00701439" w:rsidRDefault="008E44D3" w:rsidP="008E44D3">
            <w:pPr>
              <w:jc w:val="right"/>
              <w:rPr>
                <w:rFonts w:asciiTheme="minorHAnsi" w:hAnsiTheme="minorHAnsi" w:cs="Arial"/>
                <w:sz w:val="20"/>
                <w:szCs w:val="20"/>
              </w:rPr>
            </w:pPr>
            <w:r w:rsidRPr="00701439">
              <w:rPr>
                <w:rFonts w:ascii="Calibri (Body)" w:hAnsi="Calibri (Body)" w:cs="Calibri"/>
                <w:color w:val="000000"/>
                <w:sz w:val="20"/>
                <w:szCs w:val="20"/>
              </w:rPr>
              <w:t>0.2</w:t>
            </w:r>
          </w:p>
        </w:tc>
        <w:tc>
          <w:tcPr>
            <w:tcW w:w="570" w:type="dxa"/>
          </w:tcPr>
          <w:p w14:paraId="12B0ED12" w14:textId="77777777" w:rsidR="008E44D3" w:rsidRPr="00701439" w:rsidRDefault="008E44D3" w:rsidP="008E44D3">
            <w:pPr>
              <w:jc w:val="right"/>
              <w:rPr>
                <w:rFonts w:asciiTheme="minorHAnsi" w:hAnsiTheme="minorHAnsi" w:cs="Arial"/>
                <w:sz w:val="20"/>
                <w:szCs w:val="20"/>
              </w:rPr>
            </w:pPr>
            <w:r w:rsidRPr="00701439">
              <w:rPr>
                <w:rFonts w:asciiTheme="minorHAnsi" w:hAnsiTheme="minorHAnsi" w:cs="Arial"/>
                <w:sz w:val="20"/>
                <w:szCs w:val="20"/>
              </w:rPr>
              <w:t>-</w:t>
            </w:r>
          </w:p>
        </w:tc>
        <w:tc>
          <w:tcPr>
            <w:tcW w:w="719" w:type="dxa"/>
            <w:vAlign w:val="bottom"/>
          </w:tcPr>
          <w:p w14:paraId="288387C8" w14:textId="77777777" w:rsidR="008E44D3" w:rsidRPr="00701439" w:rsidRDefault="008E44D3" w:rsidP="008E44D3">
            <w:pPr>
              <w:jc w:val="right"/>
              <w:rPr>
                <w:rFonts w:asciiTheme="minorHAnsi" w:hAnsiTheme="minorHAnsi" w:cs="Arial"/>
                <w:sz w:val="20"/>
                <w:szCs w:val="20"/>
              </w:rPr>
            </w:pPr>
            <w:r w:rsidRPr="00701439">
              <w:rPr>
                <w:rFonts w:ascii="Calibri (Body)" w:hAnsi="Calibri (Body)" w:cs="Calibri"/>
                <w:color w:val="000000"/>
                <w:sz w:val="20"/>
                <w:szCs w:val="20"/>
              </w:rPr>
              <w:t>62.0</w:t>
            </w:r>
          </w:p>
        </w:tc>
        <w:tc>
          <w:tcPr>
            <w:tcW w:w="950" w:type="dxa"/>
            <w:vAlign w:val="bottom"/>
          </w:tcPr>
          <w:p w14:paraId="58FCDEFE" w14:textId="77777777" w:rsidR="008E44D3" w:rsidRPr="00701439" w:rsidRDefault="008E44D3" w:rsidP="008E44D3">
            <w:pPr>
              <w:jc w:val="right"/>
              <w:rPr>
                <w:rFonts w:asciiTheme="minorHAnsi" w:hAnsiTheme="minorHAnsi" w:cs="Arial"/>
                <w:sz w:val="20"/>
                <w:szCs w:val="20"/>
              </w:rPr>
            </w:pPr>
            <w:r w:rsidRPr="00701439">
              <w:rPr>
                <w:rFonts w:ascii="Calibri (Body)" w:hAnsi="Calibri (Body)" w:cs="Calibri"/>
                <w:color w:val="000000"/>
                <w:sz w:val="20"/>
                <w:szCs w:val="20"/>
              </w:rPr>
              <w:t>32.9</w:t>
            </w:r>
          </w:p>
        </w:tc>
        <w:tc>
          <w:tcPr>
            <w:tcW w:w="823" w:type="dxa"/>
            <w:vAlign w:val="bottom"/>
          </w:tcPr>
          <w:p w14:paraId="7803A038" w14:textId="77777777" w:rsidR="008E44D3" w:rsidRPr="00701439" w:rsidRDefault="008E44D3" w:rsidP="008E44D3">
            <w:pPr>
              <w:jc w:val="right"/>
              <w:rPr>
                <w:rFonts w:asciiTheme="minorHAnsi" w:hAnsiTheme="minorHAnsi" w:cs="Arial"/>
                <w:sz w:val="20"/>
                <w:szCs w:val="20"/>
              </w:rPr>
            </w:pPr>
            <w:r w:rsidRPr="00701439">
              <w:rPr>
                <w:rFonts w:asciiTheme="minorHAnsi" w:hAnsiTheme="minorHAnsi" w:cs="Arial"/>
                <w:sz w:val="20"/>
                <w:szCs w:val="20"/>
              </w:rPr>
              <w:t>27.9</w:t>
            </w:r>
          </w:p>
        </w:tc>
        <w:tc>
          <w:tcPr>
            <w:tcW w:w="923" w:type="dxa"/>
            <w:vAlign w:val="bottom"/>
          </w:tcPr>
          <w:p w14:paraId="3E267E67" w14:textId="77777777" w:rsidR="008E44D3" w:rsidRPr="00701439" w:rsidRDefault="008E44D3" w:rsidP="008E44D3">
            <w:pPr>
              <w:jc w:val="right"/>
              <w:rPr>
                <w:rFonts w:asciiTheme="minorHAnsi" w:hAnsiTheme="minorHAnsi" w:cs="Arial"/>
                <w:sz w:val="20"/>
                <w:szCs w:val="20"/>
              </w:rPr>
            </w:pPr>
            <w:r w:rsidRPr="00701439">
              <w:rPr>
                <w:rFonts w:ascii="Calibri (Body)" w:hAnsi="Calibri (Body)" w:cs="Calibri"/>
                <w:color w:val="000000"/>
                <w:sz w:val="20"/>
                <w:szCs w:val="20"/>
              </w:rPr>
              <w:t>-</w:t>
            </w:r>
          </w:p>
        </w:tc>
        <w:tc>
          <w:tcPr>
            <w:tcW w:w="667" w:type="dxa"/>
          </w:tcPr>
          <w:p w14:paraId="65CC0B35" w14:textId="77777777" w:rsidR="008E44D3" w:rsidRPr="00701439" w:rsidRDefault="008E44D3" w:rsidP="008E44D3">
            <w:pPr>
              <w:jc w:val="right"/>
              <w:rPr>
                <w:rFonts w:asciiTheme="minorHAnsi" w:hAnsiTheme="minorHAnsi" w:cs="Arial"/>
                <w:sz w:val="20"/>
                <w:szCs w:val="20"/>
              </w:rPr>
            </w:pPr>
            <w:r w:rsidRPr="00701439">
              <w:rPr>
                <w:rFonts w:asciiTheme="minorHAnsi" w:hAnsiTheme="minorHAnsi" w:cs="Arial"/>
                <w:sz w:val="20"/>
                <w:szCs w:val="20"/>
              </w:rPr>
              <w:t>0.4</w:t>
            </w:r>
          </w:p>
        </w:tc>
        <w:tc>
          <w:tcPr>
            <w:tcW w:w="924" w:type="dxa"/>
          </w:tcPr>
          <w:p w14:paraId="5FD6EFA1" w14:textId="77777777" w:rsidR="008E44D3" w:rsidRPr="00701439" w:rsidRDefault="008E44D3" w:rsidP="008E44D3">
            <w:pPr>
              <w:jc w:val="right"/>
              <w:rPr>
                <w:rFonts w:asciiTheme="minorHAnsi" w:hAnsiTheme="minorHAnsi" w:cs="Arial"/>
                <w:sz w:val="20"/>
                <w:szCs w:val="20"/>
              </w:rPr>
            </w:pPr>
            <w:r w:rsidRPr="00701439">
              <w:rPr>
                <w:rFonts w:asciiTheme="minorHAnsi" w:hAnsiTheme="minorHAnsi" w:cs="Arial"/>
                <w:sz w:val="20"/>
                <w:szCs w:val="20"/>
              </w:rPr>
              <w:t>61.2</w:t>
            </w:r>
          </w:p>
        </w:tc>
      </w:tr>
      <w:tr w:rsidR="008E44D3" w:rsidRPr="00701439" w14:paraId="10AE67BF" w14:textId="77777777" w:rsidTr="008E44D3">
        <w:trPr>
          <w:trHeight w:val="221"/>
        </w:trPr>
        <w:tc>
          <w:tcPr>
            <w:tcW w:w="1798" w:type="dxa"/>
            <w:vAlign w:val="bottom"/>
          </w:tcPr>
          <w:p w14:paraId="38622CF1" w14:textId="77777777" w:rsidR="008E44D3" w:rsidRPr="00701439" w:rsidRDefault="008E44D3" w:rsidP="008E44D3">
            <w:pPr>
              <w:rPr>
                <w:rFonts w:asciiTheme="minorHAnsi" w:hAnsiTheme="minorHAnsi" w:cs="Arial"/>
                <w:sz w:val="20"/>
                <w:szCs w:val="20"/>
              </w:rPr>
            </w:pPr>
            <w:r w:rsidRPr="00701439">
              <w:rPr>
                <w:rFonts w:asciiTheme="minorHAnsi" w:hAnsiTheme="minorHAnsi" w:cs="Arial"/>
                <w:sz w:val="20"/>
                <w:szCs w:val="20"/>
              </w:rPr>
              <w:t>Capitalised</w:t>
            </w:r>
          </w:p>
        </w:tc>
        <w:tc>
          <w:tcPr>
            <w:tcW w:w="899" w:type="dxa"/>
            <w:vAlign w:val="bottom"/>
          </w:tcPr>
          <w:p w14:paraId="2962E3A8" w14:textId="77777777" w:rsidR="008E44D3" w:rsidRPr="00701439" w:rsidRDefault="008E44D3" w:rsidP="008E44D3">
            <w:pPr>
              <w:jc w:val="right"/>
              <w:rPr>
                <w:rFonts w:asciiTheme="minorHAnsi" w:hAnsiTheme="minorHAnsi" w:cs="Arial"/>
                <w:sz w:val="20"/>
                <w:szCs w:val="20"/>
              </w:rPr>
            </w:pPr>
            <w:r w:rsidRPr="00701439">
              <w:rPr>
                <w:rFonts w:ascii="Calibri (Body)" w:hAnsi="Calibri (Body)" w:cs="Calibri"/>
                <w:color w:val="000000"/>
                <w:sz w:val="20"/>
                <w:szCs w:val="20"/>
              </w:rPr>
              <w:t>11.9</w:t>
            </w:r>
          </w:p>
        </w:tc>
        <w:tc>
          <w:tcPr>
            <w:tcW w:w="1031" w:type="dxa"/>
            <w:vAlign w:val="bottom"/>
          </w:tcPr>
          <w:p w14:paraId="51C47028" w14:textId="77777777" w:rsidR="008E44D3" w:rsidRPr="00701439" w:rsidRDefault="008E44D3" w:rsidP="008E44D3">
            <w:pPr>
              <w:jc w:val="right"/>
              <w:rPr>
                <w:rFonts w:asciiTheme="minorHAnsi" w:hAnsiTheme="minorHAnsi" w:cs="Arial"/>
                <w:sz w:val="20"/>
                <w:szCs w:val="20"/>
              </w:rPr>
            </w:pPr>
            <w:r w:rsidRPr="00701439">
              <w:rPr>
                <w:rFonts w:ascii="Calibri (Body)" w:hAnsi="Calibri (Body)" w:cs="Calibri"/>
                <w:color w:val="000000"/>
                <w:sz w:val="20"/>
                <w:szCs w:val="20"/>
              </w:rPr>
              <w:t>30.2</w:t>
            </w:r>
          </w:p>
        </w:tc>
        <w:tc>
          <w:tcPr>
            <w:tcW w:w="939" w:type="dxa"/>
            <w:vAlign w:val="bottom"/>
          </w:tcPr>
          <w:p w14:paraId="780F9D59" w14:textId="77777777" w:rsidR="008E44D3" w:rsidRPr="00701439" w:rsidRDefault="008E44D3" w:rsidP="008E44D3">
            <w:pPr>
              <w:jc w:val="right"/>
              <w:rPr>
                <w:rFonts w:asciiTheme="minorHAnsi" w:hAnsiTheme="minorHAnsi" w:cs="Arial"/>
                <w:sz w:val="20"/>
                <w:szCs w:val="20"/>
              </w:rPr>
            </w:pPr>
            <w:r w:rsidRPr="00701439">
              <w:rPr>
                <w:rFonts w:ascii="Calibri (Body)" w:hAnsi="Calibri (Body)" w:cs="Calibri"/>
                <w:color w:val="000000"/>
                <w:sz w:val="20"/>
                <w:szCs w:val="20"/>
              </w:rPr>
              <w:t>1.8</w:t>
            </w:r>
          </w:p>
        </w:tc>
        <w:tc>
          <w:tcPr>
            <w:tcW w:w="570" w:type="dxa"/>
          </w:tcPr>
          <w:p w14:paraId="0A1451FA" w14:textId="77777777" w:rsidR="008E44D3" w:rsidRPr="00701439" w:rsidRDefault="008E44D3" w:rsidP="008E44D3">
            <w:pPr>
              <w:jc w:val="right"/>
              <w:rPr>
                <w:rFonts w:asciiTheme="minorHAnsi" w:hAnsiTheme="minorHAnsi" w:cs="Arial"/>
                <w:sz w:val="20"/>
                <w:szCs w:val="20"/>
              </w:rPr>
            </w:pPr>
            <w:r w:rsidRPr="00701439">
              <w:rPr>
                <w:rFonts w:asciiTheme="minorHAnsi" w:hAnsiTheme="minorHAnsi" w:cs="Arial"/>
                <w:sz w:val="20"/>
                <w:szCs w:val="20"/>
              </w:rPr>
              <w:t>-</w:t>
            </w:r>
          </w:p>
        </w:tc>
        <w:tc>
          <w:tcPr>
            <w:tcW w:w="719" w:type="dxa"/>
            <w:vAlign w:val="bottom"/>
          </w:tcPr>
          <w:p w14:paraId="48999400" w14:textId="77777777" w:rsidR="008E44D3" w:rsidRPr="00701439" w:rsidRDefault="008E44D3" w:rsidP="008E44D3">
            <w:pPr>
              <w:jc w:val="right"/>
              <w:rPr>
                <w:rFonts w:asciiTheme="minorHAnsi" w:hAnsiTheme="minorHAnsi" w:cs="Arial"/>
                <w:sz w:val="20"/>
                <w:szCs w:val="20"/>
              </w:rPr>
            </w:pPr>
            <w:r w:rsidRPr="00701439">
              <w:rPr>
                <w:rFonts w:ascii="Calibri (Body)" w:hAnsi="Calibri (Body)" w:cs="Calibri"/>
                <w:color w:val="000000"/>
                <w:sz w:val="20"/>
                <w:szCs w:val="20"/>
              </w:rPr>
              <w:t>43.9</w:t>
            </w:r>
          </w:p>
        </w:tc>
        <w:tc>
          <w:tcPr>
            <w:tcW w:w="950" w:type="dxa"/>
            <w:vAlign w:val="bottom"/>
          </w:tcPr>
          <w:p w14:paraId="46CF95F9" w14:textId="77777777" w:rsidR="008E44D3" w:rsidRPr="00701439" w:rsidRDefault="008E44D3" w:rsidP="008E44D3">
            <w:pPr>
              <w:jc w:val="right"/>
              <w:rPr>
                <w:rFonts w:asciiTheme="minorHAnsi" w:hAnsiTheme="minorHAnsi" w:cs="Arial"/>
                <w:sz w:val="20"/>
                <w:szCs w:val="20"/>
              </w:rPr>
            </w:pPr>
            <w:r w:rsidRPr="00701439">
              <w:rPr>
                <w:rFonts w:ascii="Calibri (Body)" w:hAnsi="Calibri (Body)" w:cs="Calibri"/>
                <w:color w:val="000000"/>
                <w:sz w:val="20"/>
                <w:szCs w:val="20"/>
              </w:rPr>
              <w:t>10.0</w:t>
            </w:r>
          </w:p>
        </w:tc>
        <w:tc>
          <w:tcPr>
            <w:tcW w:w="823" w:type="dxa"/>
            <w:vAlign w:val="bottom"/>
          </w:tcPr>
          <w:p w14:paraId="24B9405C" w14:textId="77777777" w:rsidR="008E44D3" w:rsidRPr="00701439" w:rsidRDefault="008E44D3" w:rsidP="008E44D3">
            <w:pPr>
              <w:jc w:val="right"/>
              <w:rPr>
                <w:rFonts w:asciiTheme="minorHAnsi" w:hAnsiTheme="minorHAnsi" w:cs="Arial"/>
                <w:sz w:val="20"/>
                <w:szCs w:val="20"/>
              </w:rPr>
            </w:pPr>
            <w:r w:rsidRPr="00701439">
              <w:rPr>
                <w:rFonts w:asciiTheme="minorHAnsi" w:hAnsiTheme="minorHAnsi" w:cs="Arial"/>
                <w:sz w:val="20"/>
                <w:szCs w:val="20"/>
              </w:rPr>
              <w:t>23.3</w:t>
            </w:r>
          </w:p>
        </w:tc>
        <w:tc>
          <w:tcPr>
            <w:tcW w:w="923" w:type="dxa"/>
            <w:vAlign w:val="bottom"/>
          </w:tcPr>
          <w:p w14:paraId="71E6C729" w14:textId="77777777" w:rsidR="008E44D3" w:rsidRPr="00701439" w:rsidRDefault="008E44D3" w:rsidP="008E44D3">
            <w:pPr>
              <w:jc w:val="right"/>
              <w:rPr>
                <w:rFonts w:asciiTheme="minorHAnsi" w:hAnsiTheme="minorHAnsi" w:cs="Arial"/>
                <w:sz w:val="20"/>
                <w:szCs w:val="20"/>
              </w:rPr>
            </w:pPr>
            <w:r w:rsidRPr="00701439">
              <w:rPr>
                <w:rFonts w:ascii="Calibri (Body)" w:hAnsi="Calibri (Body)" w:cs="Calibri"/>
                <w:color w:val="000000"/>
                <w:sz w:val="20"/>
                <w:szCs w:val="20"/>
              </w:rPr>
              <w:t>0.2</w:t>
            </w:r>
          </w:p>
        </w:tc>
        <w:tc>
          <w:tcPr>
            <w:tcW w:w="667" w:type="dxa"/>
          </w:tcPr>
          <w:p w14:paraId="3D736382" w14:textId="77777777" w:rsidR="008E44D3" w:rsidRPr="00701439" w:rsidRDefault="008E44D3" w:rsidP="008E44D3">
            <w:pPr>
              <w:jc w:val="right"/>
              <w:rPr>
                <w:rFonts w:asciiTheme="minorHAnsi" w:hAnsiTheme="minorHAnsi" w:cs="Arial"/>
                <w:sz w:val="20"/>
                <w:szCs w:val="20"/>
              </w:rPr>
            </w:pPr>
            <w:r w:rsidRPr="00701439">
              <w:rPr>
                <w:rFonts w:asciiTheme="minorHAnsi" w:hAnsiTheme="minorHAnsi" w:cs="Arial"/>
                <w:sz w:val="20"/>
                <w:szCs w:val="20"/>
              </w:rPr>
              <w:t>0.2</w:t>
            </w:r>
          </w:p>
        </w:tc>
        <w:tc>
          <w:tcPr>
            <w:tcW w:w="924" w:type="dxa"/>
          </w:tcPr>
          <w:p w14:paraId="0EBD568F" w14:textId="77777777" w:rsidR="008E44D3" w:rsidRPr="00701439" w:rsidRDefault="008E44D3" w:rsidP="008E44D3">
            <w:pPr>
              <w:jc w:val="right"/>
              <w:rPr>
                <w:rFonts w:asciiTheme="minorHAnsi" w:hAnsiTheme="minorHAnsi" w:cs="Arial"/>
                <w:sz w:val="20"/>
                <w:szCs w:val="20"/>
              </w:rPr>
            </w:pPr>
            <w:r w:rsidRPr="00701439">
              <w:rPr>
                <w:rFonts w:asciiTheme="minorHAnsi" w:hAnsiTheme="minorHAnsi" w:cs="Arial"/>
                <w:sz w:val="20"/>
                <w:szCs w:val="20"/>
              </w:rPr>
              <w:t>33.7</w:t>
            </w:r>
          </w:p>
        </w:tc>
      </w:tr>
      <w:tr w:rsidR="008E44D3" w:rsidRPr="00701439" w14:paraId="7C0582EE" w14:textId="77777777" w:rsidTr="008E44D3">
        <w:trPr>
          <w:trHeight w:val="221"/>
        </w:trPr>
        <w:tc>
          <w:tcPr>
            <w:tcW w:w="1798" w:type="dxa"/>
            <w:vAlign w:val="bottom"/>
          </w:tcPr>
          <w:p w14:paraId="0DCEBBEB" w14:textId="77777777" w:rsidR="008E44D3" w:rsidRPr="00701439" w:rsidRDefault="008E44D3" w:rsidP="008E44D3">
            <w:pPr>
              <w:rPr>
                <w:rFonts w:asciiTheme="minorHAnsi" w:hAnsiTheme="minorHAnsi" w:cs="Arial"/>
                <w:sz w:val="20"/>
                <w:szCs w:val="20"/>
              </w:rPr>
            </w:pPr>
            <w:r w:rsidRPr="00701439">
              <w:rPr>
                <w:rFonts w:asciiTheme="minorHAnsi" w:hAnsiTheme="minorHAnsi" w:cs="Arial"/>
                <w:sz w:val="20"/>
                <w:szCs w:val="20"/>
              </w:rPr>
              <w:t xml:space="preserve">Amortised </w:t>
            </w:r>
          </w:p>
        </w:tc>
        <w:tc>
          <w:tcPr>
            <w:tcW w:w="899" w:type="dxa"/>
            <w:vAlign w:val="bottom"/>
          </w:tcPr>
          <w:p w14:paraId="4F0BDC52" w14:textId="77777777" w:rsidR="008E44D3" w:rsidRPr="00701439" w:rsidRDefault="008E44D3" w:rsidP="008E44D3">
            <w:pPr>
              <w:jc w:val="right"/>
              <w:rPr>
                <w:rFonts w:asciiTheme="minorHAnsi" w:hAnsiTheme="minorHAnsi" w:cs="Arial"/>
                <w:sz w:val="20"/>
                <w:szCs w:val="20"/>
              </w:rPr>
            </w:pPr>
            <w:r w:rsidRPr="00701439">
              <w:rPr>
                <w:rFonts w:ascii="Calibri (Body)" w:hAnsi="Calibri (Body)" w:cs="Calibri"/>
                <w:color w:val="000000"/>
                <w:sz w:val="20"/>
                <w:szCs w:val="20"/>
              </w:rPr>
              <w:t>(11.0)</w:t>
            </w:r>
          </w:p>
        </w:tc>
        <w:tc>
          <w:tcPr>
            <w:tcW w:w="1031" w:type="dxa"/>
            <w:vAlign w:val="bottom"/>
          </w:tcPr>
          <w:p w14:paraId="1510073D" w14:textId="77777777" w:rsidR="008E44D3" w:rsidRPr="00701439" w:rsidRDefault="008E44D3" w:rsidP="008E44D3">
            <w:pPr>
              <w:jc w:val="right"/>
              <w:rPr>
                <w:rFonts w:asciiTheme="minorHAnsi" w:hAnsiTheme="minorHAnsi" w:cs="Arial"/>
                <w:sz w:val="20"/>
                <w:szCs w:val="20"/>
              </w:rPr>
            </w:pPr>
            <w:r w:rsidRPr="00701439">
              <w:rPr>
                <w:rFonts w:ascii="Calibri (Body)" w:hAnsi="Calibri (Body)" w:cs="Calibri"/>
                <w:color w:val="000000"/>
                <w:sz w:val="20"/>
                <w:szCs w:val="20"/>
              </w:rPr>
              <w:t>(18.3)</w:t>
            </w:r>
          </w:p>
        </w:tc>
        <w:tc>
          <w:tcPr>
            <w:tcW w:w="939" w:type="dxa"/>
            <w:vAlign w:val="bottom"/>
          </w:tcPr>
          <w:p w14:paraId="22F273A6" w14:textId="77777777" w:rsidR="008E44D3" w:rsidRPr="00701439" w:rsidRDefault="008E44D3" w:rsidP="008E44D3">
            <w:pPr>
              <w:jc w:val="right"/>
              <w:rPr>
                <w:rFonts w:asciiTheme="minorHAnsi" w:hAnsiTheme="minorHAnsi" w:cs="Arial"/>
                <w:sz w:val="20"/>
                <w:szCs w:val="20"/>
              </w:rPr>
            </w:pPr>
            <w:r w:rsidRPr="00701439">
              <w:rPr>
                <w:rFonts w:ascii="Calibri (Body)" w:hAnsi="Calibri (Body)" w:cs="Calibri"/>
                <w:color w:val="000000"/>
                <w:sz w:val="20"/>
                <w:szCs w:val="20"/>
              </w:rPr>
              <w:t>(0.7)</w:t>
            </w:r>
          </w:p>
        </w:tc>
        <w:tc>
          <w:tcPr>
            <w:tcW w:w="570" w:type="dxa"/>
          </w:tcPr>
          <w:p w14:paraId="4A4B5B88" w14:textId="77777777" w:rsidR="008E44D3" w:rsidRPr="00701439" w:rsidRDefault="008E44D3" w:rsidP="008E44D3">
            <w:pPr>
              <w:jc w:val="right"/>
              <w:rPr>
                <w:rFonts w:asciiTheme="minorHAnsi" w:hAnsiTheme="minorHAnsi" w:cs="Arial"/>
                <w:sz w:val="20"/>
                <w:szCs w:val="20"/>
              </w:rPr>
            </w:pPr>
            <w:r w:rsidRPr="00701439">
              <w:rPr>
                <w:rFonts w:asciiTheme="minorHAnsi" w:hAnsiTheme="minorHAnsi" w:cs="Arial"/>
                <w:sz w:val="20"/>
                <w:szCs w:val="20"/>
              </w:rPr>
              <w:t>-</w:t>
            </w:r>
          </w:p>
        </w:tc>
        <w:tc>
          <w:tcPr>
            <w:tcW w:w="719" w:type="dxa"/>
            <w:vAlign w:val="bottom"/>
          </w:tcPr>
          <w:p w14:paraId="48033B09" w14:textId="77777777" w:rsidR="008E44D3" w:rsidRPr="00701439" w:rsidRDefault="008E44D3" w:rsidP="008E44D3">
            <w:pPr>
              <w:jc w:val="right"/>
              <w:rPr>
                <w:rFonts w:asciiTheme="minorHAnsi" w:hAnsiTheme="minorHAnsi" w:cs="Arial"/>
                <w:sz w:val="20"/>
                <w:szCs w:val="20"/>
              </w:rPr>
            </w:pPr>
            <w:r w:rsidRPr="00701439">
              <w:rPr>
                <w:rFonts w:ascii="Calibri (Body)" w:hAnsi="Calibri (Body)" w:cs="Calibri"/>
                <w:color w:val="000000"/>
                <w:sz w:val="20"/>
                <w:szCs w:val="20"/>
              </w:rPr>
              <w:t>(30.0)</w:t>
            </w:r>
          </w:p>
        </w:tc>
        <w:tc>
          <w:tcPr>
            <w:tcW w:w="950" w:type="dxa"/>
            <w:vAlign w:val="bottom"/>
          </w:tcPr>
          <w:p w14:paraId="3EFC9ED0" w14:textId="77777777" w:rsidR="008E44D3" w:rsidRPr="00701439" w:rsidRDefault="008E44D3" w:rsidP="008E44D3">
            <w:pPr>
              <w:jc w:val="right"/>
              <w:rPr>
                <w:rFonts w:asciiTheme="minorHAnsi" w:hAnsiTheme="minorHAnsi" w:cs="Arial"/>
                <w:sz w:val="20"/>
                <w:szCs w:val="20"/>
              </w:rPr>
            </w:pPr>
            <w:r w:rsidRPr="00701439">
              <w:rPr>
                <w:rFonts w:ascii="Calibri (Body)" w:hAnsi="Calibri (Body)" w:cs="Calibri"/>
                <w:color w:val="000000"/>
                <w:sz w:val="20"/>
                <w:szCs w:val="20"/>
              </w:rPr>
              <w:t>(13.5)</w:t>
            </w:r>
          </w:p>
        </w:tc>
        <w:tc>
          <w:tcPr>
            <w:tcW w:w="823" w:type="dxa"/>
            <w:vAlign w:val="bottom"/>
          </w:tcPr>
          <w:p w14:paraId="7C656388" w14:textId="77777777" w:rsidR="008E44D3" w:rsidRPr="00701439" w:rsidRDefault="008E44D3" w:rsidP="008E44D3">
            <w:pPr>
              <w:jc w:val="right"/>
              <w:rPr>
                <w:rFonts w:asciiTheme="minorHAnsi" w:hAnsiTheme="minorHAnsi" w:cs="Arial"/>
                <w:sz w:val="20"/>
                <w:szCs w:val="20"/>
              </w:rPr>
            </w:pPr>
            <w:r w:rsidRPr="00701439">
              <w:rPr>
                <w:rFonts w:asciiTheme="minorHAnsi" w:hAnsiTheme="minorHAnsi" w:cs="Arial"/>
                <w:sz w:val="20"/>
                <w:szCs w:val="20"/>
              </w:rPr>
              <w:t>(18.8)</w:t>
            </w:r>
          </w:p>
        </w:tc>
        <w:tc>
          <w:tcPr>
            <w:tcW w:w="923" w:type="dxa"/>
            <w:vAlign w:val="bottom"/>
          </w:tcPr>
          <w:p w14:paraId="58A84DAB" w14:textId="77777777" w:rsidR="008E44D3" w:rsidRPr="00701439" w:rsidRDefault="008E44D3" w:rsidP="008E44D3">
            <w:pPr>
              <w:jc w:val="right"/>
              <w:rPr>
                <w:rFonts w:asciiTheme="minorHAnsi" w:hAnsiTheme="minorHAnsi" w:cs="Arial"/>
                <w:sz w:val="20"/>
                <w:szCs w:val="20"/>
              </w:rPr>
            </w:pPr>
            <w:r w:rsidRPr="00701439">
              <w:rPr>
                <w:rFonts w:ascii="Calibri (Body)" w:hAnsi="Calibri (Body)" w:cs="Calibri"/>
                <w:color w:val="000000"/>
                <w:sz w:val="20"/>
                <w:szCs w:val="20"/>
              </w:rPr>
              <w:t>-</w:t>
            </w:r>
          </w:p>
        </w:tc>
        <w:tc>
          <w:tcPr>
            <w:tcW w:w="667" w:type="dxa"/>
          </w:tcPr>
          <w:p w14:paraId="4BB87D4D" w14:textId="77777777" w:rsidR="008E44D3" w:rsidRPr="00701439" w:rsidRDefault="008E44D3" w:rsidP="008E44D3">
            <w:pPr>
              <w:jc w:val="right"/>
              <w:rPr>
                <w:rFonts w:asciiTheme="minorHAnsi" w:hAnsiTheme="minorHAnsi" w:cs="Arial"/>
                <w:sz w:val="20"/>
                <w:szCs w:val="20"/>
              </w:rPr>
            </w:pPr>
            <w:r w:rsidRPr="00701439">
              <w:rPr>
                <w:rFonts w:asciiTheme="minorHAnsi" w:hAnsiTheme="minorHAnsi" w:cs="Arial"/>
                <w:sz w:val="20"/>
                <w:szCs w:val="20"/>
              </w:rPr>
              <w:t>(0.6)</w:t>
            </w:r>
          </w:p>
        </w:tc>
        <w:tc>
          <w:tcPr>
            <w:tcW w:w="924" w:type="dxa"/>
          </w:tcPr>
          <w:p w14:paraId="7FABC730" w14:textId="77777777" w:rsidR="008E44D3" w:rsidRPr="00701439" w:rsidRDefault="008E44D3" w:rsidP="008E44D3">
            <w:pPr>
              <w:jc w:val="right"/>
              <w:rPr>
                <w:rFonts w:asciiTheme="minorHAnsi" w:hAnsiTheme="minorHAnsi" w:cs="Arial"/>
                <w:sz w:val="20"/>
                <w:szCs w:val="20"/>
              </w:rPr>
            </w:pPr>
            <w:r w:rsidRPr="00701439">
              <w:rPr>
                <w:rFonts w:asciiTheme="minorHAnsi" w:hAnsiTheme="minorHAnsi" w:cs="Arial"/>
                <w:sz w:val="20"/>
                <w:szCs w:val="20"/>
              </w:rPr>
              <w:t>(32.9)</w:t>
            </w:r>
          </w:p>
        </w:tc>
      </w:tr>
      <w:tr w:rsidR="008E44D3" w:rsidRPr="00701439" w14:paraId="7572BD04" w14:textId="77777777" w:rsidTr="008E44D3">
        <w:trPr>
          <w:trHeight w:val="211"/>
        </w:trPr>
        <w:tc>
          <w:tcPr>
            <w:tcW w:w="1798" w:type="dxa"/>
            <w:vAlign w:val="bottom"/>
          </w:tcPr>
          <w:p w14:paraId="7A7CE675" w14:textId="77777777" w:rsidR="008E44D3" w:rsidRPr="00701439" w:rsidRDefault="008E44D3" w:rsidP="008E44D3">
            <w:pPr>
              <w:rPr>
                <w:rFonts w:asciiTheme="minorHAnsi" w:hAnsiTheme="minorHAnsi" w:cs="Arial"/>
                <w:b/>
                <w:sz w:val="20"/>
                <w:szCs w:val="20"/>
              </w:rPr>
            </w:pPr>
            <w:r w:rsidRPr="00701439">
              <w:rPr>
                <w:rFonts w:asciiTheme="minorHAnsi" w:hAnsiTheme="minorHAnsi" w:cs="Arial"/>
                <w:b/>
                <w:sz w:val="20"/>
                <w:szCs w:val="20"/>
              </w:rPr>
              <w:t>Carried forward</w:t>
            </w:r>
          </w:p>
        </w:tc>
        <w:tc>
          <w:tcPr>
            <w:tcW w:w="899" w:type="dxa"/>
            <w:tcBorders>
              <w:top w:val="single" w:sz="4" w:space="0" w:color="auto"/>
              <w:left w:val="nil"/>
              <w:bottom w:val="single" w:sz="12" w:space="0" w:color="auto"/>
              <w:right w:val="nil"/>
            </w:tcBorders>
            <w:vAlign w:val="bottom"/>
          </w:tcPr>
          <w:p w14:paraId="24A21C67" w14:textId="77777777" w:rsidR="008E44D3" w:rsidRPr="00701439" w:rsidRDefault="008E44D3" w:rsidP="008E44D3">
            <w:pPr>
              <w:jc w:val="right"/>
              <w:rPr>
                <w:rFonts w:asciiTheme="minorHAnsi" w:hAnsiTheme="minorHAnsi" w:cs="Arial"/>
                <w:sz w:val="20"/>
                <w:szCs w:val="20"/>
              </w:rPr>
            </w:pPr>
            <w:r w:rsidRPr="00701439">
              <w:rPr>
                <w:rFonts w:ascii="Calibri (Body)" w:hAnsi="Calibri (Body)" w:cs="Calibri"/>
                <w:color w:val="000000"/>
                <w:sz w:val="20"/>
                <w:szCs w:val="20"/>
              </w:rPr>
              <w:t>30.3</w:t>
            </w:r>
          </w:p>
        </w:tc>
        <w:tc>
          <w:tcPr>
            <w:tcW w:w="1031" w:type="dxa"/>
            <w:tcBorders>
              <w:top w:val="single" w:sz="4" w:space="0" w:color="auto"/>
              <w:left w:val="nil"/>
              <w:bottom w:val="single" w:sz="12" w:space="0" w:color="auto"/>
              <w:right w:val="nil"/>
            </w:tcBorders>
            <w:vAlign w:val="bottom"/>
          </w:tcPr>
          <w:p w14:paraId="7A2865AB" w14:textId="77777777" w:rsidR="008E44D3" w:rsidRPr="00701439" w:rsidRDefault="008E44D3" w:rsidP="008E44D3">
            <w:pPr>
              <w:jc w:val="right"/>
              <w:rPr>
                <w:rFonts w:asciiTheme="minorHAnsi" w:hAnsiTheme="minorHAnsi" w:cs="Arial"/>
                <w:sz w:val="20"/>
                <w:szCs w:val="20"/>
              </w:rPr>
            </w:pPr>
            <w:r w:rsidRPr="00701439">
              <w:rPr>
                <w:rFonts w:ascii="Calibri (Body)" w:hAnsi="Calibri (Body)" w:cs="Calibri"/>
                <w:color w:val="000000"/>
                <w:sz w:val="20"/>
                <w:szCs w:val="20"/>
              </w:rPr>
              <w:t>44.3</w:t>
            </w:r>
          </w:p>
        </w:tc>
        <w:tc>
          <w:tcPr>
            <w:tcW w:w="939" w:type="dxa"/>
            <w:tcBorders>
              <w:top w:val="single" w:sz="4" w:space="0" w:color="auto"/>
              <w:left w:val="nil"/>
              <w:bottom w:val="single" w:sz="12" w:space="0" w:color="auto"/>
              <w:right w:val="nil"/>
            </w:tcBorders>
            <w:vAlign w:val="bottom"/>
          </w:tcPr>
          <w:p w14:paraId="7AD1518C" w14:textId="77777777" w:rsidR="008E44D3" w:rsidRPr="00701439" w:rsidRDefault="008E44D3" w:rsidP="008E44D3">
            <w:pPr>
              <w:jc w:val="right"/>
              <w:rPr>
                <w:rFonts w:asciiTheme="minorHAnsi" w:hAnsiTheme="minorHAnsi" w:cs="Arial"/>
                <w:sz w:val="20"/>
                <w:szCs w:val="20"/>
              </w:rPr>
            </w:pPr>
            <w:r w:rsidRPr="00701439">
              <w:rPr>
                <w:rFonts w:ascii="Calibri (Body)" w:hAnsi="Calibri (Body)" w:cs="Calibri"/>
                <w:color w:val="000000"/>
                <w:sz w:val="20"/>
                <w:szCs w:val="20"/>
              </w:rPr>
              <w:t>1.3</w:t>
            </w:r>
          </w:p>
        </w:tc>
        <w:tc>
          <w:tcPr>
            <w:tcW w:w="570" w:type="dxa"/>
            <w:tcBorders>
              <w:top w:val="single" w:sz="4" w:space="0" w:color="auto"/>
              <w:left w:val="nil"/>
              <w:bottom w:val="single" w:sz="12" w:space="0" w:color="auto"/>
              <w:right w:val="nil"/>
            </w:tcBorders>
          </w:tcPr>
          <w:p w14:paraId="4B324E96" w14:textId="77777777" w:rsidR="008E44D3" w:rsidRPr="00701439" w:rsidRDefault="008E44D3" w:rsidP="008E44D3">
            <w:pPr>
              <w:jc w:val="right"/>
              <w:rPr>
                <w:rFonts w:asciiTheme="minorHAnsi" w:hAnsiTheme="minorHAnsi" w:cs="Arial"/>
                <w:sz w:val="20"/>
                <w:szCs w:val="20"/>
              </w:rPr>
            </w:pPr>
            <w:r w:rsidRPr="00701439">
              <w:rPr>
                <w:rFonts w:asciiTheme="minorHAnsi" w:hAnsiTheme="minorHAnsi" w:cs="Arial"/>
                <w:sz w:val="20"/>
                <w:szCs w:val="20"/>
              </w:rPr>
              <w:t>-</w:t>
            </w:r>
          </w:p>
        </w:tc>
        <w:tc>
          <w:tcPr>
            <w:tcW w:w="719" w:type="dxa"/>
            <w:tcBorders>
              <w:top w:val="single" w:sz="4" w:space="0" w:color="auto"/>
              <w:left w:val="nil"/>
              <w:bottom w:val="single" w:sz="12" w:space="0" w:color="auto"/>
              <w:right w:val="nil"/>
            </w:tcBorders>
            <w:vAlign w:val="bottom"/>
          </w:tcPr>
          <w:p w14:paraId="63FDAB87" w14:textId="77777777" w:rsidR="008E44D3" w:rsidRPr="00701439" w:rsidRDefault="008E44D3" w:rsidP="008E44D3">
            <w:pPr>
              <w:jc w:val="right"/>
              <w:rPr>
                <w:rFonts w:asciiTheme="minorHAnsi" w:hAnsiTheme="minorHAnsi" w:cs="Arial"/>
                <w:sz w:val="20"/>
                <w:szCs w:val="20"/>
              </w:rPr>
            </w:pPr>
            <w:r w:rsidRPr="00701439">
              <w:rPr>
                <w:rFonts w:ascii="Calibri (Body)" w:hAnsi="Calibri (Body)" w:cs="Calibri"/>
                <w:color w:val="000000"/>
                <w:sz w:val="20"/>
                <w:szCs w:val="20"/>
              </w:rPr>
              <w:t>75.9</w:t>
            </w:r>
          </w:p>
        </w:tc>
        <w:tc>
          <w:tcPr>
            <w:tcW w:w="950" w:type="dxa"/>
            <w:tcBorders>
              <w:top w:val="single" w:sz="4" w:space="0" w:color="auto"/>
              <w:left w:val="nil"/>
              <w:bottom w:val="single" w:sz="12" w:space="0" w:color="auto"/>
              <w:right w:val="nil"/>
            </w:tcBorders>
            <w:vAlign w:val="bottom"/>
          </w:tcPr>
          <w:p w14:paraId="15AA4E7C" w14:textId="77777777" w:rsidR="008E44D3" w:rsidRPr="00701439" w:rsidRDefault="008E44D3" w:rsidP="008E44D3">
            <w:pPr>
              <w:jc w:val="right"/>
              <w:rPr>
                <w:rFonts w:asciiTheme="minorHAnsi" w:hAnsiTheme="minorHAnsi" w:cs="Arial"/>
                <w:sz w:val="20"/>
                <w:szCs w:val="20"/>
              </w:rPr>
            </w:pPr>
            <w:r w:rsidRPr="00701439">
              <w:rPr>
                <w:rFonts w:ascii="Calibri (Body)" w:hAnsi="Calibri (Body)" w:cs="Calibri"/>
                <w:color w:val="000000"/>
                <w:sz w:val="20"/>
                <w:szCs w:val="20"/>
              </w:rPr>
              <w:t>29.4</w:t>
            </w:r>
          </w:p>
        </w:tc>
        <w:tc>
          <w:tcPr>
            <w:tcW w:w="823" w:type="dxa"/>
            <w:tcBorders>
              <w:top w:val="single" w:sz="4" w:space="0" w:color="auto"/>
              <w:left w:val="nil"/>
              <w:bottom w:val="single" w:sz="12" w:space="0" w:color="auto"/>
              <w:right w:val="nil"/>
            </w:tcBorders>
            <w:vAlign w:val="bottom"/>
          </w:tcPr>
          <w:p w14:paraId="4191A8DD" w14:textId="77777777" w:rsidR="008E44D3" w:rsidRPr="00701439" w:rsidRDefault="008E44D3" w:rsidP="008E44D3">
            <w:pPr>
              <w:jc w:val="right"/>
              <w:rPr>
                <w:rFonts w:asciiTheme="minorHAnsi" w:hAnsiTheme="minorHAnsi" w:cs="Arial"/>
                <w:sz w:val="20"/>
                <w:szCs w:val="20"/>
              </w:rPr>
            </w:pPr>
            <w:r w:rsidRPr="00701439">
              <w:rPr>
                <w:rFonts w:asciiTheme="minorHAnsi" w:hAnsiTheme="minorHAnsi" w:cs="Arial"/>
                <w:sz w:val="20"/>
                <w:szCs w:val="20"/>
              </w:rPr>
              <w:t>32.4</w:t>
            </w:r>
          </w:p>
        </w:tc>
        <w:tc>
          <w:tcPr>
            <w:tcW w:w="923" w:type="dxa"/>
            <w:tcBorders>
              <w:top w:val="single" w:sz="4" w:space="0" w:color="auto"/>
              <w:left w:val="nil"/>
              <w:bottom w:val="single" w:sz="12" w:space="0" w:color="auto"/>
              <w:right w:val="nil"/>
            </w:tcBorders>
            <w:vAlign w:val="bottom"/>
          </w:tcPr>
          <w:p w14:paraId="0C07FA82" w14:textId="77777777" w:rsidR="008E44D3" w:rsidRPr="00701439" w:rsidRDefault="008E44D3" w:rsidP="008E44D3">
            <w:pPr>
              <w:jc w:val="right"/>
              <w:rPr>
                <w:rFonts w:asciiTheme="minorHAnsi" w:hAnsiTheme="minorHAnsi" w:cs="Arial"/>
                <w:sz w:val="20"/>
                <w:szCs w:val="20"/>
              </w:rPr>
            </w:pPr>
            <w:r w:rsidRPr="00701439">
              <w:rPr>
                <w:rFonts w:ascii="Calibri (Body)" w:hAnsi="Calibri (Body)" w:cs="Calibri"/>
                <w:color w:val="000000"/>
                <w:sz w:val="20"/>
                <w:szCs w:val="20"/>
              </w:rPr>
              <w:t>0.2</w:t>
            </w:r>
          </w:p>
        </w:tc>
        <w:tc>
          <w:tcPr>
            <w:tcW w:w="667" w:type="dxa"/>
            <w:tcBorders>
              <w:top w:val="single" w:sz="4" w:space="0" w:color="auto"/>
              <w:left w:val="nil"/>
              <w:bottom w:val="single" w:sz="12" w:space="0" w:color="auto"/>
              <w:right w:val="nil"/>
            </w:tcBorders>
          </w:tcPr>
          <w:p w14:paraId="292206FF" w14:textId="77777777" w:rsidR="008E44D3" w:rsidRPr="00701439" w:rsidRDefault="008E44D3" w:rsidP="008E44D3">
            <w:pPr>
              <w:jc w:val="right"/>
              <w:rPr>
                <w:rFonts w:asciiTheme="minorHAnsi" w:hAnsiTheme="minorHAnsi" w:cs="Arial"/>
                <w:sz w:val="20"/>
                <w:szCs w:val="20"/>
              </w:rPr>
            </w:pPr>
            <w:r w:rsidRPr="00701439">
              <w:rPr>
                <w:rFonts w:asciiTheme="minorHAnsi" w:hAnsiTheme="minorHAnsi" w:cs="Arial"/>
                <w:sz w:val="20"/>
                <w:szCs w:val="20"/>
              </w:rPr>
              <w:t>-</w:t>
            </w:r>
          </w:p>
        </w:tc>
        <w:tc>
          <w:tcPr>
            <w:tcW w:w="924" w:type="dxa"/>
            <w:tcBorders>
              <w:top w:val="single" w:sz="4" w:space="0" w:color="auto"/>
              <w:left w:val="nil"/>
              <w:bottom w:val="single" w:sz="12" w:space="0" w:color="auto"/>
              <w:right w:val="nil"/>
            </w:tcBorders>
          </w:tcPr>
          <w:p w14:paraId="19734034" w14:textId="77777777" w:rsidR="008E44D3" w:rsidRPr="00701439" w:rsidRDefault="008E44D3" w:rsidP="008E44D3">
            <w:pPr>
              <w:jc w:val="right"/>
              <w:rPr>
                <w:rFonts w:asciiTheme="minorHAnsi" w:hAnsiTheme="minorHAnsi" w:cs="Arial"/>
                <w:sz w:val="20"/>
                <w:szCs w:val="20"/>
              </w:rPr>
            </w:pPr>
            <w:r w:rsidRPr="00701439">
              <w:rPr>
                <w:rFonts w:asciiTheme="minorHAnsi" w:hAnsiTheme="minorHAnsi" w:cs="Arial"/>
                <w:sz w:val="20"/>
                <w:szCs w:val="20"/>
              </w:rPr>
              <w:t>62.0</w:t>
            </w:r>
          </w:p>
        </w:tc>
      </w:tr>
    </w:tbl>
    <w:p w14:paraId="655AB688" w14:textId="54423FFD" w:rsidR="00A3021A" w:rsidRPr="00701439" w:rsidRDefault="00A3021A" w:rsidP="00A3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bCs/>
          <w:sz w:val="20"/>
          <w:szCs w:val="20"/>
        </w:rPr>
      </w:pPr>
      <w:bookmarkStart w:id="23" w:name="_Hlk33168994"/>
    </w:p>
    <w:bookmarkEnd w:id="21"/>
    <w:bookmarkEnd w:id="22"/>
    <w:bookmarkEnd w:id="23"/>
    <w:p w14:paraId="480C2081" w14:textId="77777777" w:rsidR="008E44D3" w:rsidRPr="00701439" w:rsidRDefault="008E44D3" w:rsidP="00A3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sz w:val="20"/>
          <w:szCs w:val="20"/>
        </w:rPr>
      </w:pPr>
    </w:p>
    <w:p w14:paraId="644A01DC" w14:textId="5A969F4B" w:rsidR="008E44D3" w:rsidRPr="00701439" w:rsidRDefault="005059A5" w:rsidP="00A3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sz w:val="20"/>
          <w:szCs w:val="20"/>
        </w:rPr>
      </w:pPr>
      <w:r w:rsidRPr="00701439">
        <w:rPr>
          <w:rFonts w:asciiTheme="minorHAnsi" w:hAnsiTheme="minorHAnsi" w:cs="Arial"/>
          <w:bCs/>
          <w:sz w:val="20"/>
          <w:szCs w:val="20"/>
        </w:rPr>
        <w:t xml:space="preserve">A breakdown of the in-model and post-model </w:t>
      </w:r>
      <w:r w:rsidR="00992392" w:rsidRPr="00701439">
        <w:rPr>
          <w:rFonts w:asciiTheme="minorHAnsi" w:hAnsiTheme="minorHAnsi" w:cs="Arial"/>
          <w:bCs/>
          <w:sz w:val="20"/>
          <w:szCs w:val="20"/>
        </w:rPr>
        <w:t>overlays</w:t>
      </w:r>
      <w:r w:rsidRPr="00701439">
        <w:rPr>
          <w:rFonts w:asciiTheme="minorHAnsi" w:hAnsiTheme="minorHAnsi" w:cs="Arial"/>
          <w:bCs/>
          <w:sz w:val="20"/>
          <w:szCs w:val="20"/>
        </w:rPr>
        <w:t xml:space="preserve"> for credit cards is shown below:</w:t>
      </w:r>
    </w:p>
    <w:p w14:paraId="6DE36503" w14:textId="43E01DE7" w:rsidR="00A3021A" w:rsidRPr="00701439" w:rsidRDefault="00A3021A" w:rsidP="00A3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bCs/>
          <w:sz w:val="20"/>
          <w:szCs w:val="20"/>
        </w:rPr>
      </w:pPr>
    </w:p>
    <w:p w14:paraId="47A724BE" w14:textId="77777777" w:rsidR="00A3021A" w:rsidRPr="00701439" w:rsidRDefault="00A3021A" w:rsidP="00A3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b/>
          <w:sz w:val="20"/>
          <w:szCs w:val="20"/>
        </w:rPr>
      </w:pPr>
    </w:p>
    <w:tbl>
      <w:tblPr>
        <w:tblW w:w="5000" w:type="pct"/>
        <w:tblLook w:val="04A0" w:firstRow="1" w:lastRow="0" w:firstColumn="1" w:lastColumn="0" w:noHBand="0" w:noVBand="1"/>
      </w:tblPr>
      <w:tblGrid>
        <w:gridCol w:w="3820"/>
        <w:gridCol w:w="1181"/>
        <w:gridCol w:w="1181"/>
        <w:gridCol w:w="1181"/>
        <w:gridCol w:w="1180"/>
        <w:gridCol w:w="1180"/>
      </w:tblGrid>
      <w:tr w:rsidR="00DC4E49" w:rsidRPr="00701439" w14:paraId="244462C1" w14:textId="77777777" w:rsidTr="0002541E">
        <w:trPr>
          <w:trHeight w:val="300"/>
        </w:trPr>
        <w:tc>
          <w:tcPr>
            <w:tcW w:w="1964" w:type="pct"/>
            <w:tcBorders>
              <w:top w:val="nil"/>
              <w:left w:val="nil"/>
              <w:right w:val="nil"/>
            </w:tcBorders>
            <w:shd w:val="clear" w:color="auto" w:fill="auto"/>
            <w:noWrap/>
            <w:vAlign w:val="bottom"/>
            <w:hideMark/>
          </w:tcPr>
          <w:p w14:paraId="7B13D8B1" w14:textId="11E0C24B" w:rsidR="00DC4E49" w:rsidRPr="00701439" w:rsidRDefault="005F5D19">
            <w:pPr>
              <w:rPr>
                <w:rFonts w:asciiTheme="minorHAnsi" w:hAnsiTheme="minorHAnsi" w:cstheme="minorHAnsi"/>
                <w:b/>
                <w:color w:val="000000"/>
                <w:sz w:val="20"/>
                <w:szCs w:val="20"/>
              </w:rPr>
            </w:pPr>
            <w:r w:rsidRPr="00701439">
              <w:rPr>
                <w:rFonts w:asciiTheme="minorHAnsi" w:hAnsiTheme="minorHAnsi" w:cstheme="minorHAnsi"/>
                <w:b/>
                <w:color w:val="000000"/>
                <w:sz w:val="20"/>
                <w:szCs w:val="20"/>
              </w:rPr>
              <w:t>Credit Cards</w:t>
            </w:r>
          </w:p>
        </w:tc>
        <w:tc>
          <w:tcPr>
            <w:tcW w:w="607" w:type="pct"/>
            <w:tcBorders>
              <w:top w:val="nil"/>
              <w:left w:val="nil"/>
              <w:right w:val="nil"/>
            </w:tcBorders>
            <w:shd w:val="clear" w:color="auto" w:fill="auto"/>
            <w:noWrap/>
            <w:vAlign w:val="bottom"/>
            <w:hideMark/>
          </w:tcPr>
          <w:p w14:paraId="436D00E7" w14:textId="77777777" w:rsidR="00DC4E49" w:rsidRPr="00701439" w:rsidRDefault="00DC4E49">
            <w:pPr>
              <w:rPr>
                <w:rFonts w:asciiTheme="minorHAnsi" w:hAnsiTheme="minorHAnsi" w:cstheme="minorHAnsi"/>
                <w:b/>
                <w:bCs/>
                <w:color w:val="000000"/>
                <w:sz w:val="20"/>
                <w:szCs w:val="20"/>
              </w:rPr>
            </w:pPr>
            <w:r w:rsidRPr="00701439">
              <w:rPr>
                <w:rFonts w:asciiTheme="minorHAnsi" w:hAnsiTheme="minorHAnsi" w:cstheme="minorHAnsi"/>
                <w:b/>
                <w:bCs/>
                <w:color w:val="000000"/>
                <w:sz w:val="20"/>
                <w:szCs w:val="20"/>
              </w:rPr>
              <w:t> </w:t>
            </w:r>
          </w:p>
        </w:tc>
        <w:tc>
          <w:tcPr>
            <w:tcW w:w="607" w:type="pct"/>
            <w:tcBorders>
              <w:top w:val="nil"/>
              <w:left w:val="nil"/>
              <w:right w:val="nil"/>
            </w:tcBorders>
            <w:shd w:val="clear" w:color="auto" w:fill="auto"/>
            <w:noWrap/>
            <w:vAlign w:val="bottom"/>
            <w:hideMark/>
          </w:tcPr>
          <w:p w14:paraId="47C86879" w14:textId="77777777" w:rsidR="00DC4E49" w:rsidRPr="00701439" w:rsidRDefault="00DC4E49">
            <w:pPr>
              <w:rPr>
                <w:rFonts w:asciiTheme="minorHAnsi" w:hAnsiTheme="minorHAnsi" w:cstheme="minorHAnsi"/>
                <w:b/>
                <w:bCs/>
                <w:color w:val="000000"/>
                <w:sz w:val="20"/>
                <w:szCs w:val="20"/>
              </w:rPr>
            </w:pPr>
            <w:r w:rsidRPr="00701439">
              <w:rPr>
                <w:rFonts w:asciiTheme="minorHAnsi" w:hAnsiTheme="minorHAnsi" w:cstheme="minorHAnsi"/>
                <w:b/>
                <w:bCs/>
                <w:color w:val="000000"/>
                <w:sz w:val="20"/>
                <w:szCs w:val="20"/>
              </w:rPr>
              <w:t> </w:t>
            </w:r>
          </w:p>
        </w:tc>
        <w:tc>
          <w:tcPr>
            <w:tcW w:w="607" w:type="pct"/>
            <w:tcBorders>
              <w:top w:val="nil"/>
              <w:left w:val="nil"/>
              <w:right w:val="nil"/>
            </w:tcBorders>
            <w:shd w:val="clear" w:color="auto" w:fill="auto"/>
            <w:noWrap/>
            <w:vAlign w:val="bottom"/>
            <w:hideMark/>
          </w:tcPr>
          <w:p w14:paraId="6E5CB987" w14:textId="77777777" w:rsidR="00DC4E49" w:rsidRPr="00701439" w:rsidRDefault="00DC4E49">
            <w:pPr>
              <w:rPr>
                <w:rFonts w:asciiTheme="minorHAnsi" w:hAnsiTheme="minorHAnsi" w:cstheme="minorHAnsi"/>
                <w:b/>
                <w:bCs/>
                <w:color w:val="000000"/>
                <w:sz w:val="20"/>
                <w:szCs w:val="20"/>
              </w:rPr>
            </w:pPr>
            <w:r w:rsidRPr="00701439">
              <w:rPr>
                <w:rFonts w:asciiTheme="minorHAnsi" w:hAnsiTheme="minorHAnsi" w:cstheme="minorHAnsi"/>
                <w:b/>
                <w:bCs/>
                <w:color w:val="000000"/>
                <w:sz w:val="20"/>
                <w:szCs w:val="20"/>
              </w:rPr>
              <w:t> </w:t>
            </w:r>
          </w:p>
        </w:tc>
        <w:tc>
          <w:tcPr>
            <w:tcW w:w="607" w:type="pct"/>
            <w:tcBorders>
              <w:top w:val="nil"/>
              <w:left w:val="nil"/>
              <w:bottom w:val="single" w:sz="4" w:space="0" w:color="auto"/>
              <w:right w:val="nil"/>
            </w:tcBorders>
            <w:shd w:val="clear" w:color="auto" w:fill="auto"/>
            <w:noWrap/>
            <w:vAlign w:val="bottom"/>
            <w:hideMark/>
          </w:tcPr>
          <w:p w14:paraId="290089DC" w14:textId="77777777" w:rsidR="00DC4E49" w:rsidRPr="00701439" w:rsidRDefault="00DC4E49">
            <w:pPr>
              <w:jc w:val="right"/>
              <w:rPr>
                <w:rFonts w:asciiTheme="minorHAnsi" w:hAnsiTheme="minorHAnsi" w:cstheme="minorHAnsi"/>
                <w:color w:val="000000"/>
                <w:sz w:val="20"/>
                <w:szCs w:val="20"/>
              </w:rPr>
            </w:pPr>
            <w:r w:rsidRPr="00701439">
              <w:rPr>
                <w:rFonts w:asciiTheme="minorHAnsi" w:hAnsiTheme="minorHAnsi" w:cstheme="minorHAnsi"/>
                <w:color w:val="000000"/>
                <w:sz w:val="20"/>
                <w:szCs w:val="20"/>
              </w:rPr>
              <w:t>2022</w:t>
            </w:r>
          </w:p>
          <w:p w14:paraId="76466C7F" w14:textId="217D21AE" w:rsidR="00CC7D45" w:rsidRPr="00701439" w:rsidRDefault="00CC7D45">
            <w:pPr>
              <w:jc w:val="right"/>
              <w:rPr>
                <w:rFonts w:asciiTheme="minorHAnsi" w:hAnsiTheme="minorHAnsi" w:cstheme="minorHAnsi"/>
                <w:color w:val="000000"/>
                <w:sz w:val="20"/>
                <w:szCs w:val="20"/>
              </w:rPr>
            </w:pPr>
            <w:r w:rsidRPr="00701439">
              <w:rPr>
                <w:rFonts w:asciiTheme="minorHAnsi" w:hAnsiTheme="minorHAnsi" w:cs="Arial"/>
                <w:sz w:val="20"/>
                <w:szCs w:val="20"/>
              </w:rPr>
              <w:t>£m </w:t>
            </w:r>
          </w:p>
        </w:tc>
        <w:tc>
          <w:tcPr>
            <w:tcW w:w="607" w:type="pct"/>
            <w:tcBorders>
              <w:top w:val="nil"/>
              <w:left w:val="nil"/>
              <w:bottom w:val="single" w:sz="4" w:space="0" w:color="auto"/>
              <w:right w:val="nil"/>
            </w:tcBorders>
            <w:shd w:val="clear" w:color="auto" w:fill="auto"/>
            <w:noWrap/>
            <w:vAlign w:val="bottom"/>
            <w:hideMark/>
          </w:tcPr>
          <w:p w14:paraId="62EA8D78" w14:textId="77777777" w:rsidR="00DC4E49" w:rsidRPr="00701439" w:rsidRDefault="00DC4E49">
            <w:pPr>
              <w:jc w:val="right"/>
              <w:rPr>
                <w:rFonts w:asciiTheme="minorHAnsi" w:hAnsiTheme="minorHAnsi" w:cstheme="minorHAnsi"/>
                <w:color w:val="000000"/>
                <w:sz w:val="20"/>
                <w:szCs w:val="20"/>
              </w:rPr>
            </w:pPr>
            <w:r w:rsidRPr="00701439">
              <w:rPr>
                <w:rFonts w:asciiTheme="minorHAnsi" w:hAnsiTheme="minorHAnsi" w:cstheme="minorHAnsi"/>
                <w:color w:val="000000"/>
                <w:sz w:val="20"/>
                <w:szCs w:val="20"/>
              </w:rPr>
              <w:t>2021</w:t>
            </w:r>
          </w:p>
          <w:p w14:paraId="06BD391B" w14:textId="48E0AFB0" w:rsidR="00CC7D45" w:rsidRPr="00701439" w:rsidRDefault="00CC7D45">
            <w:pPr>
              <w:jc w:val="right"/>
              <w:rPr>
                <w:rFonts w:asciiTheme="minorHAnsi" w:hAnsiTheme="minorHAnsi" w:cstheme="minorHAnsi"/>
                <w:color w:val="000000"/>
                <w:sz w:val="20"/>
                <w:szCs w:val="20"/>
              </w:rPr>
            </w:pPr>
            <w:r w:rsidRPr="00701439">
              <w:rPr>
                <w:rFonts w:asciiTheme="minorHAnsi" w:hAnsiTheme="minorHAnsi" w:cs="Arial"/>
                <w:sz w:val="20"/>
                <w:szCs w:val="20"/>
              </w:rPr>
              <w:t>£m </w:t>
            </w:r>
          </w:p>
        </w:tc>
      </w:tr>
      <w:tr w:rsidR="00961CC2" w:rsidRPr="00701439" w14:paraId="333D05C2" w14:textId="77777777" w:rsidTr="0002541E">
        <w:trPr>
          <w:trHeight w:val="300"/>
        </w:trPr>
        <w:tc>
          <w:tcPr>
            <w:tcW w:w="1964" w:type="pct"/>
            <w:tcBorders>
              <w:left w:val="nil"/>
              <w:bottom w:val="nil"/>
              <w:right w:val="nil"/>
            </w:tcBorders>
            <w:shd w:val="clear" w:color="auto" w:fill="auto"/>
            <w:noWrap/>
            <w:vAlign w:val="bottom"/>
            <w:hideMark/>
          </w:tcPr>
          <w:p w14:paraId="6E8D4473" w14:textId="07E80807" w:rsidR="00961CC2" w:rsidRPr="00701439" w:rsidRDefault="00961CC2" w:rsidP="00961CC2">
            <w:pPr>
              <w:rPr>
                <w:rFonts w:asciiTheme="minorHAnsi" w:hAnsiTheme="minorHAnsi" w:cstheme="minorHAnsi"/>
                <w:color w:val="000000"/>
                <w:sz w:val="20"/>
                <w:szCs w:val="20"/>
              </w:rPr>
            </w:pPr>
            <w:r w:rsidRPr="00701439">
              <w:rPr>
                <w:rFonts w:asciiTheme="minorHAnsi" w:hAnsiTheme="minorHAnsi" w:cstheme="minorHAnsi"/>
                <w:color w:val="000000"/>
                <w:sz w:val="20"/>
                <w:szCs w:val="20"/>
              </w:rPr>
              <w:t xml:space="preserve">Core </w:t>
            </w:r>
            <w:r w:rsidR="00C2372C" w:rsidRPr="00701439">
              <w:rPr>
                <w:rFonts w:asciiTheme="minorHAnsi" w:hAnsiTheme="minorHAnsi" w:cstheme="minorHAnsi"/>
                <w:color w:val="000000"/>
                <w:sz w:val="20"/>
                <w:szCs w:val="20"/>
              </w:rPr>
              <w:t>m</w:t>
            </w:r>
            <w:r w:rsidRPr="00701439">
              <w:rPr>
                <w:rFonts w:asciiTheme="minorHAnsi" w:hAnsiTheme="minorHAnsi" w:cstheme="minorHAnsi"/>
                <w:color w:val="000000"/>
                <w:sz w:val="20"/>
                <w:szCs w:val="20"/>
              </w:rPr>
              <w:t>odel</w:t>
            </w:r>
          </w:p>
        </w:tc>
        <w:tc>
          <w:tcPr>
            <w:tcW w:w="607" w:type="pct"/>
            <w:tcBorders>
              <w:left w:val="nil"/>
              <w:bottom w:val="nil"/>
              <w:right w:val="nil"/>
            </w:tcBorders>
            <w:shd w:val="clear" w:color="auto" w:fill="auto"/>
            <w:noWrap/>
            <w:vAlign w:val="bottom"/>
          </w:tcPr>
          <w:p w14:paraId="3C87F4C7" w14:textId="1ABE0606" w:rsidR="00961CC2" w:rsidRPr="00701439" w:rsidRDefault="00961CC2" w:rsidP="00961CC2">
            <w:pPr>
              <w:rPr>
                <w:rFonts w:asciiTheme="minorHAnsi" w:hAnsiTheme="minorHAnsi" w:cstheme="minorHAnsi"/>
                <w:color w:val="000000"/>
                <w:sz w:val="20"/>
                <w:szCs w:val="20"/>
              </w:rPr>
            </w:pPr>
          </w:p>
        </w:tc>
        <w:tc>
          <w:tcPr>
            <w:tcW w:w="607" w:type="pct"/>
            <w:tcBorders>
              <w:left w:val="nil"/>
              <w:bottom w:val="nil"/>
              <w:right w:val="nil"/>
            </w:tcBorders>
            <w:shd w:val="clear" w:color="auto" w:fill="auto"/>
            <w:noWrap/>
            <w:vAlign w:val="bottom"/>
            <w:hideMark/>
          </w:tcPr>
          <w:p w14:paraId="46C639A7" w14:textId="77777777" w:rsidR="00961CC2" w:rsidRPr="00701439" w:rsidRDefault="00961CC2" w:rsidP="00961CC2">
            <w:pPr>
              <w:rPr>
                <w:rFonts w:asciiTheme="minorHAnsi" w:hAnsiTheme="minorHAnsi" w:cstheme="minorHAnsi"/>
                <w:sz w:val="20"/>
                <w:szCs w:val="20"/>
              </w:rPr>
            </w:pPr>
          </w:p>
        </w:tc>
        <w:tc>
          <w:tcPr>
            <w:tcW w:w="607" w:type="pct"/>
            <w:tcBorders>
              <w:left w:val="nil"/>
              <w:bottom w:val="nil"/>
              <w:right w:val="nil"/>
            </w:tcBorders>
            <w:shd w:val="clear" w:color="auto" w:fill="auto"/>
            <w:noWrap/>
            <w:vAlign w:val="bottom"/>
            <w:hideMark/>
          </w:tcPr>
          <w:p w14:paraId="3D9EA0D2" w14:textId="77777777" w:rsidR="00961CC2" w:rsidRPr="00701439" w:rsidRDefault="00961CC2" w:rsidP="00961CC2">
            <w:pPr>
              <w:rPr>
                <w:rFonts w:asciiTheme="minorHAnsi" w:hAnsiTheme="minorHAnsi" w:cstheme="minorHAnsi"/>
                <w:sz w:val="20"/>
                <w:szCs w:val="20"/>
              </w:rPr>
            </w:pPr>
          </w:p>
        </w:tc>
        <w:tc>
          <w:tcPr>
            <w:tcW w:w="607" w:type="pct"/>
            <w:tcBorders>
              <w:top w:val="single" w:sz="4" w:space="0" w:color="auto"/>
              <w:left w:val="nil"/>
              <w:bottom w:val="nil"/>
              <w:right w:val="nil"/>
            </w:tcBorders>
            <w:shd w:val="clear" w:color="auto" w:fill="auto"/>
            <w:noWrap/>
            <w:vAlign w:val="bottom"/>
            <w:hideMark/>
          </w:tcPr>
          <w:p w14:paraId="098C7A60" w14:textId="735C53C9" w:rsidR="00961CC2" w:rsidRPr="00701439" w:rsidRDefault="00961CC2" w:rsidP="00961CC2">
            <w:pPr>
              <w:jc w:val="right"/>
              <w:rPr>
                <w:rFonts w:asciiTheme="minorHAnsi" w:hAnsiTheme="minorHAnsi" w:cstheme="minorHAnsi"/>
                <w:color w:val="000000"/>
                <w:sz w:val="20"/>
                <w:szCs w:val="20"/>
              </w:rPr>
            </w:pPr>
            <w:r w:rsidRPr="00701439">
              <w:rPr>
                <w:rFonts w:asciiTheme="minorHAnsi" w:hAnsiTheme="minorHAnsi" w:cstheme="minorHAnsi"/>
                <w:color w:val="000000"/>
                <w:sz w:val="20"/>
                <w:szCs w:val="20"/>
              </w:rPr>
              <w:t>254.1</w:t>
            </w:r>
          </w:p>
        </w:tc>
        <w:tc>
          <w:tcPr>
            <w:tcW w:w="607" w:type="pct"/>
            <w:tcBorders>
              <w:top w:val="single" w:sz="4" w:space="0" w:color="auto"/>
              <w:left w:val="nil"/>
              <w:bottom w:val="nil"/>
              <w:right w:val="nil"/>
            </w:tcBorders>
            <w:shd w:val="clear" w:color="auto" w:fill="auto"/>
            <w:noWrap/>
            <w:vAlign w:val="bottom"/>
            <w:hideMark/>
          </w:tcPr>
          <w:p w14:paraId="6D3F5F6F" w14:textId="04BF8305" w:rsidR="00961CC2" w:rsidRPr="00701439" w:rsidRDefault="00961CC2" w:rsidP="00961CC2">
            <w:pPr>
              <w:jc w:val="right"/>
              <w:rPr>
                <w:rFonts w:asciiTheme="minorHAnsi" w:hAnsiTheme="minorHAnsi" w:cstheme="minorHAnsi"/>
                <w:color w:val="000000"/>
                <w:sz w:val="20"/>
                <w:szCs w:val="20"/>
              </w:rPr>
            </w:pPr>
            <w:r w:rsidRPr="00701439">
              <w:rPr>
                <w:rFonts w:asciiTheme="minorHAnsi" w:hAnsiTheme="minorHAnsi" w:cstheme="minorHAnsi"/>
                <w:color w:val="000000"/>
                <w:sz w:val="20"/>
                <w:szCs w:val="20"/>
              </w:rPr>
              <w:t>299.8</w:t>
            </w:r>
          </w:p>
        </w:tc>
      </w:tr>
      <w:tr w:rsidR="00961CC2" w:rsidRPr="00701439" w14:paraId="7827433C" w14:textId="77777777" w:rsidTr="00C771AE">
        <w:trPr>
          <w:trHeight w:val="288"/>
        </w:trPr>
        <w:tc>
          <w:tcPr>
            <w:tcW w:w="1964" w:type="pct"/>
            <w:tcBorders>
              <w:top w:val="nil"/>
              <w:left w:val="nil"/>
              <w:bottom w:val="nil"/>
              <w:right w:val="nil"/>
            </w:tcBorders>
            <w:shd w:val="clear" w:color="auto" w:fill="auto"/>
            <w:noWrap/>
            <w:vAlign w:val="bottom"/>
            <w:hideMark/>
          </w:tcPr>
          <w:p w14:paraId="4712B4A0" w14:textId="361D3335" w:rsidR="00961CC2" w:rsidRPr="00701439" w:rsidRDefault="00961CC2" w:rsidP="00961CC2">
            <w:pPr>
              <w:rPr>
                <w:rFonts w:asciiTheme="minorHAnsi" w:hAnsiTheme="minorHAnsi" w:cstheme="minorHAnsi"/>
                <w:color w:val="000000"/>
                <w:sz w:val="20"/>
                <w:szCs w:val="20"/>
              </w:rPr>
            </w:pPr>
            <w:r w:rsidRPr="00701439">
              <w:rPr>
                <w:rFonts w:asciiTheme="minorHAnsi" w:hAnsiTheme="minorHAnsi" w:cstheme="minorHAnsi"/>
                <w:color w:val="000000"/>
                <w:sz w:val="20"/>
                <w:szCs w:val="20"/>
              </w:rPr>
              <w:t>In-</w:t>
            </w:r>
            <w:r w:rsidR="00C2372C" w:rsidRPr="00701439">
              <w:rPr>
                <w:rFonts w:asciiTheme="minorHAnsi" w:hAnsiTheme="minorHAnsi" w:cstheme="minorHAnsi"/>
                <w:color w:val="000000"/>
                <w:sz w:val="20"/>
                <w:szCs w:val="20"/>
              </w:rPr>
              <w:t>m</w:t>
            </w:r>
            <w:r w:rsidRPr="00701439">
              <w:rPr>
                <w:rFonts w:asciiTheme="minorHAnsi" w:hAnsiTheme="minorHAnsi" w:cstheme="minorHAnsi"/>
                <w:color w:val="000000"/>
                <w:sz w:val="20"/>
                <w:szCs w:val="20"/>
              </w:rPr>
              <w:t xml:space="preserve">odel </w:t>
            </w:r>
            <w:r w:rsidR="00992392" w:rsidRPr="00701439">
              <w:rPr>
                <w:rFonts w:asciiTheme="minorHAnsi" w:hAnsiTheme="minorHAnsi" w:cstheme="minorHAnsi"/>
                <w:color w:val="000000"/>
                <w:sz w:val="20"/>
                <w:szCs w:val="20"/>
              </w:rPr>
              <w:t>overlays</w:t>
            </w:r>
          </w:p>
        </w:tc>
        <w:tc>
          <w:tcPr>
            <w:tcW w:w="607" w:type="pct"/>
            <w:tcBorders>
              <w:top w:val="nil"/>
              <w:left w:val="nil"/>
              <w:bottom w:val="nil"/>
              <w:right w:val="nil"/>
            </w:tcBorders>
            <w:shd w:val="clear" w:color="auto" w:fill="auto"/>
            <w:noWrap/>
            <w:vAlign w:val="bottom"/>
          </w:tcPr>
          <w:p w14:paraId="33A82D1A" w14:textId="06F9E3AF" w:rsidR="00961CC2" w:rsidRPr="00701439" w:rsidRDefault="00961CC2" w:rsidP="00961CC2">
            <w:pPr>
              <w:rPr>
                <w:rFonts w:asciiTheme="minorHAnsi" w:hAnsiTheme="minorHAnsi" w:cstheme="minorHAnsi"/>
                <w:color w:val="000000"/>
                <w:sz w:val="20"/>
                <w:szCs w:val="20"/>
              </w:rPr>
            </w:pPr>
          </w:p>
        </w:tc>
        <w:tc>
          <w:tcPr>
            <w:tcW w:w="607" w:type="pct"/>
            <w:tcBorders>
              <w:top w:val="nil"/>
              <w:left w:val="nil"/>
              <w:bottom w:val="nil"/>
              <w:right w:val="nil"/>
            </w:tcBorders>
            <w:shd w:val="clear" w:color="auto" w:fill="auto"/>
            <w:noWrap/>
            <w:vAlign w:val="bottom"/>
            <w:hideMark/>
          </w:tcPr>
          <w:p w14:paraId="55D70327" w14:textId="77777777" w:rsidR="00961CC2" w:rsidRPr="00701439" w:rsidRDefault="00961CC2" w:rsidP="00961CC2">
            <w:pPr>
              <w:rPr>
                <w:rFonts w:asciiTheme="minorHAnsi" w:hAnsiTheme="minorHAnsi" w:cstheme="minorHAnsi"/>
                <w:sz w:val="20"/>
                <w:szCs w:val="20"/>
              </w:rPr>
            </w:pPr>
          </w:p>
        </w:tc>
        <w:tc>
          <w:tcPr>
            <w:tcW w:w="607" w:type="pct"/>
            <w:tcBorders>
              <w:top w:val="nil"/>
              <w:left w:val="nil"/>
              <w:bottom w:val="nil"/>
              <w:right w:val="nil"/>
            </w:tcBorders>
            <w:shd w:val="clear" w:color="auto" w:fill="auto"/>
            <w:noWrap/>
            <w:vAlign w:val="bottom"/>
            <w:hideMark/>
          </w:tcPr>
          <w:p w14:paraId="34A0DEAA" w14:textId="77777777" w:rsidR="00961CC2" w:rsidRPr="00701439" w:rsidRDefault="00961CC2" w:rsidP="00961CC2">
            <w:pPr>
              <w:rPr>
                <w:rFonts w:asciiTheme="minorHAnsi" w:hAnsiTheme="minorHAnsi" w:cstheme="minorHAnsi"/>
                <w:sz w:val="20"/>
                <w:szCs w:val="20"/>
              </w:rPr>
            </w:pPr>
          </w:p>
        </w:tc>
        <w:tc>
          <w:tcPr>
            <w:tcW w:w="607" w:type="pct"/>
            <w:tcBorders>
              <w:top w:val="nil"/>
              <w:left w:val="nil"/>
              <w:bottom w:val="nil"/>
              <w:right w:val="nil"/>
            </w:tcBorders>
            <w:shd w:val="clear" w:color="auto" w:fill="auto"/>
            <w:noWrap/>
            <w:vAlign w:val="bottom"/>
            <w:hideMark/>
          </w:tcPr>
          <w:p w14:paraId="1A8ADE07" w14:textId="150C9313" w:rsidR="00961CC2" w:rsidRPr="00701439" w:rsidRDefault="00961CC2" w:rsidP="00961CC2">
            <w:pPr>
              <w:jc w:val="right"/>
              <w:rPr>
                <w:rFonts w:asciiTheme="minorHAnsi" w:hAnsiTheme="minorHAnsi" w:cstheme="minorHAnsi"/>
                <w:color w:val="000000"/>
                <w:sz w:val="20"/>
                <w:szCs w:val="20"/>
              </w:rPr>
            </w:pPr>
            <w:r w:rsidRPr="00701439">
              <w:rPr>
                <w:rFonts w:asciiTheme="minorHAnsi" w:hAnsiTheme="minorHAnsi" w:cstheme="minorHAnsi"/>
                <w:color w:val="000000"/>
                <w:sz w:val="20"/>
                <w:szCs w:val="20"/>
              </w:rPr>
              <w:t>-</w:t>
            </w:r>
          </w:p>
        </w:tc>
        <w:tc>
          <w:tcPr>
            <w:tcW w:w="607" w:type="pct"/>
            <w:tcBorders>
              <w:top w:val="nil"/>
              <w:left w:val="nil"/>
              <w:bottom w:val="nil"/>
              <w:right w:val="nil"/>
            </w:tcBorders>
            <w:shd w:val="clear" w:color="auto" w:fill="auto"/>
            <w:noWrap/>
            <w:vAlign w:val="bottom"/>
            <w:hideMark/>
          </w:tcPr>
          <w:p w14:paraId="5C7463D8" w14:textId="42120C9D" w:rsidR="00961CC2" w:rsidRPr="00701439" w:rsidRDefault="00961CC2" w:rsidP="00961CC2">
            <w:pPr>
              <w:jc w:val="right"/>
              <w:rPr>
                <w:rFonts w:asciiTheme="minorHAnsi" w:hAnsiTheme="minorHAnsi" w:cstheme="minorHAnsi"/>
                <w:color w:val="000000"/>
                <w:sz w:val="20"/>
                <w:szCs w:val="20"/>
              </w:rPr>
            </w:pPr>
            <w:r w:rsidRPr="00701439">
              <w:rPr>
                <w:rFonts w:asciiTheme="minorHAnsi" w:hAnsiTheme="minorHAnsi" w:cstheme="minorHAnsi"/>
                <w:color w:val="000000"/>
                <w:sz w:val="20"/>
                <w:szCs w:val="20"/>
              </w:rPr>
              <w:t>27.9</w:t>
            </w:r>
          </w:p>
        </w:tc>
      </w:tr>
      <w:tr w:rsidR="00961CC2" w:rsidRPr="00701439" w14:paraId="07D08754" w14:textId="77777777" w:rsidTr="00C771AE">
        <w:trPr>
          <w:trHeight w:val="288"/>
        </w:trPr>
        <w:tc>
          <w:tcPr>
            <w:tcW w:w="1964" w:type="pct"/>
            <w:tcBorders>
              <w:top w:val="nil"/>
              <w:left w:val="nil"/>
              <w:bottom w:val="nil"/>
              <w:right w:val="nil"/>
            </w:tcBorders>
            <w:shd w:val="clear" w:color="auto" w:fill="auto"/>
            <w:noWrap/>
            <w:vAlign w:val="bottom"/>
            <w:hideMark/>
          </w:tcPr>
          <w:p w14:paraId="154B58F9" w14:textId="0CB29FCE" w:rsidR="00961CC2" w:rsidRPr="00701439" w:rsidRDefault="00961CC2" w:rsidP="00961CC2">
            <w:pPr>
              <w:rPr>
                <w:rFonts w:asciiTheme="minorHAnsi" w:hAnsiTheme="minorHAnsi" w:cstheme="minorHAnsi"/>
                <w:color w:val="000000"/>
                <w:sz w:val="20"/>
                <w:szCs w:val="20"/>
              </w:rPr>
            </w:pPr>
            <w:r w:rsidRPr="00701439">
              <w:rPr>
                <w:rFonts w:asciiTheme="minorHAnsi" w:hAnsiTheme="minorHAnsi" w:cstheme="minorHAnsi"/>
                <w:color w:val="000000"/>
                <w:sz w:val="20"/>
                <w:szCs w:val="20"/>
              </w:rPr>
              <w:t>Post</w:t>
            </w:r>
            <w:r w:rsidR="008A0736" w:rsidRPr="00701439">
              <w:rPr>
                <w:rFonts w:asciiTheme="minorHAnsi" w:hAnsiTheme="minorHAnsi" w:cstheme="minorHAnsi"/>
                <w:color w:val="000000"/>
                <w:sz w:val="20"/>
                <w:szCs w:val="20"/>
              </w:rPr>
              <w:t>-</w:t>
            </w:r>
            <w:r w:rsidR="00C2372C" w:rsidRPr="00701439">
              <w:rPr>
                <w:rFonts w:asciiTheme="minorHAnsi" w:hAnsiTheme="minorHAnsi" w:cstheme="minorHAnsi"/>
                <w:color w:val="000000"/>
                <w:sz w:val="20"/>
                <w:szCs w:val="20"/>
              </w:rPr>
              <w:t>m</w:t>
            </w:r>
            <w:r w:rsidRPr="00701439">
              <w:rPr>
                <w:rFonts w:asciiTheme="minorHAnsi" w:hAnsiTheme="minorHAnsi" w:cstheme="minorHAnsi"/>
                <w:color w:val="000000"/>
                <w:sz w:val="20"/>
                <w:szCs w:val="20"/>
              </w:rPr>
              <w:t xml:space="preserve">odel </w:t>
            </w:r>
            <w:r w:rsidR="00992392" w:rsidRPr="00701439">
              <w:rPr>
                <w:rFonts w:asciiTheme="minorHAnsi" w:hAnsiTheme="minorHAnsi" w:cstheme="minorHAnsi"/>
                <w:color w:val="000000"/>
                <w:sz w:val="20"/>
                <w:szCs w:val="20"/>
              </w:rPr>
              <w:t>overlays</w:t>
            </w:r>
          </w:p>
        </w:tc>
        <w:tc>
          <w:tcPr>
            <w:tcW w:w="607" w:type="pct"/>
            <w:tcBorders>
              <w:top w:val="nil"/>
              <w:left w:val="nil"/>
              <w:bottom w:val="nil"/>
              <w:right w:val="nil"/>
            </w:tcBorders>
            <w:shd w:val="clear" w:color="auto" w:fill="auto"/>
            <w:noWrap/>
            <w:vAlign w:val="bottom"/>
          </w:tcPr>
          <w:p w14:paraId="06A10BD2" w14:textId="3BA05956" w:rsidR="00961CC2" w:rsidRPr="00701439" w:rsidRDefault="00961CC2" w:rsidP="00961CC2">
            <w:pPr>
              <w:rPr>
                <w:rFonts w:asciiTheme="minorHAnsi" w:hAnsiTheme="minorHAnsi" w:cstheme="minorHAnsi"/>
                <w:color w:val="000000"/>
                <w:sz w:val="20"/>
                <w:szCs w:val="20"/>
              </w:rPr>
            </w:pPr>
          </w:p>
        </w:tc>
        <w:tc>
          <w:tcPr>
            <w:tcW w:w="607" w:type="pct"/>
            <w:tcBorders>
              <w:top w:val="nil"/>
              <w:left w:val="nil"/>
              <w:bottom w:val="nil"/>
              <w:right w:val="nil"/>
            </w:tcBorders>
            <w:shd w:val="clear" w:color="auto" w:fill="auto"/>
            <w:noWrap/>
            <w:vAlign w:val="bottom"/>
            <w:hideMark/>
          </w:tcPr>
          <w:p w14:paraId="6B4F3614" w14:textId="77777777" w:rsidR="00961CC2" w:rsidRPr="00701439" w:rsidRDefault="00961CC2" w:rsidP="00961CC2">
            <w:pPr>
              <w:rPr>
                <w:rFonts w:asciiTheme="minorHAnsi" w:hAnsiTheme="minorHAnsi" w:cstheme="minorHAnsi"/>
                <w:sz w:val="20"/>
                <w:szCs w:val="20"/>
              </w:rPr>
            </w:pPr>
          </w:p>
        </w:tc>
        <w:tc>
          <w:tcPr>
            <w:tcW w:w="607" w:type="pct"/>
            <w:tcBorders>
              <w:top w:val="nil"/>
              <w:left w:val="nil"/>
              <w:bottom w:val="nil"/>
              <w:right w:val="nil"/>
            </w:tcBorders>
            <w:shd w:val="clear" w:color="auto" w:fill="auto"/>
            <w:noWrap/>
            <w:vAlign w:val="bottom"/>
            <w:hideMark/>
          </w:tcPr>
          <w:p w14:paraId="58DA7F58" w14:textId="77777777" w:rsidR="00961CC2" w:rsidRPr="00701439" w:rsidRDefault="00961CC2" w:rsidP="00961CC2">
            <w:pPr>
              <w:rPr>
                <w:rFonts w:asciiTheme="minorHAnsi" w:hAnsiTheme="minorHAnsi" w:cstheme="minorHAnsi"/>
                <w:sz w:val="20"/>
                <w:szCs w:val="20"/>
              </w:rPr>
            </w:pPr>
          </w:p>
        </w:tc>
        <w:tc>
          <w:tcPr>
            <w:tcW w:w="607" w:type="pct"/>
            <w:tcBorders>
              <w:top w:val="nil"/>
              <w:left w:val="nil"/>
              <w:bottom w:val="nil"/>
              <w:right w:val="nil"/>
            </w:tcBorders>
            <w:shd w:val="clear" w:color="auto" w:fill="auto"/>
            <w:noWrap/>
            <w:vAlign w:val="bottom"/>
            <w:hideMark/>
          </w:tcPr>
          <w:p w14:paraId="51544A54" w14:textId="1E730AC2" w:rsidR="00961CC2" w:rsidRPr="00701439" w:rsidRDefault="00961CC2" w:rsidP="00961CC2">
            <w:pPr>
              <w:jc w:val="right"/>
              <w:rPr>
                <w:rFonts w:asciiTheme="minorHAnsi" w:hAnsiTheme="minorHAnsi" w:cstheme="minorHAnsi"/>
                <w:color w:val="000000"/>
                <w:sz w:val="20"/>
                <w:szCs w:val="20"/>
              </w:rPr>
            </w:pPr>
            <w:r w:rsidRPr="00701439">
              <w:rPr>
                <w:rFonts w:asciiTheme="minorHAnsi" w:hAnsiTheme="minorHAnsi" w:cstheme="minorHAnsi"/>
                <w:color w:val="000000"/>
                <w:sz w:val="20"/>
                <w:szCs w:val="20"/>
              </w:rPr>
              <w:t>16.3</w:t>
            </w:r>
          </w:p>
        </w:tc>
        <w:tc>
          <w:tcPr>
            <w:tcW w:w="607" w:type="pct"/>
            <w:tcBorders>
              <w:top w:val="nil"/>
              <w:left w:val="nil"/>
              <w:bottom w:val="nil"/>
              <w:right w:val="nil"/>
            </w:tcBorders>
            <w:shd w:val="clear" w:color="auto" w:fill="auto"/>
            <w:noWrap/>
            <w:vAlign w:val="bottom"/>
            <w:hideMark/>
          </w:tcPr>
          <w:p w14:paraId="29B45FEB" w14:textId="497ACCE9" w:rsidR="00961CC2" w:rsidRPr="00701439" w:rsidRDefault="00961CC2" w:rsidP="00961CC2">
            <w:pPr>
              <w:jc w:val="right"/>
              <w:rPr>
                <w:rFonts w:asciiTheme="minorHAnsi" w:hAnsiTheme="minorHAnsi" w:cstheme="minorHAnsi"/>
                <w:color w:val="000000"/>
                <w:sz w:val="20"/>
                <w:szCs w:val="20"/>
              </w:rPr>
            </w:pPr>
            <w:r w:rsidRPr="00701439">
              <w:rPr>
                <w:rFonts w:asciiTheme="minorHAnsi" w:hAnsiTheme="minorHAnsi" w:cstheme="minorHAnsi"/>
                <w:color w:val="000000"/>
                <w:sz w:val="20"/>
                <w:szCs w:val="20"/>
              </w:rPr>
              <w:t>26.1</w:t>
            </w:r>
          </w:p>
        </w:tc>
      </w:tr>
      <w:tr w:rsidR="00961CC2" w:rsidRPr="00701439" w14:paraId="16561A56" w14:textId="77777777" w:rsidTr="0002541E">
        <w:trPr>
          <w:trHeight w:val="288"/>
        </w:trPr>
        <w:tc>
          <w:tcPr>
            <w:tcW w:w="1964" w:type="pct"/>
            <w:tcBorders>
              <w:left w:val="nil"/>
              <w:right w:val="nil"/>
            </w:tcBorders>
            <w:shd w:val="clear" w:color="auto" w:fill="auto"/>
            <w:noWrap/>
            <w:vAlign w:val="bottom"/>
            <w:hideMark/>
          </w:tcPr>
          <w:p w14:paraId="65E44388" w14:textId="6B8820BB" w:rsidR="00961CC2" w:rsidRPr="00701439" w:rsidRDefault="00961CC2" w:rsidP="00961CC2">
            <w:pPr>
              <w:rPr>
                <w:rFonts w:asciiTheme="minorHAnsi" w:hAnsiTheme="minorHAnsi" w:cstheme="minorHAnsi"/>
                <w:b/>
                <w:bCs/>
                <w:color w:val="000000"/>
                <w:sz w:val="20"/>
                <w:szCs w:val="20"/>
              </w:rPr>
            </w:pPr>
            <w:r w:rsidRPr="00701439">
              <w:rPr>
                <w:rFonts w:asciiTheme="minorHAnsi" w:hAnsiTheme="minorHAnsi" w:cstheme="minorHAnsi"/>
                <w:b/>
                <w:bCs/>
                <w:color w:val="000000"/>
                <w:sz w:val="20"/>
                <w:szCs w:val="20"/>
              </w:rPr>
              <w:t xml:space="preserve">Total </w:t>
            </w:r>
            <w:r w:rsidR="00F25182" w:rsidRPr="00701439">
              <w:rPr>
                <w:rFonts w:asciiTheme="minorHAnsi" w:hAnsiTheme="minorHAnsi" w:cstheme="minorHAnsi"/>
                <w:b/>
                <w:bCs/>
                <w:color w:val="000000"/>
                <w:sz w:val="20"/>
                <w:szCs w:val="20"/>
              </w:rPr>
              <w:t>a</w:t>
            </w:r>
            <w:r w:rsidRPr="00701439">
              <w:rPr>
                <w:rFonts w:asciiTheme="minorHAnsi" w:hAnsiTheme="minorHAnsi" w:cstheme="minorHAnsi"/>
                <w:b/>
                <w:bCs/>
                <w:color w:val="000000"/>
                <w:sz w:val="20"/>
                <w:szCs w:val="20"/>
              </w:rPr>
              <w:t xml:space="preserve">llowance </w:t>
            </w:r>
            <w:r w:rsidR="00F25182" w:rsidRPr="00701439">
              <w:rPr>
                <w:rFonts w:asciiTheme="minorHAnsi" w:hAnsiTheme="minorHAnsi" w:cstheme="minorHAnsi"/>
                <w:b/>
                <w:bCs/>
                <w:color w:val="000000"/>
                <w:sz w:val="20"/>
                <w:szCs w:val="20"/>
              </w:rPr>
              <w:t>a</w:t>
            </w:r>
            <w:r w:rsidRPr="00701439">
              <w:rPr>
                <w:rFonts w:asciiTheme="minorHAnsi" w:hAnsiTheme="minorHAnsi" w:cstheme="minorHAnsi"/>
                <w:b/>
                <w:bCs/>
                <w:color w:val="000000"/>
                <w:sz w:val="20"/>
                <w:szCs w:val="20"/>
              </w:rPr>
              <w:t>ccount</w:t>
            </w:r>
          </w:p>
        </w:tc>
        <w:tc>
          <w:tcPr>
            <w:tcW w:w="607" w:type="pct"/>
            <w:tcBorders>
              <w:left w:val="nil"/>
              <w:right w:val="nil"/>
            </w:tcBorders>
            <w:shd w:val="clear" w:color="auto" w:fill="auto"/>
            <w:noWrap/>
            <w:vAlign w:val="bottom"/>
          </w:tcPr>
          <w:p w14:paraId="00FFA415" w14:textId="11900AE4" w:rsidR="00961CC2" w:rsidRPr="00701439" w:rsidRDefault="00961CC2" w:rsidP="00961CC2">
            <w:pPr>
              <w:rPr>
                <w:rFonts w:asciiTheme="minorHAnsi" w:hAnsiTheme="minorHAnsi" w:cstheme="minorHAnsi"/>
                <w:b/>
                <w:bCs/>
                <w:color w:val="000000"/>
                <w:sz w:val="20"/>
                <w:szCs w:val="20"/>
              </w:rPr>
            </w:pPr>
          </w:p>
        </w:tc>
        <w:tc>
          <w:tcPr>
            <w:tcW w:w="607" w:type="pct"/>
            <w:tcBorders>
              <w:left w:val="nil"/>
              <w:right w:val="nil"/>
            </w:tcBorders>
            <w:shd w:val="clear" w:color="auto" w:fill="auto"/>
            <w:noWrap/>
            <w:vAlign w:val="bottom"/>
            <w:hideMark/>
          </w:tcPr>
          <w:p w14:paraId="6A466DC7" w14:textId="77777777" w:rsidR="00961CC2" w:rsidRPr="00701439" w:rsidRDefault="00961CC2" w:rsidP="00961CC2">
            <w:pPr>
              <w:rPr>
                <w:rFonts w:asciiTheme="minorHAnsi" w:hAnsiTheme="minorHAnsi" w:cstheme="minorHAnsi"/>
                <w:b/>
                <w:bCs/>
                <w:color w:val="000000"/>
                <w:sz w:val="20"/>
                <w:szCs w:val="20"/>
              </w:rPr>
            </w:pPr>
            <w:r w:rsidRPr="00701439">
              <w:rPr>
                <w:rFonts w:asciiTheme="minorHAnsi" w:hAnsiTheme="minorHAnsi" w:cstheme="minorHAnsi"/>
                <w:b/>
                <w:bCs/>
                <w:color w:val="000000"/>
                <w:sz w:val="20"/>
                <w:szCs w:val="20"/>
              </w:rPr>
              <w:t> </w:t>
            </w:r>
          </w:p>
        </w:tc>
        <w:tc>
          <w:tcPr>
            <w:tcW w:w="607" w:type="pct"/>
            <w:tcBorders>
              <w:left w:val="nil"/>
              <w:right w:val="nil"/>
            </w:tcBorders>
            <w:shd w:val="clear" w:color="auto" w:fill="auto"/>
            <w:noWrap/>
            <w:vAlign w:val="bottom"/>
            <w:hideMark/>
          </w:tcPr>
          <w:p w14:paraId="2AEE5552" w14:textId="77777777" w:rsidR="00961CC2" w:rsidRPr="00701439" w:rsidRDefault="00961CC2" w:rsidP="00961CC2">
            <w:pPr>
              <w:rPr>
                <w:rFonts w:asciiTheme="minorHAnsi" w:hAnsiTheme="minorHAnsi" w:cstheme="minorHAnsi"/>
                <w:b/>
                <w:bCs/>
                <w:color w:val="000000"/>
                <w:sz w:val="20"/>
                <w:szCs w:val="20"/>
              </w:rPr>
            </w:pPr>
            <w:r w:rsidRPr="00701439">
              <w:rPr>
                <w:rFonts w:asciiTheme="minorHAnsi" w:hAnsiTheme="minorHAnsi" w:cstheme="minorHAnsi"/>
                <w:b/>
                <w:bCs/>
                <w:color w:val="000000"/>
                <w:sz w:val="20"/>
                <w:szCs w:val="20"/>
              </w:rPr>
              <w:t> </w:t>
            </w:r>
          </w:p>
        </w:tc>
        <w:tc>
          <w:tcPr>
            <w:tcW w:w="607" w:type="pct"/>
            <w:tcBorders>
              <w:top w:val="single" w:sz="4" w:space="0" w:color="auto"/>
              <w:left w:val="nil"/>
              <w:bottom w:val="single" w:sz="4" w:space="0" w:color="auto"/>
              <w:right w:val="nil"/>
            </w:tcBorders>
            <w:shd w:val="clear" w:color="auto" w:fill="auto"/>
            <w:noWrap/>
            <w:vAlign w:val="bottom"/>
            <w:hideMark/>
          </w:tcPr>
          <w:p w14:paraId="144BEA8E" w14:textId="3E707990" w:rsidR="00961CC2" w:rsidRPr="00701439" w:rsidRDefault="00961CC2" w:rsidP="00961CC2">
            <w:pPr>
              <w:jc w:val="right"/>
              <w:rPr>
                <w:rFonts w:asciiTheme="minorHAnsi" w:hAnsiTheme="minorHAnsi" w:cstheme="minorHAnsi"/>
                <w:color w:val="000000"/>
                <w:sz w:val="20"/>
                <w:szCs w:val="20"/>
              </w:rPr>
            </w:pPr>
            <w:r w:rsidRPr="00701439">
              <w:rPr>
                <w:rFonts w:asciiTheme="minorHAnsi" w:hAnsiTheme="minorHAnsi" w:cstheme="minorHAnsi"/>
                <w:color w:val="000000"/>
                <w:sz w:val="20"/>
                <w:szCs w:val="20"/>
              </w:rPr>
              <w:t>270.4</w:t>
            </w:r>
          </w:p>
        </w:tc>
        <w:tc>
          <w:tcPr>
            <w:tcW w:w="607" w:type="pct"/>
            <w:tcBorders>
              <w:top w:val="single" w:sz="4" w:space="0" w:color="auto"/>
              <w:left w:val="nil"/>
              <w:bottom w:val="single" w:sz="4" w:space="0" w:color="auto"/>
              <w:right w:val="nil"/>
            </w:tcBorders>
            <w:shd w:val="clear" w:color="auto" w:fill="auto"/>
            <w:noWrap/>
            <w:vAlign w:val="bottom"/>
            <w:hideMark/>
          </w:tcPr>
          <w:p w14:paraId="3F72132A" w14:textId="0713D360" w:rsidR="00961CC2" w:rsidRPr="00701439" w:rsidRDefault="00961CC2" w:rsidP="00961CC2">
            <w:pPr>
              <w:jc w:val="right"/>
              <w:rPr>
                <w:rFonts w:asciiTheme="minorHAnsi" w:hAnsiTheme="minorHAnsi" w:cstheme="minorHAnsi"/>
                <w:color w:val="000000"/>
                <w:sz w:val="20"/>
                <w:szCs w:val="20"/>
              </w:rPr>
            </w:pPr>
            <w:r w:rsidRPr="00701439">
              <w:rPr>
                <w:rFonts w:asciiTheme="minorHAnsi" w:hAnsiTheme="minorHAnsi" w:cstheme="minorHAnsi"/>
                <w:color w:val="000000"/>
                <w:sz w:val="20"/>
                <w:szCs w:val="20"/>
              </w:rPr>
              <w:t>353.8</w:t>
            </w:r>
          </w:p>
        </w:tc>
      </w:tr>
      <w:tr w:rsidR="00961CC2" w:rsidRPr="00701439" w14:paraId="731B1B65" w14:textId="77777777" w:rsidTr="0002541E">
        <w:trPr>
          <w:trHeight w:val="288"/>
        </w:trPr>
        <w:tc>
          <w:tcPr>
            <w:tcW w:w="1964" w:type="pct"/>
            <w:tcBorders>
              <w:top w:val="nil"/>
              <w:left w:val="nil"/>
              <w:right w:val="nil"/>
            </w:tcBorders>
            <w:shd w:val="clear" w:color="auto" w:fill="auto"/>
            <w:noWrap/>
            <w:vAlign w:val="bottom"/>
            <w:hideMark/>
          </w:tcPr>
          <w:p w14:paraId="5DA28C95" w14:textId="77777777" w:rsidR="00961CC2" w:rsidRPr="00701439" w:rsidRDefault="00961CC2" w:rsidP="00961CC2">
            <w:pPr>
              <w:jc w:val="right"/>
              <w:rPr>
                <w:rFonts w:asciiTheme="minorHAnsi" w:hAnsiTheme="minorHAnsi" w:cstheme="minorHAnsi"/>
                <w:color w:val="000000"/>
                <w:sz w:val="20"/>
                <w:szCs w:val="20"/>
              </w:rPr>
            </w:pPr>
          </w:p>
        </w:tc>
        <w:tc>
          <w:tcPr>
            <w:tcW w:w="607" w:type="pct"/>
            <w:tcBorders>
              <w:top w:val="nil"/>
              <w:left w:val="nil"/>
              <w:right w:val="nil"/>
            </w:tcBorders>
            <w:shd w:val="clear" w:color="auto" w:fill="auto"/>
            <w:noWrap/>
            <w:vAlign w:val="bottom"/>
            <w:hideMark/>
          </w:tcPr>
          <w:p w14:paraId="3FF80553" w14:textId="77777777" w:rsidR="00961CC2" w:rsidRPr="00701439" w:rsidRDefault="00961CC2" w:rsidP="00961CC2">
            <w:pPr>
              <w:rPr>
                <w:rFonts w:asciiTheme="minorHAnsi" w:hAnsiTheme="minorHAnsi" w:cstheme="minorHAnsi"/>
                <w:sz w:val="20"/>
                <w:szCs w:val="20"/>
              </w:rPr>
            </w:pPr>
          </w:p>
        </w:tc>
        <w:tc>
          <w:tcPr>
            <w:tcW w:w="607" w:type="pct"/>
            <w:tcBorders>
              <w:top w:val="nil"/>
              <w:left w:val="nil"/>
              <w:right w:val="nil"/>
            </w:tcBorders>
            <w:shd w:val="clear" w:color="auto" w:fill="auto"/>
            <w:noWrap/>
            <w:vAlign w:val="bottom"/>
            <w:hideMark/>
          </w:tcPr>
          <w:p w14:paraId="28F108C9" w14:textId="77777777" w:rsidR="00961CC2" w:rsidRPr="00701439" w:rsidRDefault="00961CC2" w:rsidP="00961CC2">
            <w:pPr>
              <w:rPr>
                <w:rFonts w:asciiTheme="minorHAnsi" w:hAnsiTheme="minorHAnsi" w:cstheme="minorHAnsi"/>
                <w:sz w:val="20"/>
                <w:szCs w:val="20"/>
              </w:rPr>
            </w:pPr>
          </w:p>
        </w:tc>
        <w:tc>
          <w:tcPr>
            <w:tcW w:w="607" w:type="pct"/>
            <w:tcBorders>
              <w:top w:val="nil"/>
              <w:left w:val="nil"/>
              <w:right w:val="nil"/>
            </w:tcBorders>
            <w:shd w:val="clear" w:color="auto" w:fill="auto"/>
            <w:noWrap/>
            <w:vAlign w:val="bottom"/>
            <w:hideMark/>
          </w:tcPr>
          <w:p w14:paraId="41EAD35F" w14:textId="77777777" w:rsidR="00961CC2" w:rsidRPr="00701439" w:rsidRDefault="00961CC2" w:rsidP="00961CC2">
            <w:pPr>
              <w:rPr>
                <w:rFonts w:asciiTheme="minorHAnsi" w:hAnsiTheme="minorHAnsi" w:cstheme="minorHAnsi"/>
                <w:sz w:val="20"/>
                <w:szCs w:val="20"/>
              </w:rPr>
            </w:pPr>
          </w:p>
        </w:tc>
        <w:tc>
          <w:tcPr>
            <w:tcW w:w="607" w:type="pct"/>
            <w:tcBorders>
              <w:top w:val="nil"/>
              <w:left w:val="nil"/>
              <w:bottom w:val="nil"/>
              <w:right w:val="nil"/>
            </w:tcBorders>
            <w:shd w:val="clear" w:color="auto" w:fill="auto"/>
            <w:noWrap/>
            <w:vAlign w:val="bottom"/>
            <w:hideMark/>
          </w:tcPr>
          <w:p w14:paraId="68BBC0DF" w14:textId="77777777" w:rsidR="00961CC2" w:rsidRPr="00701439" w:rsidRDefault="00961CC2" w:rsidP="00961CC2">
            <w:pPr>
              <w:rPr>
                <w:rFonts w:asciiTheme="minorHAnsi" w:hAnsiTheme="minorHAnsi" w:cstheme="minorHAnsi"/>
                <w:sz w:val="20"/>
                <w:szCs w:val="20"/>
              </w:rPr>
            </w:pPr>
          </w:p>
        </w:tc>
        <w:tc>
          <w:tcPr>
            <w:tcW w:w="607" w:type="pct"/>
            <w:tcBorders>
              <w:top w:val="nil"/>
              <w:left w:val="nil"/>
              <w:bottom w:val="nil"/>
              <w:right w:val="nil"/>
            </w:tcBorders>
            <w:shd w:val="clear" w:color="auto" w:fill="auto"/>
            <w:noWrap/>
            <w:vAlign w:val="bottom"/>
            <w:hideMark/>
          </w:tcPr>
          <w:p w14:paraId="05E3114B" w14:textId="77777777" w:rsidR="00961CC2" w:rsidRPr="00701439" w:rsidRDefault="00961CC2" w:rsidP="00961CC2">
            <w:pPr>
              <w:rPr>
                <w:rFonts w:asciiTheme="minorHAnsi" w:hAnsiTheme="minorHAnsi" w:cstheme="minorHAnsi"/>
                <w:sz w:val="20"/>
                <w:szCs w:val="20"/>
              </w:rPr>
            </w:pPr>
          </w:p>
        </w:tc>
      </w:tr>
      <w:tr w:rsidR="00961CC2" w:rsidRPr="00701439" w14:paraId="5EF6DE3D" w14:textId="77777777" w:rsidTr="0002541E">
        <w:trPr>
          <w:trHeight w:val="288"/>
        </w:trPr>
        <w:tc>
          <w:tcPr>
            <w:tcW w:w="1964" w:type="pct"/>
            <w:tcBorders>
              <w:top w:val="nil"/>
              <w:left w:val="nil"/>
              <w:right w:val="nil"/>
            </w:tcBorders>
            <w:shd w:val="clear" w:color="auto" w:fill="auto"/>
            <w:noWrap/>
            <w:vAlign w:val="bottom"/>
            <w:hideMark/>
          </w:tcPr>
          <w:p w14:paraId="71F6F7E3" w14:textId="77777777" w:rsidR="00961CC2" w:rsidRPr="00701439" w:rsidRDefault="00961CC2" w:rsidP="00961CC2">
            <w:pPr>
              <w:rPr>
                <w:rFonts w:asciiTheme="minorHAnsi" w:hAnsiTheme="minorHAnsi" w:cstheme="minorHAnsi"/>
                <w:b/>
                <w:color w:val="000000"/>
                <w:sz w:val="20"/>
                <w:szCs w:val="20"/>
              </w:rPr>
            </w:pPr>
            <w:r w:rsidRPr="00701439">
              <w:rPr>
                <w:rFonts w:asciiTheme="minorHAnsi" w:hAnsiTheme="minorHAnsi" w:cstheme="minorHAnsi"/>
                <w:b/>
                <w:color w:val="000000"/>
                <w:sz w:val="20"/>
                <w:szCs w:val="20"/>
              </w:rPr>
              <w:t>Description</w:t>
            </w:r>
          </w:p>
        </w:tc>
        <w:tc>
          <w:tcPr>
            <w:tcW w:w="607" w:type="pct"/>
            <w:tcBorders>
              <w:top w:val="nil"/>
              <w:left w:val="nil"/>
              <w:right w:val="nil"/>
            </w:tcBorders>
            <w:shd w:val="clear" w:color="auto" w:fill="auto"/>
            <w:noWrap/>
            <w:vAlign w:val="bottom"/>
            <w:hideMark/>
          </w:tcPr>
          <w:p w14:paraId="2A90A598" w14:textId="77777777" w:rsidR="00961CC2" w:rsidRPr="00701439" w:rsidRDefault="00961CC2" w:rsidP="00961CC2">
            <w:pPr>
              <w:rPr>
                <w:rFonts w:asciiTheme="minorHAnsi" w:hAnsiTheme="minorHAnsi" w:cstheme="minorHAnsi"/>
                <w:color w:val="000000"/>
                <w:sz w:val="20"/>
                <w:szCs w:val="20"/>
              </w:rPr>
            </w:pPr>
            <w:r w:rsidRPr="00701439">
              <w:rPr>
                <w:rFonts w:asciiTheme="minorHAnsi" w:hAnsiTheme="minorHAnsi" w:cstheme="minorHAnsi"/>
                <w:color w:val="000000"/>
                <w:sz w:val="20"/>
                <w:szCs w:val="20"/>
              </w:rPr>
              <w:t> </w:t>
            </w:r>
          </w:p>
        </w:tc>
        <w:tc>
          <w:tcPr>
            <w:tcW w:w="607" w:type="pct"/>
            <w:tcBorders>
              <w:top w:val="nil"/>
              <w:left w:val="nil"/>
              <w:right w:val="nil"/>
            </w:tcBorders>
            <w:shd w:val="clear" w:color="auto" w:fill="auto"/>
            <w:noWrap/>
            <w:vAlign w:val="bottom"/>
            <w:hideMark/>
          </w:tcPr>
          <w:p w14:paraId="0A2D81E0" w14:textId="77777777" w:rsidR="00961CC2" w:rsidRPr="00701439" w:rsidRDefault="00961CC2" w:rsidP="00961CC2">
            <w:pPr>
              <w:rPr>
                <w:rFonts w:asciiTheme="minorHAnsi" w:hAnsiTheme="minorHAnsi" w:cstheme="minorHAnsi"/>
                <w:color w:val="000000"/>
                <w:sz w:val="20"/>
                <w:szCs w:val="20"/>
              </w:rPr>
            </w:pPr>
            <w:r w:rsidRPr="00701439">
              <w:rPr>
                <w:rFonts w:asciiTheme="minorHAnsi" w:hAnsiTheme="minorHAnsi" w:cstheme="minorHAnsi"/>
                <w:color w:val="000000"/>
                <w:sz w:val="20"/>
                <w:szCs w:val="20"/>
              </w:rPr>
              <w:t> </w:t>
            </w:r>
          </w:p>
        </w:tc>
        <w:tc>
          <w:tcPr>
            <w:tcW w:w="607" w:type="pct"/>
            <w:tcBorders>
              <w:top w:val="nil"/>
              <w:left w:val="nil"/>
              <w:right w:val="nil"/>
            </w:tcBorders>
            <w:shd w:val="clear" w:color="auto" w:fill="auto"/>
            <w:noWrap/>
            <w:vAlign w:val="bottom"/>
            <w:hideMark/>
          </w:tcPr>
          <w:p w14:paraId="0EDC370F" w14:textId="77777777" w:rsidR="00961CC2" w:rsidRPr="00701439" w:rsidRDefault="00961CC2" w:rsidP="00961CC2">
            <w:pPr>
              <w:rPr>
                <w:rFonts w:asciiTheme="minorHAnsi" w:hAnsiTheme="minorHAnsi" w:cstheme="minorHAnsi"/>
                <w:color w:val="000000"/>
                <w:sz w:val="20"/>
                <w:szCs w:val="20"/>
              </w:rPr>
            </w:pPr>
            <w:r w:rsidRPr="00701439">
              <w:rPr>
                <w:rFonts w:asciiTheme="minorHAnsi" w:hAnsiTheme="minorHAnsi" w:cstheme="minorHAnsi"/>
                <w:color w:val="000000"/>
                <w:sz w:val="20"/>
                <w:szCs w:val="20"/>
              </w:rPr>
              <w:t> </w:t>
            </w:r>
          </w:p>
        </w:tc>
        <w:tc>
          <w:tcPr>
            <w:tcW w:w="607" w:type="pct"/>
            <w:tcBorders>
              <w:top w:val="nil"/>
              <w:left w:val="nil"/>
              <w:bottom w:val="single" w:sz="4" w:space="0" w:color="auto"/>
              <w:right w:val="nil"/>
            </w:tcBorders>
            <w:shd w:val="clear" w:color="auto" w:fill="auto"/>
            <w:noWrap/>
            <w:vAlign w:val="bottom"/>
            <w:hideMark/>
          </w:tcPr>
          <w:p w14:paraId="6A813084" w14:textId="605C9400" w:rsidR="00961CC2" w:rsidRPr="00701439" w:rsidRDefault="00961CC2" w:rsidP="00961CC2">
            <w:pPr>
              <w:jc w:val="right"/>
              <w:rPr>
                <w:rFonts w:asciiTheme="minorHAnsi" w:hAnsiTheme="minorHAnsi" w:cstheme="minorHAnsi"/>
                <w:color w:val="000000"/>
                <w:sz w:val="20"/>
                <w:szCs w:val="20"/>
              </w:rPr>
            </w:pPr>
            <w:r w:rsidRPr="00701439">
              <w:rPr>
                <w:rFonts w:asciiTheme="minorHAnsi" w:hAnsiTheme="minorHAnsi" w:cstheme="minorHAnsi"/>
                <w:color w:val="000000"/>
                <w:sz w:val="20"/>
                <w:szCs w:val="20"/>
              </w:rPr>
              <w:t>202</w:t>
            </w:r>
            <w:r w:rsidR="00B072FD" w:rsidRPr="00701439">
              <w:rPr>
                <w:rFonts w:asciiTheme="minorHAnsi" w:hAnsiTheme="minorHAnsi" w:cstheme="minorHAnsi"/>
                <w:color w:val="000000"/>
                <w:sz w:val="20"/>
                <w:szCs w:val="20"/>
              </w:rPr>
              <w:t>2</w:t>
            </w:r>
          </w:p>
          <w:p w14:paraId="3138F545" w14:textId="4889A9CB" w:rsidR="0024280D" w:rsidRPr="00701439" w:rsidRDefault="0024280D" w:rsidP="00961CC2">
            <w:pPr>
              <w:jc w:val="right"/>
              <w:rPr>
                <w:rFonts w:asciiTheme="minorHAnsi" w:hAnsiTheme="minorHAnsi" w:cstheme="minorHAnsi"/>
                <w:color w:val="000000"/>
                <w:sz w:val="20"/>
                <w:szCs w:val="20"/>
              </w:rPr>
            </w:pPr>
            <w:r w:rsidRPr="00701439">
              <w:rPr>
                <w:rFonts w:asciiTheme="minorHAnsi" w:hAnsiTheme="minorHAnsi" w:cs="Arial"/>
                <w:sz w:val="20"/>
                <w:szCs w:val="20"/>
              </w:rPr>
              <w:t>£m </w:t>
            </w:r>
          </w:p>
        </w:tc>
        <w:tc>
          <w:tcPr>
            <w:tcW w:w="607" w:type="pct"/>
            <w:tcBorders>
              <w:top w:val="nil"/>
              <w:left w:val="nil"/>
              <w:bottom w:val="single" w:sz="4" w:space="0" w:color="auto"/>
              <w:right w:val="nil"/>
            </w:tcBorders>
            <w:shd w:val="clear" w:color="auto" w:fill="auto"/>
            <w:noWrap/>
            <w:vAlign w:val="bottom"/>
            <w:hideMark/>
          </w:tcPr>
          <w:p w14:paraId="22A2C258" w14:textId="5AA6BDC2" w:rsidR="00961CC2" w:rsidRPr="00701439" w:rsidRDefault="00961CC2" w:rsidP="00961CC2">
            <w:pPr>
              <w:jc w:val="right"/>
              <w:rPr>
                <w:rFonts w:asciiTheme="minorHAnsi" w:hAnsiTheme="minorHAnsi" w:cstheme="minorHAnsi"/>
                <w:color w:val="000000"/>
                <w:sz w:val="20"/>
                <w:szCs w:val="20"/>
              </w:rPr>
            </w:pPr>
            <w:r w:rsidRPr="00701439">
              <w:rPr>
                <w:rFonts w:asciiTheme="minorHAnsi" w:hAnsiTheme="minorHAnsi" w:cstheme="minorHAnsi"/>
                <w:color w:val="000000"/>
                <w:sz w:val="20"/>
                <w:szCs w:val="20"/>
              </w:rPr>
              <w:t>202</w:t>
            </w:r>
            <w:r w:rsidR="00B072FD" w:rsidRPr="00701439">
              <w:rPr>
                <w:rFonts w:asciiTheme="minorHAnsi" w:hAnsiTheme="minorHAnsi" w:cstheme="minorHAnsi"/>
                <w:color w:val="000000"/>
                <w:sz w:val="20"/>
                <w:szCs w:val="20"/>
              </w:rPr>
              <w:t>1</w:t>
            </w:r>
          </w:p>
          <w:p w14:paraId="71262218" w14:textId="02296C43" w:rsidR="0024280D" w:rsidRPr="00701439" w:rsidRDefault="0024280D" w:rsidP="00961CC2">
            <w:pPr>
              <w:jc w:val="right"/>
              <w:rPr>
                <w:rFonts w:asciiTheme="minorHAnsi" w:hAnsiTheme="minorHAnsi" w:cstheme="minorHAnsi"/>
                <w:color w:val="000000"/>
                <w:sz w:val="20"/>
                <w:szCs w:val="20"/>
              </w:rPr>
            </w:pPr>
            <w:r w:rsidRPr="00701439">
              <w:rPr>
                <w:rFonts w:asciiTheme="minorHAnsi" w:hAnsiTheme="minorHAnsi" w:cs="Arial"/>
                <w:sz w:val="20"/>
                <w:szCs w:val="20"/>
              </w:rPr>
              <w:t>£m </w:t>
            </w:r>
          </w:p>
        </w:tc>
      </w:tr>
      <w:tr w:rsidR="00961CC2" w:rsidRPr="00701439" w14:paraId="29574025" w14:textId="77777777" w:rsidTr="00C771AE">
        <w:trPr>
          <w:trHeight w:val="288"/>
        </w:trPr>
        <w:tc>
          <w:tcPr>
            <w:tcW w:w="1964" w:type="pct"/>
            <w:tcBorders>
              <w:top w:val="nil"/>
              <w:left w:val="nil"/>
              <w:bottom w:val="nil"/>
              <w:right w:val="nil"/>
            </w:tcBorders>
            <w:shd w:val="clear" w:color="auto" w:fill="auto"/>
            <w:noWrap/>
            <w:vAlign w:val="bottom"/>
            <w:hideMark/>
          </w:tcPr>
          <w:p w14:paraId="3FB8BD2D" w14:textId="2BEDF904" w:rsidR="00961CC2" w:rsidRPr="00701439" w:rsidRDefault="00961CC2" w:rsidP="00961CC2">
            <w:pPr>
              <w:rPr>
                <w:rFonts w:asciiTheme="minorHAnsi" w:hAnsiTheme="minorHAnsi" w:cstheme="minorHAnsi"/>
                <w:color w:val="000000"/>
                <w:sz w:val="20"/>
                <w:szCs w:val="20"/>
              </w:rPr>
            </w:pPr>
            <w:r w:rsidRPr="00701439">
              <w:rPr>
                <w:rFonts w:asciiTheme="minorHAnsi" w:hAnsiTheme="minorHAnsi" w:cstheme="minorHAnsi"/>
                <w:color w:val="000000"/>
                <w:sz w:val="20"/>
                <w:szCs w:val="20"/>
              </w:rPr>
              <w:t>In-model overlays</w:t>
            </w:r>
            <w:r w:rsidR="00C1268E" w:rsidRPr="00701439">
              <w:rPr>
                <w:rFonts w:asciiTheme="minorHAnsi" w:hAnsiTheme="minorHAnsi" w:cstheme="minorHAnsi"/>
                <w:color w:val="000000"/>
                <w:sz w:val="20"/>
                <w:szCs w:val="20"/>
              </w:rPr>
              <w:t>:</w:t>
            </w:r>
          </w:p>
        </w:tc>
        <w:tc>
          <w:tcPr>
            <w:tcW w:w="607" w:type="pct"/>
            <w:tcBorders>
              <w:top w:val="nil"/>
              <w:left w:val="nil"/>
              <w:bottom w:val="nil"/>
              <w:right w:val="nil"/>
            </w:tcBorders>
            <w:shd w:val="clear" w:color="auto" w:fill="auto"/>
            <w:noWrap/>
            <w:vAlign w:val="bottom"/>
            <w:hideMark/>
          </w:tcPr>
          <w:p w14:paraId="2D3E3A38" w14:textId="77777777" w:rsidR="00961CC2" w:rsidRPr="00701439" w:rsidRDefault="00961CC2" w:rsidP="00961CC2">
            <w:pPr>
              <w:rPr>
                <w:rFonts w:asciiTheme="minorHAnsi" w:hAnsiTheme="minorHAnsi" w:cstheme="minorHAnsi"/>
                <w:color w:val="000000"/>
                <w:sz w:val="20"/>
                <w:szCs w:val="20"/>
              </w:rPr>
            </w:pPr>
          </w:p>
        </w:tc>
        <w:tc>
          <w:tcPr>
            <w:tcW w:w="607" w:type="pct"/>
            <w:tcBorders>
              <w:top w:val="nil"/>
              <w:left w:val="nil"/>
              <w:bottom w:val="nil"/>
              <w:right w:val="nil"/>
            </w:tcBorders>
            <w:shd w:val="clear" w:color="auto" w:fill="auto"/>
            <w:noWrap/>
            <w:vAlign w:val="bottom"/>
            <w:hideMark/>
          </w:tcPr>
          <w:p w14:paraId="474C4C23" w14:textId="77777777" w:rsidR="00961CC2" w:rsidRPr="00701439" w:rsidRDefault="00961CC2" w:rsidP="00961CC2">
            <w:pPr>
              <w:rPr>
                <w:rFonts w:asciiTheme="minorHAnsi" w:hAnsiTheme="minorHAnsi" w:cstheme="minorHAnsi"/>
                <w:sz w:val="20"/>
                <w:szCs w:val="20"/>
              </w:rPr>
            </w:pPr>
          </w:p>
        </w:tc>
        <w:tc>
          <w:tcPr>
            <w:tcW w:w="607" w:type="pct"/>
            <w:tcBorders>
              <w:top w:val="nil"/>
              <w:left w:val="nil"/>
              <w:bottom w:val="nil"/>
              <w:right w:val="nil"/>
            </w:tcBorders>
            <w:shd w:val="clear" w:color="auto" w:fill="auto"/>
            <w:noWrap/>
            <w:vAlign w:val="bottom"/>
            <w:hideMark/>
          </w:tcPr>
          <w:p w14:paraId="5511B3BB" w14:textId="77777777" w:rsidR="00961CC2" w:rsidRPr="00701439" w:rsidRDefault="00961CC2" w:rsidP="00961CC2">
            <w:pPr>
              <w:rPr>
                <w:rFonts w:asciiTheme="minorHAnsi" w:hAnsiTheme="minorHAnsi" w:cstheme="minorHAnsi"/>
                <w:sz w:val="20"/>
                <w:szCs w:val="20"/>
              </w:rPr>
            </w:pPr>
          </w:p>
        </w:tc>
        <w:tc>
          <w:tcPr>
            <w:tcW w:w="607" w:type="pct"/>
            <w:tcBorders>
              <w:top w:val="nil"/>
              <w:left w:val="nil"/>
              <w:bottom w:val="nil"/>
              <w:right w:val="nil"/>
            </w:tcBorders>
            <w:shd w:val="clear" w:color="auto" w:fill="auto"/>
            <w:noWrap/>
            <w:vAlign w:val="bottom"/>
            <w:hideMark/>
          </w:tcPr>
          <w:p w14:paraId="2328DEAF" w14:textId="77777777" w:rsidR="00961CC2" w:rsidRPr="00701439" w:rsidRDefault="00961CC2" w:rsidP="00961CC2">
            <w:pPr>
              <w:rPr>
                <w:rFonts w:asciiTheme="minorHAnsi" w:hAnsiTheme="minorHAnsi" w:cstheme="minorHAnsi"/>
                <w:sz w:val="20"/>
                <w:szCs w:val="20"/>
              </w:rPr>
            </w:pPr>
          </w:p>
        </w:tc>
        <w:tc>
          <w:tcPr>
            <w:tcW w:w="607" w:type="pct"/>
            <w:tcBorders>
              <w:top w:val="nil"/>
              <w:left w:val="nil"/>
              <w:bottom w:val="nil"/>
              <w:right w:val="nil"/>
            </w:tcBorders>
            <w:shd w:val="clear" w:color="auto" w:fill="auto"/>
            <w:noWrap/>
            <w:vAlign w:val="bottom"/>
            <w:hideMark/>
          </w:tcPr>
          <w:p w14:paraId="71F39991" w14:textId="77777777" w:rsidR="00961CC2" w:rsidRPr="00701439" w:rsidRDefault="00961CC2" w:rsidP="00961CC2">
            <w:pPr>
              <w:rPr>
                <w:rFonts w:asciiTheme="minorHAnsi" w:hAnsiTheme="minorHAnsi" w:cstheme="minorHAnsi"/>
                <w:sz w:val="20"/>
                <w:szCs w:val="20"/>
              </w:rPr>
            </w:pPr>
          </w:p>
        </w:tc>
      </w:tr>
      <w:tr w:rsidR="00961CC2" w:rsidRPr="00701439" w14:paraId="6E05E3F2" w14:textId="77777777" w:rsidTr="0002541E">
        <w:trPr>
          <w:trHeight w:val="288"/>
        </w:trPr>
        <w:tc>
          <w:tcPr>
            <w:tcW w:w="1964" w:type="pct"/>
            <w:tcBorders>
              <w:top w:val="nil"/>
              <w:left w:val="nil"/>
              <w:right w:val="nil"/>
            </w:tcBorders>
            <w:shd w:val="clear" w:color="auto" w:fill="auto"/>
            <w:noWrap/>
            <w:vAlign w:val="bottom"/>
            <w:hideMark/>
          </w:tcPr>
          <w:p w14:paraId="134497A6" w14:textId="49CA9BAF" w:rsidR="00961CC2" w:rsidRPr="00701439" w:rsidRDefault="00961CC2" w:rsidP="00961CC2">
            <w:pPr>
              <w:rPr>
                <w:rFonts w:asciiTheme="minorHAnsi" w:hAnsiTheme="minorHAnsi" w:cstheme="minorHAnsi"/>
                <w:color w:val="000000"/>
                <w:sz w:val="20"/>
                <w:szCs w:val="20"/>
              </w:rPr>
            </w:pPr>
            <w:r w:rsidRPr="00701439">
              <w:rPr>
                <w:rFonts w:asciiTheme="minorHAnsi" w:hAnsiTheme="minorHAnsi" w:cstheme="minorHAnsi"/>
                <w:color w:val="000000"/>
                <w:sz w:val="20"/>
                <w:szCs w:val="20"/>
              </w:rPr>
              <w:t xml:space="preserve">Covid-19 </w:t>
            </w:r>
            <w:r w:rsidR="000B5AC9" w:rsidRPr="00701439">
              <w:rPr>
                <w:rFonts w:asciiTheme="minorHAnsi" w:hAnsiTheme="minorHAnsi" w:cstheme="minorHAnsi"/>
                <w:color w:val="000000"/>
                <w:sz w:val="20"/>
                <w:szCs w:val="20"/>
              </w:rPr>
              <w:t>o</w:t>
            </w:r>
            <w:r w:rsidRPr="00701439">
              <w:rPr>
                <w:rFonts w:asciiTheme="minorHAnsi" w:hAnsiTheme="minorHAnsi" w:cstheme="minorHAnsi"/>
                <w:color w:val="000000"/>
                <w:sz w:val="20"/>
                <w:szCs w:val="20"/>
              </w:rPr>
              <w:t>verlay (note (a))</w:t>
            </w:r>
          </w:p>
        </w:tc>
        <w:tc>
          <w:tcPr>
            <w:tcW w:w="607" w:type="pct"/>
            <w:tcBorders>
              <w:top w:val="nil"/>
              <w:left w:val="nil"/>
              <w:right w:val="nil"/>
            </w:tcBorders>
            <w:shd w:val="clear" w:color="auto" w:fill="auto"/>
            <w:noWrap/>
            <w:vAlign w:val="bottom"/>
            <w:hideMark/>
          </w:tcPr>
          <w:p w14:paraId="497A645D" w14:textId="77777777" w:rsidR="00961CC2" w:rsidRPr="00701439" w:rsidRDefault="00961CC2" w:rsidP="00961CC2">
            <w:pPr>
              <w:rPr>
                <w:rFonts w:asciiTheme="minorHAnsi" w:hAnsiTheme="minorHAnsi" w:cstheme="minorHAnsi"/>
                <w:color w:val="000000"/>
                <w:sz w:val="20"/>
                <w:szCs w:val="20"/>
              </w:rPr>
            </w:pPr>
            <w:r w:rsidRPr="00701439">
              <w:rPr>
                <w:rFonts w:asciiTheme="minorHAnsi" w:hAnsiTheme="minorHAnsi" w:cstheme="minorHAnsi"/>
                <w:color w:val="000000"/>
                <w:sz w:val="20"/>
                <w:szCs w:val="20"/>
              </w:rPr>
              <w:t> </w:t>
            </w:r>
          </w:p>
        </w:tc>
        <w:tc>
          <w:tcPr>
            <w:tcW w:w="607" w:type="pct"/>
            <w:tcBorders>
              <w:top w:val="nil"/>
              <w:left w:val="nil"/>
              <w:right w:val="nil"/>
            </w:tcBorders>
            <w:shd w:val="clear" w:color="auto" w:fill="auto"/>
            <w:noWrap/>
            <w:vAlign w:val="bottom"/>
            <w:hideMark/>
          </w:tcPr>
          <w:p w14:paraId="7769324D" w14:textId="77777777" w:rsidR="00961CC2" w:rsidRPr="00701439" w:rsidRDefault="00961CC2" w:rsidP="00961CC2">
            <w:pPr>
              <w:rPr>
                <w:rFonts w:asciiTheme="minorHAnsi" w:hAnsiTheme="minorHAnsi" w:cstheme="minorHAnsi"/>
                <w:color w:val="000000"/>
                <w:sz w:val="20"/>
                <w:szCs w:val="20"/>
              </w:rPr>
            </w:pPr>
            <w:r w:rsidRPr="00701439">
              <w:rPr>
                <w:rFonts w:asciiTheme="minorHAnsi" w:hAnsiTheme="minorHAnsi" w:cstheme="minorHAnsi"/>
                <w:color w:val="000000"/>
                <w:sz w:val="20"/>
                <w:szCs w:val="20"/>
              </w:rPr>
              <w:t> </w:t>
            </w:r>
          </w:p>
        </w:tc>
        <w:tc>
          <w:tcPr>
            <w:tcW w:w="607" w:type="pct"/>
            <w:tcBorders>
              <w:top w:val="nil"/>
              <w:left w:val="nil"/>
              <w:right w:val="nil"/>
            </w:tcBorders>
            <w:shd w:val="clear" w:color="auto" w:fill="auto"/>
            <w:noWrap/>
            <w:vAlign w:val="bottom"/>
            <w:hideMark/>
          </w:tcPr>
          <w:p w14:paraId="19BBB11B" w14:textId="77777777" w:rsidR="00961CC2" w:rsidRPr="00701439" w:rsidRDefault="00961CC2" w:rsidP="00961CC2">
            <w:pPr>
              <w:rPr>
                <w:rFonts w:asciiTheme="minorHAnsi" w:hAnsiTheme="minorHAnsi" w:cstheme="minorHAnsi"/>
                <w:color w:val="000000"/>
                <w:sz w:val="20"/>
                <w:szCs w:val="20"/>
              </w:rPr>
            </w:pPr>
            <w:r w:rsidRPr="00701439">
              <w:rPr>
                <w:rFonts w:asciiTheme="minorHAnsi" w:hAnsiTheme="minorHAnsi" w:cstheme="minorHAnsi"/>
                <w:color w:val="000000"/>
                <w:sz w:val="20"/>
                <w:szCs w:val="20"/>
              </w:rPr>
              <w:t> </w:t>
            </w:r>
          </w:p>
        </w:tc>
        <w:tc>
          <w:tcPr>
            <w:tcW w:w="607" w:type="pct"/>
            <w:tcBorders>
              <w:top w:val="nil"/>
              <w:left w:val="nil"/>
              <w:bottom w:val="single" w:sz="4" w:space="0" w:color="auto"/>
              <w:right w:val="nil"/>
            </w:tcBorders>
            <w:shd w:val="clear" w:color="auto" w:fill="auto"/>
            <w:noWrap/>
            <w:vAlign w:val="bottom"/>
            <w:hideMark/>
          </w:tcPr>
          <w:p w14:paraId="50861979" w14:textId="7CC36B1A" w:rsidR="00961CC2" w:rsidRPr="00701439" w:rsidRDefault="00480BEC" w:rsidP="00961CC2">
            <w:pPr>
              <w:jc w:val="right"/>
              <w:rPr>
                <w:rFonts w:asciiTheme="minorHAnsi" w:hAnsiTheme="minorHAnsi" w:cstheme="minorHAnsi"/>
                <w:color w:val="000000"/>
                <w:sz w:val="20"/>
                <w:szCs w:val="20"/>
              </w:rPr>
            </w:pPr>
            <w:r w:rsidRPr="00701439">
              <w:rPr>
                <w:rFonts w:ascii="Calibri (Body)" w:hAnsi="Calibri (Body)" w:cs="Calibri"/>
                <w:color w:val="000000"/>
                <w:sz w:val="20"/>
                <w:szCs w:val="20"/>
              </w:rPr>
              <w:t>-</w:t>
            </w:r>
          </w:p>
        </w:tc>
        <w:tc>
          <w:tcPr>
            <w:tcW w:w="607" w:type="pct"/>
            <w:tcBorders>
              <w:top w:val="nil"/>
              <w:left w:val="nil"/>
              <w:bottom w:val="single" w:sz="4" w:space="0" w:color="auto"/>
              <w:right w:val="nil"/>
            </w:tcBorders>
            <w:shd w:val="clear" w:color="auto" w:fill="auto"/>
            <w:noWrap/>
            <w:vAlign w:val="bottom"/>
            <w:hideMark/>
          </w:tcPr>
          <w:p w14:paraId="438C076E" w14:textId="5B20A609" w:rsidR="00961CC2" w:rsidRPr="00701439" w:rsidRDefault="00961CC2" w:rsidP="00961CC2">
            <w:pPr>
              <w:jc w:val="right"/>
              <w:rPr>
                <w:rFonts w:asciiTheme="minorHAnsi" w:hAnsiTheme="minorHAnsi" w:cstheme="minorHAnsi"/>
                <w:color w:val="000000"/>
                <w:sz w:val="20"/>
                <w:szCs w:val="20"/>
              </w:rPr>
            </w:pPr>
            <w:r w:rsidRPr="00701439">
              <w:rPr>
                <w:rFonts w:asciiTheme="minorHAnsi" w:hAnsiTheme="minorHAnsi" w:cstheme="minorHAnsi"/>
                <w:color w:val="000000"/>
                <w:sz w:val="20"/>
                <w:szCs w:val="20"/>
              </w:rPr>
              <w:t>27.9</w:t>
            </w:r>
          </w:p>
        </w:tc>
      </w:tr>
      <w:tr w:rsidR="00961CC2" w:rsidRPr="00701439" w14:paraId="437E175D" w14:textId="77777777" w:rsidTr="0002541E">
        <w:trPr>
          <w:trHeight w:val="288"/>
        </w:trPr>
        <w:tc>
          <w:tcPr>
            <w:tcW w:w="1964" w:type="pct"/>
            <w:tcBorders>
              <w:top w:val="nil"/>
              <w:left w:val="nil"/>
              <w:right w:val="nil"/>
            </w:tcBorders>
            <w:shd w:val="clear" w:color="auto" w:fill="auto"/>
            <w:noWrap/>
            <w:vAlign w:val="bottom"/>
            <w:hideMark/>
          </w:tcPr>
          <w:p w14:paraId="7306A4B6" w14:textId="6FF0BF2D" w:rsidR="00961CC2" w:rsidRPr="00701439" w:rsidRDefault="00961CC2" w:rsidP="00961CC2">
            <w:pPr>
              <w:rPr>
                <w:rFonts w:asciiTheme="minorHAnsi" w:hAnsiTheme="minorHAnsi" w:cstheme="minorHAnsi"/>
                <w:b/>
                <w:bCs/>
                <w:color w:val="000000"/>
                <w:sz w:val="20"/>
                <w:szCs w:val="20"/>
              </w:rPr>
            </w:pPr>
            <w:r w:rsidRPr="00701439">
              <w:rPr>
                <w:rFonts w:asciiTheme="minorHAnsi" w:hAnsiTheme="minorHAnsi" w:cstheme="minorHAnsi"/>
                <w:b/>
                <w:bCs/>
                <w:color w:val="000000"/>
                <w:sz w:val="20"/>
                <w:szCs w:val="20"/>
              </w:rPr>
              <w:t xml:space="preserve">Total </w:t>
            </w:r>
            <w:r w:rsidR="00F37FF8" w:rsidRPr="00701439">
              <w:rPr>
                <w:rFonts w:asciiTheme="minorHAnsi" w:hAnsiTheme="minorHAnsi" w:cstheme="minorHAnsi"/>
                <w:b/>
                <w:bCs/>
                <w:color w:val="000000"/>
                <w:sz w:val="20"/>
                <w:szCs w:val="20"/>
              </w:rPr>
              <w:t>i</w:t>
            </w:r>
            <w:r w:rsidRPr="00701439">
              <w:rPr>
                <w:rFonts w:asciiTheme="minorHAnsi" w:hAnsiTheme="minorHAnsi" w:cstheme="minorHAnsi"/>
                <w:b/>
                <w:bCs/>
                <w:color w:val="000000"/>
                <w:sz w:val="20"/>
                <w:szCs w:val="20"/>
              </w:rPr>
              <w:t>n-model overlays</w:t>
            </w:r>
          </w:p>
        </w:tc>
        <w:tc>
          <w:tcPr>
            <w:tcW w:w="607" w:type="pct"/>
            <w:tcBorders>
              <w:top w:val="nil"/>
              <w:left w:val="nil"/>
              <w:right w:val="nil"/>
            </w:tcBorders>
            <w:shd w:val="clear" w:color="auto" w:fill="auto"/>
            <w:noWrap/>
            <w:vAlign w:val="bottom"/>
            <w:hideMark/>
          </w:tcPr>
          <w:p w14:paraId="60E9C63D" w14:textId="77777777" w:rsidR="00961CC2" w:rsidRPr="00701439" w:rsidRDefault="00961CC2" w:rsidP="00961CC2">
            <w:pPr>
              <w:rPr>
                <w:rFonts w:asciiTheme="minorHAnsi" w:hAnsiTheme="minorHAnsi" w:cstheme="minorHAnsi"/>
                <w:b/>
                <w:bCs/>
                <w:color w:val="000000"/>
                <w:sz w:val="20"/>
                <w:szCs w:val="20"/>
              </w:rPr>
            </w:pPr>
            <w:r w:rsidRPr="00701439">
              <w:rPr>
                <w:rFonts w:asciiTheme="minorHAnsi" w:hAnsiTheme="minorHAnsi" w:cstheme="minorHAnsi"/>
                <w:b/>
                <w:bCs/>
                <w:color w:val="000000"/>
                <w:sz w:val="20"/>
                <w:szCs w:val="20"/>
              </w:rPr>
              <w:t> </w:t>
            </w:r>
          </w:p>
        </w:tc>
        <w:tc>
          <w:tcPr>
            <w:tcW w:w="607" w:type="pct"/>
            <w:tcBorders>
              <w:top w:val="nil"/>
              <w:left w:val="nil"/>
              <w:right w:val="nil"/>
            </w:tcBorders>
            <w:shd w:val="clear" w:color="auto" w:fill="auto"/>
            <w:noWrap/>
            <w:vAlign w:val="bottom"/>
            <w:hideMark/>
          </w:tcPr>
          <w:p w14:paraId="0366F033" w14:textId="77777777" w:rsidR="00961CC2" w:rsidRPr="00701439" w:rsidRDefault="00961CC2" w:rsidP="00961CC2">
            <w:pPr>
              <w:rPr>
                <w:rFonts w:asciiTheme="minorHAnsi" w:hAnsiTheme="minorHAnsi" w:cstheme="minorHAnsi"/>
                <w:b/>
                <w:bCs/>
                <w:color w:val="000000"/>
                <w:sz w:val="20"/>
                <w:szCs w:val="20"/>
              </w:rPr>
            </w:pPr>
            <w:r w:rsidRPr="00701439">
              <w:rPr>
                <w:rFonts w:asciiTheme="minorHAnsi" w:hAnsiTheme="minorHAnsi" w:cstheme="minorHAnsi"/>
                <w:b/>
                <w:bCs/>
                <w:color w:val="000000"/>
                <w:sz w:val="20"/>
                <w:szCs w:val="20"/>
              </w:rPr>
              <w:t> </w:t>
            </w:r>
          </w:p>
        </w:tc>
        <w:tc>
          <w:tcPr>
            <w:tcW w:w="607" w:type="pct"/>
            <w:tcBorders>
              <w:top w:val="nil"/>
              <w:left w:val="nil"/>
              <w:right w:val="nil"/>
            </w:tcBorders>
            <w:shd w:val="clear" w:color="auto" w:fill="auto"/>
            <w:noWrap/>
            <w:vAlign w:val="bottom"/>
            <w:hideMark/>
          </w:tcPr>
          <w:p w14:paraId="1F19866F" w14:textId="77777777" w:rsidR="00961CC2" w:rsidRPr="00701439" w:rsidRDefault="00961CC2" w:rsidP="00961CC2">
            <w:pPr>
              <w:rPr>
                <w:rFonts w:asciiTheme="minorHAnsi" w:hAnsiTheme="minorHAnsi" w:cstheme="minorHAnsi"/>
                <w:b/>
                <w:bCs/>
                <w:color w:val="000000"/>
                <w:sz w:val="20"/>
                <w:szCs w:val="20"/>
              </w:rPr>
            </w:pPr>
            <w:r w:rsidRPr="00701439">
              <w:rPr>
                <w:rFonts w:asciiTheme="minorHAnsi" w:hAnsiTheme="minorHAnsi" w:cstheme="minorHAnsi"/>
                <w:b/>
                <w:bCs/>
                <w:color w:val="000000"/>
                <w:sz w:val="20"/>
                <w:szCs w:val="20"/>
              </w:rPr>
              <w:t> </w:t>
            </w:r>
          </w:p>
        </w:tc>
        <w:tc>
          <w:tcPr>
            <w:tcW w:w="607" w:type="pct"/>
            <w:tcBorders>
              <w:top w:val="nil"/>
              <w:left w:val="nil"/>
              <w:bottom w:val="single" w:sz="4" w:space="0" w:color="auto"/>
              <w:right w:val="nil"/>
            </w:tcBorders>
            <w:shd w:val="clear" w:color="auto" w:fill="auto"/>
            <w:noWrap/>
            <w:vAlign w:val="bottom"/>
            <w:hideMark/>
          </w:tcPr>
          <w:p w14:paraId="314702C1" w14:textId="01E30F92" w:rsidR="00961CC2" w:rsidRPr="00701439" w:rsidRDefault="00707E8A" w:rsidP="00961CC2">
            <w:pPr>
              <w:jc w:val="right"/>
              <w:rPr>
                <w:rFonts w:asciiTheme="minorHAnsi" w:hAnsiTheme="minorHAnsi" w:cstheme="minorHAnsi"/>
                <w:color w:val="000000"/>
                <w:sz w:val="20"/>
                <w:szCs w:val="20"/>
              </w:rPr>
            </w:pPr>
            <w:r w:rsidRPr="00701439">
              <w:rPr>
                <w:rFonts w:ascii="Calibri (Body)" w:hAnsi="Calibri (Body)" w:cs="Calibri"/>
                <w:color w:val="000000"/>
                <w:sz w:val="20"/>
                <w:szCs w:val="20"/>
              </w:rPr>
              <w:t>-</w:t>
            </w:r>
          </w:p>
        </w:tc>
        <w:tc>
          <w:tcPr>
            <w:tcW w:w="607" w:type="pct"/>
            <w:tcBorders>
              <w:top w:val="nil"/>
              <w:left w:val="nil"/>
              <w:bottom w:val="single" w:sz="4" w:space="0" w:color="auto"/>
              <w:right w:val="nil"/>
            </w:tcBorders>
            <w:shd w:val="clear" w:color="auto" w:fill="auto"/>
            <w:noWrap/>
            <w:vAlign w:val="bottom"/>
            <w:hideMark/>
          </w:tcPr>
          <w:p w14:paraId="0C4162F5" w14:textId="0E8E7BCB" w:rsidR="00961CC2" w:rsidRPr="00701439" w:rsidRDefault="00961CC2" w:rsidP="00961CC2">
            <w:pPr>
              <w:jc w:val="right"/>
              <w:rPr>
                <w:rFonts w:asciiTheme="minorHAnsi" w:hAnsiTheme="minorHAnsi" w:cstheme="minorHAnsi"/>
                <w:color w:val="000000"/>
                <w:sz w:val="20"/>
                <w:szCs w:val="20"/>
              </w:rPr>
            </w:pPr>
            <w:r w:rsidRPr="00701439">
              <w:rPr>
                <w:rFonts w:asciiTheme="minorHAnsi" w:hAnsiTheme="minorHAnsi" w:cstheme="minorHAnsi"/>
                <w:color w:val="000000"/>
                <w:sz w:val="20"/>
                <w:szCs w:val="20"/>
              </w:rPr>
              <w:t>27.9</w:t>
            </w:r>
          </w:p>
        </w:tc>
      </w:tr>
      <w:tr w:rsidR="00961CC2" w:rsidRPr="00701439" w14:paraId="1A96B932" w14:textId="77777777" w:rsidTr="0002541E">
        <w:trPr>
          <w:trHeight w:val="288"/>
        </w:trPr>
        <w:tc>
          <w:tcPr>
            <w:tcW w:w="1964" w:type="pct"/>
            <w:tcBorders>
              <w:left w:val="nil"/>
              <w:right w:val="nil"/>
            </w:tcBorders>
            <w:shd w:val="clear" w:color="auto" w:fill="auto"/>
            <w:noWrap/>
            <w:vAlign w:val="bottom"/>
            <w:hideMark/>
          </w:tcPr>
          <w:p w14:paraId="575313C4" w14:textId="77777777" w:rsidR="00961CC2" w:rsidRPr="00701439" w:rsidRDefault="00961CC2" w:rsidP="00961CC2">
            <w:pPr>
              <w:jc w:val="right"/>
              <w:rPr>
                <w:rFonts w:asciiTheme="minorHAnsi" w:hAnsiTheme="minorHAnsi" w:cstheme="minorHAnsi"/>
                <w:b/>
                <w:bCs/>
                <w:color w:val="000000"/>
                <w:sz w:val="20"/>
                <w:szCs w:val="20"/>
              </w:rPr>
            </w:pPr>
          </w:p>
        </w:tc>
        <w:tc>
          <w:tcPr>
            <w:tcW w:w="607" w:type="pct"/>
            <w:tcBorders>
              <w:left w:val="nil"/>
              <w:right w:val="nil"/>
            </w:tcBorders>
            <w:shd w:val="clear" w:color="auto" w:fill="auto"/>
            <w:noWrap/>
            <w:vAlign w:val="bottom"/>
            <w:hideMark/>
          </w:tcPr>
          <w:p w14:paraId="292A1CE6" w14:textId="77777777" w:rsidR="00961CC2" w:rsidRPr="00701439" w:rsidRDefault="00961CC2" w:rsidP="00961CC2">
            <w:pPr>
              <w:rPr>
                <w:rFonts w:asciiTheme="minorHAnsi" w:hAnsiTheme="minorHAnsi" w:cstheme="minorHAnsi"/>
                <w:sz w:val="20"/>
                <w:szCs w:val="20"/>
              </w:rPr>
            </w:pPr>
          </w:p>
        </w:tc>
        <w:tc>
          <w:tcPr>
            <w:tcW w:w="607" w:type="pct"/>
            <w:tcBorders>
              <w:left w:val="nil"/>
              <w:right w:val="nil"/>
            </w:tcBorders>
            <w:shd w:val="clear" w:color="auto" w:fill="auto"/>
            <w:noWrap/>
            <w:vAlign w:val="bottom"/>
            <w:hideMark/>
          </w:tcPr>
          <w:p w14:paraId="4FA35D19" w14:textId="77777777" w:rsidR="00961CC2" w:rsidRPr="00701439" w:rsidRDefault="00961CC2" w:rsidP="00961CC2">
            <w:pPr>
              <w:rPr>
                <w:rFonts w:asciiTheme="minorHAnsi" w:hAnsiTheme="minorHAnsi" w:cstheme="minorHAnsi"/>
                <w:sz w:val="20"/>
                <w:szCs w:val="20"/>
              </w:rPr>
            </w:pPr>
          </w:p>
        </w:tc>
        <w:tc>
          <w:tcPr>
            <w:tcW w:w="607" w:type="pct"/>
            <w:tcBorders>
              <w:left w:val="nil"/>
              <w:right w:val="nil"/>
            </w:tcBorders>
            <w:shd w:val="clear" w:color="auto" w:fill="auto"/>
            <w:noWrap/>
            <w:vAlign w:val="bottom"/>
            <w:hideMark/>
          </w:tcPr>
          <w:p w14:paraId="4937751A" w14:textId="77777777" w:rsidR="00961CC2" w:rsidRPr="00701439" w:rsidRDefault="00961CC2" w:rsidP="00961CC2">
            <w:pPr>
              <w:rPr>
                <w:rFonts w:asciiTheme="minorHAnsi" w:hAnsiTheme="minorHAnsi" w:cstheme="minorHAnsi"/>
                <w:sz w:val="20"/>
                <w:szCs w:val="20"/>
              </w:rPr>
            </w:pPr>
          </w:p>
        </w:tc>
        <w:tc>
          <w:tcPr>
            <w:tcW w:w="607" w:type="pct"/>
            <w:tcBorders>
              <w:top w:val="nil"/>
              <w:left w:val="nil"/>
              <w:bottom w:val="nil"/>
              <w:right w:val="nil"/>
            </w:tcBorders>
            <w:shd w:val="clear" w:color="auto" w:fill="auto"/>
            <w:noWrap/>
            <w:vAlign w:val="bottom"/>
            <w:hideMark/>
          </w:tcPr>
          <w:p w14:paraId="6F944B4C" w14:textId="77777777" w:rsidR="00961CC2" w:rsidRPr="00701439" w:rsidRDefault="00961CC2" w:rsidP="00961CC2">
            <w:pPr>
              <w:rPr>
                <w:rFonts w:asciiTheme="minorHAnsi" w:hAnsiTheme="minorHAnsi" w:cstheme="minorHAnsi"/>
                <w:sz w:val="20"/>
                <w:szCs w:val="20"/>
              </w:rPr>
            </w:pPr>
          </w:p>
        </w:tc>
        <w:tc>
          <w:tcPr>
            <w:tcW w:w="607" w:type="pct"/>
            <w:tcBorders>
              <w:top w:val="nil"/>
              <w:left w:val="nil"/>
              <w:bottom w:val="nil"/>
              <w:right w:val="nil"/>
            </w:tcBorders>
            <w:shd w:val="clear" w:color="auto" w:fill="auto"/>
            <w:noWrap/>
            <w:vAlign w:val="bottom"/>
            <w:hideMark/>
          </w:tcPr>
          <w:p w14:paraId="27198F2F" w14:textId="77777777" w:rsidR="00961CC2" w:rsidRPr="00701439" w:rsidRDefault="00961CC2" w:rsidP="00961CC2">
            <w:pPr>
              <w:rPr>
                <w:rFonts w:asciiTheme="minorHAnsi" w:hAnsiTheme="minorHAnsi" w:cstheme="minorHAnsi"/>
                <w:sz w:val="20"/>
                <w:szCs w:val="20"/>
              </w:rPr>
            </w:pPr>
          </w:p>
        </w:tc>
      </w:tr>
      <w:tr w:rsidR="00961CC2" w:rsidRPr="00701439" w14:paraId="4CD62734" w14:textId="77777777" w:rsidTr="0002541E">
        <w:trPr>
          <w:trHeight w:val="288"/>
        </w:trPr>
        <w:tc>
          <w:tcPr>
            <w:tcW w:w="1964" w:type="pct"/>
            <w:tcBorders>
              <w:top w:val="nil"/>
              <w:left w:val="nil"/>
              <w:right w:val="nil"/>
            </w:tcBorders>
            <w:shd w:val="clear" w:color="auto" w:fill="auto"/>
            <w:noWrap/>
            <w:vAlign w:val="bottom"/>
            <w:hideMark/>
          </w:tcPr>
          <w:p w14:paraId="234B72B5" w14:textId="7ED90F01" w:rsidR="00961CC2" w:rsidRPr="00701439" w:rsidRDefault="00961CC2" w:rsidP="00961CC2">
            <w:pPr>
              <w:rPr>
                <w:rFonts w:asciiTheme="minorHAnsi" w:hAnsiTheme="minorHAnsi" w:cstheme="minorHAnsi"/>
                <w:b/>
                <w:bCs/>
                <w:color w:val="000000"/>
                <w:sz w:val="20"/>
                <w:szCs w:val="20"/>
              </w:rPr>
            </w:pPr>
            <w:r w:rsidRPr="00701439">
              <w:rPr>
                <w:rFonts w:asciiTheme="minorHAnsi" w:hAnsiTheme="minorHAnsi" w:cstheme="minorHAnsi"/>
                <w:b/>
                <w:bCs/>
                <w:color w:val="000000"/>
                <w:sz w:val="20"/>
                <w:szCs w:val="20"/>
              </w:rPr>
              <w:t>Post</w:t>
            </w:r>
            <w:r w:rsidR="00BD444B" w:rsidRPr="00701439">
              <w:rPr>
                <w:rFonts w:asciiTheme="minorHAnsi" w:hAnsiTheme="minorHAnsi" w:cstheme="minorHAnsi"/>
                <w:b/>
                <w:bCs/>
                <w:color w:val="000000"/>
                <w:sz w:val="20"/>
                <w:szCs w:val="20"/>
              </w:rPr>
              <w:t>-</w:t>
            </w:r>
            <w:r w:rsidRPr="00701439">
              <w:rPr>
                <w:rFonts w:asciiTheme="minorHAnsi" w:hAnsiTheme="minorHAnsi" w:cstheme="minorHAnsi"/>
                <w:b/>
                <w:bCs/>
                <w:color w:val="000000"/>
                <w:sz w:val="20"/>
                <w:szCs w:val="20"/>
              </w:rPr>
              <w:t>model overlays</w:t>
            </w:r>
            <w:r w:rsidR="007B1886" w:rsidRPr="00701439">
              <w:rPr>
                <w:rFonts w:asciiTheme="minorHAnsi" w:hAnsiTheme="minorHAnsi" w:cstheme="minorHAnsi"/>
                <w:b/>
                <w:bCs/>
                <w:color w:val="000000"/>
                <w:sz w:val="20"/>
                <w:szCs w:val="20"/>
              </w:rPr>
              <w:t>:</w:t>
            </w:r>
          </w:p>
        </w:tc>
        <w:tc>
          <w:tcPr>
            <w:tcW w:w="607" w:type="pct"/>
            <w:tcBorders>
              <w:top w:val="nil"/>
              <w:left w:val="nil"/>
              <w:right w:val="nil"/>
            </w:tcBorders>
            <w:shd w:val="clear" w:color="auto" w:fill="auto"/>
            <w:noWrap/>
            <w:vAlign w:val="bottom"/>
            <w:hideMark/>
          </w:tcPr>
          <w:p w14:paraId="207C3E6E" w14:textId="77777777" w:rsidR="00961CC2" w:rsidRPr="00701439" w:rsidRDefault="00961CC2" w:rsidP="00961CC2">
            <w:pPr>
              <w:rPr>
                <w:rFonts w:asciiTheme="minorHAnsi" w:hAnsiTheme="minorHAnsi" w:cstheme="minorHAnsi"/>
                <w:color w:val="000000"/>
                <w:sz w:val="20"/>
                <w:szCs w:val="20"/>
              </w:rPr>
            </w:pPr>
            <w:r w:rsidRPr="00701439">
              <w:rPr>
                <w:rFonts w:asciiTheme="minorHAnsi" w:hAnsiTheme="minorHAnsi" w:cstheme="minorHAnsi"/>
                <w:color w:val="000000"/>
                <w:sz w:val="20"/>
                <w:szCs w:val="20"/>
              </w:rPr>
              <w:t> </w:t>
            </w:r>
          </w:p>
        </w:tc>
        <w:tc>
          <w:tcPr>
            <w:tcW w:w="607" w:type="pct"/>
            <w:tcBorders>
              <w:top w:val="nil"/>
              <w:left w:val="nil"/>
              <w:right w:val="nil"/>
            </w:tcBorders>
            <w:shd w:val="clear" w:color="auto" w:fill="auto"/>
            <w:noWrap/>
            <w:vAlign w:val="bottom"/>
            <w:hideMark/>
          </w:tcPr>
          <w:p w14:paraId="5973D009" w14:textId="77777777" w:rsidR="00961CC2" w:rsidRPr="00701439" w:rsidRDefault="00961CC2" w:rsidP="00961CC2">
            <w:pPr>
              <w:rPr>
                <w:rFonts w:asciiTheme="minorHAnsi" w:hAnsiTheme="minorHAnsi" w:cstheme="minorHAnsi"/>
                <w:color w:val="000000"/>
                <w:sz w:val="20"/>
                <w:szCs w:val="20"/>
              </w:rPr>
            </w:pPr>
            <w:r w:rsidRPr="00701439">
              <w:rPr>
                <w:rFonts w:asciiTheme="minorHAnsi" w:hAnsiTheme="minorHAnsi" w:cstheme="minorHAnsi"/>
                <w:color w:val="000000"/>
                <w:sz w:val="20"/>
                <w:szCs w:val="20"/>
              </w:rPr>
              <w:t> </w:t>
            </w:r>
          </w:p>
        </w:tc>
        <w:tc>
          <w:tcPr>
            <w:tcW w:w="607" w:type="pct"/>
            <w:tcBorders>
              <w:top w:val="nil"/>
              <w:left w:val="nil"/>
              <w:right w:val="nil"/>
            </w:tcBorders>
            <w:shd w:val="clear" w:color="auto" w:fill="auto"/>
            <w:noWrap/>
            <w:vAlign w:val="bottom"/>
            <w:hideMark/>
          </w:tcPr>
          <w:p w14:paraId="4B00CD73" w14:textId="77777777" w:rsidR="00961CC2" w:rsidRPr="00701439" w:rsidRDefault="00961CC2" w:rsidP="00961CC2">
            <w:pPr>
              <w:rPr>
                <w:rFonts w:asciiTheme="minorHAnsi" w:hAnsiTheme="minorHAnsi" w:cstheme="minorHAnsi"/>
                <w:color w:val="000000"/>
                <w:sz w:val="20"/>
                <w:szCs w:val="20"/>
              </w:rPr>
            </w:pPr>
            <w:r w:rsidRPr="00701439">
              <w:rPr>
                <w:rFonts w:asciiTheme="minorHAnsi" w:hAnsiTheme="minorHAnsi" w:cstheme="minorHAnsi"/>
                <w:color w:val="000000"/>
                <w:sz w:val="20"/>
                <w:szCs w:val="20"/>
              </w:rPr>
              <w:t> </w:t>
            </w:r>
          </w:p>
        </w:tc>
        <w:tc>
          <w:tcPr>
            <w:tcW w:w="607" w:type="pct"/>
            <w:tcBorders>
              <w:top w:val="nil"/>
              <w:left w:val="nil"/>
              <w:bottom w:val="single" w:sz="4" w:space="0" w:color="auto"/>
              <w:right w:val="nil"/>
            </w:tcBorders>
            <w:shd w:val="clear" w:color="auto" w:fill="auto"/>
            <w:noWrap/>
            <w:vAlign w:val="bottom"/>
            <w:hideMark/>
          </w:tcPr>
          <w:p w14:paraId="78D688FE" w14:textId="77777777" w:rsidR="00961CC2" w:rsidRPr="00701439" w:rsidRDefault="00961CC2" w:rsidP="00961CC2">
            <w:pPr>
              <w:rPr>
                <w:rFonts w:asciiTheme="minorHAnsi" w:hAnsiTheme="minorHAnsi" w:cstheme="minorHAnsi"/>
                <w:color w:val="000000"/>
                <w:sz w:val="20"/>
                <w:szCs w:val="20"/>
              </w:rPr>
            </w:pPr>
            <w:r w:rsidRPr="00701439">
              <w:rPr>
                <w:rFonts w:asciiTheme="minorHAnsi" w:hAnsiTheme="minorHAnsi" w:cstheme="minorHAnsi"/>
                <w:color w:val="000000"/>
                <w:sz w:val="20"/>
                <w:szCs w:val="20"/>
              </w:rPr>
              <w:t> </w:t>
            </w:r>
          </w:p>
        </w:tc>
        <w:tc>
          <w:tcPr>
            <w:tcW w:w="607" w:type="pct"/>
            <w:tcBorders>
              <w:top w:val="nil"/>
              <w:left w:val="nil"/>
              <w:bottom w:val="single" w:sz="4" w:space="0" w:color="auto"/>
              <w:right w:val="nil"/>
            </w:tcBorders>
            <w:shd w:val="clear" w:color="auto" w:fill="auto"/>
            <w:noWrap/>
            <w:vAlign w:val="bottom"/>
            <w:hideMark/>
          </w:tcPr>
          <w:p w14:paraId="59527EC5" w14:textId="77777777" w:rsidR="00961CC2" w:rsidRPr="00701439" w:rsidRDefault="00961CC2" w:rsidP="00961CC2">
            <w:pPr>
              <w:rPr>
                <w:rFonts w:asciiTheme="minorHAnsi" w:hAnsiTheme="minorHAnsi" w:cstheme="minorHAnsi"/>
                <w:color w:val="000000"/>
                <w:sz w:val="20"/>
                <w:szCs w:val="20"/>
              </w:rPr>
            </w:pPr>
            <w:r w:rsidRPr="00701439">
              <w:rPr>
                <w:rFonts w:asciiTheme="minorHAnsi" w:hAnsiTheme="minorHAnsi" w:cstheme="minorHAnsi"/>
                <w:color w:val="000000"/>
                <w:sz w:val="20"/>
                <w:szCs w:val="20"/>
              </w:rPr>
              <w:t> </w:t>
            </w:r>
          </w:p>
        </w:tc>
      </w:tr>
      <w:tr w:rsidR="00961CC2" w:rsidRPr="00701439" w14:paraId="22848D18" w14:textId="77777777" w:rsidTr="00C771AE">
        <w:trPr>
          <w:trHeight w:val="288"/>
        </w:trPr>
        <w:tc>
          <w:tcPr>
            <w:tcW w:w="1964" w:type="pct"/>
            <w:tcBorders>
              <w:top w:val="nil"/>
              <w:left w:val="nil"/>
              <w:bottom w:val="nil"/>
              <w:right w:val="nil"/>
            </w:tcBorders>
            <w:shd w:val="clear" w:color="auto" w:fill="auto"/>
            <w:noWrap/>
            <w:vAlign w:val="bottom"/>
            <w:hideMark/>
          </w:tcPr>
          <w:p w14:paraId="4EAAD559" w14:textId="6874FFA6" w:rsidR="00961CC2" w:rsidRPr="00701439" w:rsidRDefault="00961CC2" w:rsidP="00961CC2">
            <w:pPr>
              <w:rPr>
                <w:rFonts w:asciiTheme="minorHAnsi" w:hAnsiTheme="minorHAnsi" w:cstheme="minorHAnsi"/>
                <w:color w:val="000000"/>
                <w:sz w:val="20"/>
                <w:szCs w:val="20"/>
              </w:rPr>
            </w:pPr>
            <w:r w:rsidRPr="00701439">
              <w:rPr>
                <w:rFonts w:asciiTheme="minorHAnsi" w:hAnsiTheme="minorHAnsi" w:cstheme="minorHAnsi"/>
                <w:color w:val="000000"/>
                <w:sz w:val="20"/>
                <w:szCs w:val="20"/>
              </w:rPr>
              <w:t>Cost of living (note b))</w:t>
            </w:r>
          </w:p>
        </w:tc>
        <w:tc>
          <w:tcPr>
            <w:tcW w:w="607" w:type="pct"/>
            <w:tcBorders>
              <w:top w:val="nil"/>
              <w:left w:val="nil"/>
              <w:bottom w:val="nil"/>
              <w:right w:val="nil"/>
            </w:tcBorders>
            <w:shd w:val="clear" w:color="auto" w:fill="auto"/>
            <w:noWrap/>
            <w:vAlign w:val="bottom"/>
            <w:hideMark/>
          </w:tcPr>
          <w:p w14:paraId="0AC7A0E9" w14:textId="77777777" w:rsidR="00961CC2" w:rsidRPr="00701439" w:rsidRDefault="00961CC2" w:rsidP="00961CC2">
            <w:pPr>
              <w:rPr>
                <w:rFonts w:asciiTheme="minorHAnsi" w:hAnsiTheme="minorHAnsi" w:cstheme="minorHAnsi"/>
                <w:color w:val="000000"/>
                <w:sz w:val="20"/>
                <w:szCs w:val="20"/>
              </w:rPr>
            </w:pPr>
          </w:p>
        </w:tc>
        <w:tc>
          <w:tcPr>
            <w:tcW w:w="607" w:type="pct"/>
            <w:tcBorders>
              <w:top w:val="nil"/>
              <w:left w:val="nil"/>
              <w:bottom w:val="nil"/>
              <w:right w:val="nil"/>
            </w:tcBorders>
            <w:shd w:val="clear" w:color="auto" w:fill="auto"/>
            <w:noWrap/>
            <w:vAlign w:val="bottom"/>
            <w:hideMark/>
          </w:tcPr>
          <w:p w14:paraId="2774BB80" w14:textId="77777777" w:rsidR="00961CC2" w:rsidRPr="00701439" w:rsidRDefault="00961CC2" w:rsidP="00961CC2">
            <w:pPr>
              <w:rPr>
                <w:rFonts w:asciiTheme="minorHAnsi" w:hAnsiTheme="minorHAnsi" w:cstheme="minorHAnsi"/>
                <w:sz w:val="20"/>
                <w:szCs w:val="20"/>
              </w:rPr>
            </w:pPr>
          </w:p>
        </w:tc>
        <w:tc>
          <w:tcPr>
            <w:tcW w:w="607" w:type="pct"/>
            <w:tcBorders>
              <w:top w:val="nil"/>
              <w:left w:val="nil"/>
              <w:bottom w:val="nil"/>
              <w:right w:val="nil"/>
            </w:tcBorders>
            <w:shd w:val="clear" w:color="auto" w:fill="auto"/>
            <w:noWrap/>
            <w:vAlign w:val="bottom"/>
            <w:hideMark/>
          </w:tcPr>
          <w:p w14:paraId="4449E176" w14:textId="77777777" w:rsidR="00961CC2" w:rsidRPr="00701439" w:rsidRDefault="00961CC2" w:rsidP="00961CC2">
            <w:pPr>
              <w:rPr>
                <w:rFonts w:asciiTheme="minorHAnsi" w:hAnsiTheme="minorHAnsi" w:cstheme="minorHAnsi"/>
                <w:sz w:val="20"/>
                <w:szCs w:val="20"/>
              </w:rPr>
            </w:pPr>
          </w:p>
        </w:tc>
        <w:tc>
          <w:tcPr>
            <w:tcW w:w="607" w:type="pct"/>
            <w:tcBorders>
              <w:top w:val="nil"/>
              <w:left w:val="nil"/>
              <w:bottom w:val="nil"/>
              <w:right w:val="nil"/>
            </w:tcBorders>
            <w:shd w:val="clear" w:color="auto" w:fill="auto"/>
            <w:noWrap/>
            <w:vAlign w:val="bottom"/>
            <w:hideMark/>
          </w:tcPr>
          <w:p w14:paraId="615B3C0A" w14:textId="43110C0A" w:rsidR="00961CC2" w:rsidRPr="00701439" w:rsidRDefault="00961CC2" w:rsidP="00961CC2">
            <w:pPr>
              <w:jc w:val="right"/>
              <w:rPr>
                <w:rFonts w:asciiTheme="minorHAnsi" w:hAnsiTheme="minorHAnsi" w:cstheme="minorHAnsi"/>
                <w:color w:val="000000"/>
                <w:sz w:val="20"/>
                <w:szCs w:val="20"/>
              </w:rPr>
            </w:pPr>
            <w:r w:rsidRPr="00701439">
              <w:rPr>
                <w:rFonts w:asciiTheme="minorHAnsi" w:hAnsiTheme="minorHAnsi" w:cstheme="minorHAnsi"/>
                <w:color w:val="000000"/>
                <w:sz w:val="20"/>
                <w:szCs w:val="20"/>
              </w:rPr>
              <w:t>10.0</w:t>
            </w:r>
          </w:p>
        </w:tc>
        <w:tc>
          <w:tcPr>
            <w:tcW w:w="607" w:type="pct"/>
            <w:tcBorders>
              <w:top w:val="nil"/>
              <w:left w:val="nil"/>
              <w:bottom w:val="nil"/>
              <w:right w:val="nil"/>
            </w:tcBorders>
            <w:shd w:val="clear" w:color="auto" w:fill="auto"/>
            <w:noWrap/>
            <w:vAlign w:val="bottom"/>
            <w:hideMark/>
          </w:tcPr>
          <w:p w14:paraId="041B331D" w14:textId="0B2FCA08" w:rsidR="00961CC2" w:rsidRPr="00701439" w:rsidRDefault="00961CC2" w:rsidP="00961CC2">
            <w:pPr>
              <w:jc w:val="right"/>
              <w:rPr>
                <w:rFonts w:asciiTheme="minorHAnsi" w:hAnsiTheme="minorHAnsi" w:cstheme="minorHAnsi"/>
                <w:color w:val="000000"/>
                <w:sz w:val="20"/>
                <w:szCs w:val="20"/>
              </w:rPr>
            </w:pPr>
            <w:r w:rsidRPr="00701439">
              <w:rPr>
                <w:rFonts w:asciiTheme="minorHAnsi" w:hAnsiTheme="minorHAnsi" w:cstheme="minorHAnsi"/>
                <w:color w:val="000000"/>
                <w:sz w:val="20"/>
                <w:szCs w:val="20"/>
              </w:rPr>
              <w:t>7.8</w:t>
            </w:r>
          </w:p>
        </w:tc>
      </w:tr>
      <w:tr w:rsidR="00961CC2" w:rsidRPr="00701439" w14:paraId="6AD7CCB9" w14:textId="77777777" w:rsidTr="00C771AE">
        <w:trPr>
          <w:trHeight w:val="288"/>
        </w:trPr>
        <w:tc>
          <w:tcPr>
            <w:tcW w:w="1964" w:type="pct"/>
            <w:tcBorders>
              <w:top w:val="nil"/>
              <w:left w:val="nil"/>
              <w:bottom w:val="nil"/>
              <w:right w:val="nil"/>
            </w:tcBorders>
            <w:shd w:val="clear" w:color="auto" w:fill="auto"/>
            <w:noWrap/>
            <w:vAlign w:val="bottom"/>
            <w:hideMark/>
          </w:tcPr>
          <w:p w14:paraId="522595FA" w14:textId="682197B1" w:rsidR="00961CC2" w:rsidRPr="00701439" w:rsidRDefault="00961CC2" w:rsidP="00961CC2">
            <w:pPr>
              <w:rPr>
                <w:rFonts w:asciiTheme="minorHAnsi" w:hAnsiTheme="minorHAnsi" w:cstheme="minorHAnsi"/>
                <w:color w:val="000000"/>
                <w:sz w:val="20"/>
                <w:szCs w:val="20"/>
              </w:rPr>
            </w:pPr>
            <w:r w:rsidRPr="00701439">
              <w:rPr>
                <w:rFonts w:asciiTheme="minorHAnsi" w:hAnsiTheme="minorHAnsi" w:cstheme="minorHAnsi"/>
                <w:color w:val="000000"/>
                <w:sz w:val="20"/>
                <w:szCs w:val="20"/>
              </w:rPr>
              <w:t>Persistent debt (note (</w:t>
            </w:r>
            <w:r w:rsidR="001B269B" w:rsidRPr="00701439">
              <w:rPr>
                <w:rFonts w:asciiTheme="minorHAnsi" w:hAnsiTheme="minorHAnsi" w:cstheme="minorHAnsi"/>
                <w:color w:val="000000"/>
                <w:sz w:val="20"/>
                <w:szCs w:val="20"/>
              </w:rPr>
              <w:t>c</w:t>
            </w:r>
            <w:r w:rsidRPr="00701439">
              <w:rPr>
                <w:rFonts w:asciiTheme="minorHAnsi" w:hAnsiTheme="minorHAnsi" w:cstheme="minorHAnsi"/>
                <w:color w:val="000000"/>
                <w:sz w:val="20"/>
                <w:szCs w:val="20"/>
              </w:rPr>
              <w:t>))</w:t>
            </w:r>
          </w:p>
        </w:tc>
        <w:tc>
          <w:tcPr>
            <w:tcW w:w="607" w:type="pct"/>
            <w:tcBorders>
              <w:top w:val="nil"/>
              <w:left w:val="nil"/>
              <w:bottom w:val="nil"/>
              <w:right w:val="nil"/>
            </w:tcBorders>
            <w:shd w:val="clear" w:color="auto" w:fill="auto"/>
            <w:noWrap/>
            <w:vAlign w:val="bottom"/>
            <w:hideMark/>
          </w:tcPr>
          <w:p w14:paraId="06F783DF" w14:textId="77777777" w:rsidR="00961CC2" w:rsidRPr="00701439" w:rsidRDefault="00961CC2" w:rsidP="00961CC2">
            <w:pPr>
              <w:rPr>
                <w:rFonts w:asciiTheme="minorHAnsi" w:hAnsiTheme="minorHAnsi" w:cstheme="minorHAnsi"/>
                <w:color w:val="000000"/>
                <w:sz w:val="20"/>
                <w:szCs w:val="20"/>
              </w:rPr>
            </w:pPr>
          </w:p>
        </w:tc>
        <w:tc>
          <w:tcPr>
            <w:tcW w:w="607" w:type="pct"/>
            <w:tcBorders>
              <w:top w:val="nil"/>
              <w:left w:val="nil"/>
              <w:bottom w:val="nil"/>
              <w:right w:val="nil"/>
            </w:tcBorders>
            <w:shd w:val="clear" w:color="auto" w:fill="auto"/>
            <w:noWrap/>
            <w:vAlign w:val="bottom"/>
            <w:hideMark/>
          </w:tcPr>
          <w:p w14:paraId="608AB2A3" w14:textId="77777777" w:rsidR="00961CC2" w:rsidRPr="00701439" w:rsidRDefault="00961CC2" w:rsidP="00961CC2">
            <w:pPr>
              <w:rPr>
                <w:rFonts w:asciiTheme="minorHAnsi" w:hAnsiTheme="minorHAnsi" w:cstheme="minorHAnsi"/>
                <w:sz w:val="20"/>
                <w:szCs w:val="20"/>
              </w:rPr>
            </w:pPr>
          </w:p>
        </w:tc>
        <w:tc>
          <w:tcPr>
            <w:tcW w:w="607" w:type="pct"/>
            <w:tcBorders>
              <w:top w:val="nil"/>
              <w:left w:val="nil"/>
              <w:bottom w:val="nil"/>
              <w:right w:val="nil"/>
            </w:tcBorders>
            <w:shd w:val="clear" w:color="auto" w:fill="auto"/>
            <w:noWrap/>
            <w:vAlign w:val="bottom"/>
            <w:hideMark/>
          </w:tcPr>
          <w:p w14:paraId="43F412FF" w14:textId="77777777" w:rsidR="00961CC2" w:rsidRPr="00701439" w:rsidRDefault="00961CC2" w:rsidP="00961CC2">
            <w:pPr>
              <w:rPr>
                <w:rFonts w:asciiTheme="minorHAnsi" w:hAnsiTheme="minorHAnsi" w:cstheme="minorHAnsi"/>
                <w:sz w:val="20"/>
                <w:szCs w:val="20"/>
              </w:rPr>
            </w:pPr>
          </w:p>
        </w:tc>
        <w:tc>
          <w:tcPr>
            <w:tcW w:w="607" w:type="pct"/>
            <w:tcBorders>
              <w:top w:val="nil"/>
              <w:left w:val="nil"/>
              <w:bottom w:val="nil"/>
              <w:right w:val="nil"/>
            </w:tcBorders>
            <w:shd w:val="clear" w:color="auto" w:fill="auto"/>
            <w:noWrap/>
            <w:vAlign w:val="bottom"/>
            <w:hideMark/>
          </w:tcPr>
          <w:p w14:paraId="05899D2D" w14:textId="0007C429" w:rsidR="00961CC2" w:rsidRPr="00701439" w:rsidRDefault="00961CC2" w:rsidP="00961CC2">
            <w:pPr>
              <w:jc w:val="right"/>
              <w:rPr>
                <w:rFonts w:asciiTheme="minorHAnsi" w:hAnsiTheme="minorHAnsi" w:cstheme="minorHAnsi"/>
                <w:color w:val="000000"/>
                <w:sz w:val="20"/>
                <w:szCs w:val="20"/>
              </w:rPr>
            </w:pPr>
            <w:r w:rsidRPr="00701439">
              <w:rPr>
                <w:rFonts w:asciiTheme="minorHAnsi" w:hAnsiTheme="minorHAnsi" w:cstheme="minorHAnsi"/>
                <w:color w:val="000000"/>
                <w:sz w:val="20"/>
                <w:szCs w:val="20"/>
              </w:rPr>
              <w:t>2.8</w:t>
            </w:r>
          </w:p>
        </w:tc>
        <w:tc>
          <w:tcPr>
            <w:tcW w:w="607" w:type="pct"/>
            <w:tcBorders>
              <w:top w:val="nil"/>
              <w:left w:val="nil"/>
              <w:bottom w:val="nil"/>
              <w:right w:val="nil"/>
            </w:tcBorders>
            <w:shd w:val="clear" w:color="auto" w:fill="auto"/>
            <w:noWrap/>
            <w:vAlign w:val="bottom"/>
            <w:hideMark/>
          </w:tcPr>
          <w:p w14:paraId="0B5F8757" w14:textId="4366399F" w:rsidR="00961CC2" w:rsidRPr="00701439" w:rsidRDefault="00961CC2" w:rsidP="00961CC2">
            <w:pPr>
              <w:jc w:val="right"/>
              <w:rPr>
                <w:rFonts w:asciiTheme="minorHAnsi" w:hAnsiTheme="minorHAnsi" w:cstheme="minorHAnsi"/>
                <w:color w:val="000000"/>
                <w:sz w:val="20"/>
                <w:szCs w:val="20"/>
              </w:rPr>
            </w:pPr>
            <w:r w:rsidRPr="00701439">
              <w:rPr>
                <w:rFonts w:asciiTheme="minorHAnsi" w:hAnsiTheme="minorHAnsi" w:cstheme="minorHAnsi"/>
                <w:color w:val="000000"/>
                <w:sz w:val="20"/>
                <w:szCs w:val="20"/>
              </w:rPr>
              <w:t>5.8</w:t>
            </w:r>
          </w:p>
        </w:tc>
      </w:tr>
      <w:tr w:rsidR="00961CC2" w:rsidRPr="00701439" w14:paraId="539B1AEF" w14:textId="77777777" w:rsidTr="00C771AE">
        <w:trPr>
          <w:trHeight w:val="288"/>
        </w:trPr>
        <w:tc>
          <w:tcPr>
            <w:tcW w:w="1964" w:type="pct"/>
            <w:tcBorders>
              <w:top w:val="nil"/>
              <w:left w:val="nil"/>
              <w:bottom w:val="nil"/>
              <w:right w:val="nil"/>
            </w:tcBorders>
            <w:shd w:val="clear" w:color="auto" w:fill="auto"/>
            <w:noWrap/>
            <w:vAlign w:val="bottom"/>
            <w:hideMark/>
          </w:tcPr>
          <w:p w14:paraId="73D5D748" w14:textId="2587271D" w:rsidR="00961CC2" w:rsidRPr="00701439" w:rsidRDefault="00961CC2" w:rsidP="00961CC2">
            <w:pPr>
              <w:rPr>
                <w:rFonts w:asciiTheme="minorHAnsi" w:hAnsiTheme="minorHAnsi" w:cstheme="minorHAnsi"/>
                <w:color w:val="000000"/>
                <w:sz w:val="20"/>
                <w:szCs w:val="20"/>
              </w:rPr>
            </w:pPr>
            <w:r w:rsidRPr="00701439">
              <w:rPr>
                <w:rFonts w:asciiTheme="minorHAnsi" w:hAnsiTheme="minorHAnsi" w:cstheme="minorHAnsi"/>
                <w:color w:val="000000"/>
                <w:sz w:val="20"/>
                <w:szCs w:val="20"/>
              </w:rPr>
              <w:t>Affordability (note (d))</w:t>
            </w:r>
          </w:p>
        </w:tc>
        <w:tc>
          <w:tcPr>
            <w:tcW w:w="607" w:type="pct"/>
            <w:tcBorders>
              <w:top w:val="nil"/>
              <w:left w:val="nil"/>
              <w:bottom w:val="nil"/>
              <w:right w:val="nil"/>
            </w:tcBorders>
            <w:shd w:val="clear" w:color="auto" w:fill="auto"/>
            <w:noWrap/>
            <w:vAlign w:val="bottom"/>
            <w:hideMark/>
          </w:tcPr>
          <w:p w14:paraId="6DB0CB95" w14:textId="77777777" w:rsidR="00961CC2" w:rsidRPr="00701439" w:rsidRDefault="00961CC2" w:rsidP="00961CC2">
            <w:pPr>
              <w:rPr>
                <w:rFonts w:asciiTheme="minorHAnsi" w:hAnsiTheme="minorHAnsi" w:cstheme="minorHAnsi"/>
                <w:color w:val="000000"/>
                <w:sz w:val="20"/>
                <w:szCs w:val="20"/>
              </w:rPr>
            </w:pPr>
          </w:p>
        </w:tc>
        <w:tc>
          <w:tcPr>
            <w:tcW w:w="607" w:type="pct"/>
            <w:tcBorders>
              <w:top w:val="nil"/>
              <w:left w:val="nil"/>
              <w:bottom w:val="nil"/>
              <w:right w:val="nil"/>
            </w:tcBorders>
            <w:shd w:val="clear" w:color="auto" w:fill="auto"/>
            <w:noWrap/>
            <w:vAlign w:val="bottom"/>
            <w:hideMark/>
          </w:tcPr>
          <w:p w14:paraId="327EF8A8" w14:textId="77777777" w:rsidR="00961CC2" w:rsidRPr="00701439" w:rsidRDefault="00961CC2" w:rsidP="00961CC2">
            <w:pPr>
              <w:rPr>
                <w:rFonts w:asciiTheme="minorHAnsi" w:hAnsiTheme="minorHAnsi" w:cstheme="minorHAnsi"/>
                <w:sz w:val="20"/>
                <w:szCs w:val="20"/>
              </w:rPr>
            </w:pPr>
          </w:p>
        </w:tc>
        <w:tc>
          <w:tcPr>
            <w:tcW w:w="607" w:type="pct"/>
            <w:tcBorders>
              <w:top w:val="nil"/>
              <w:left w:val="nil"/>
              <w:bottom w:val="nil"/>
              <w:right w:val="nil"/>
            </w:tcBorders>
            <w:shd w:val="clear" w:color="auto" w:fill="auto"/>
            <w:noWrap/>
            <w:vAlign w:val="bottom"/>
            <w:hideMark/>
          </w:tcPr>
          <w:p w14:paraId="4C1623AA" w14:textId="77777777" w:rsidR="00961CC2" w:rsidRPr="00701439" w:rsidRDefault="00961CC2" w:rsidP="00961CC2">
            <w:pPr>
              <w:rPr>
                <w:rFonts w:asciiTheme="minorHAnsi" w:hAnsiTheme="minorHAnsi" w:cstheme="minorHAnsi"/>
                <w:sz w:val="20"/>
                <w:szCs w:val="20"/>
              </w:rPr>
            </w:pPr>
          </w:p>
        </w:tc>
        <w:tc>
          <w:tcPr>
            <w:tcW w:w="607" w:type="pct"/>
            <w:tcBorders>
              <w:top w:val="nil"/>
              <w:left w:val="nil"/>
              <w:bottom w:val="nil"/>
              <w:right w:val="nil"/>
            </w:tcBorders>
            <w:shd w:val="clear" w:color="auto" w:fill="auto"/>
            <w:noWrap/>
            <w:vAlign w:val="bottom"/>
            <w:hideMark/>
          </w:tcPr>
          <w:p w14:paraId="08631A69" w14:textId="44FD1B48" w:rsidR="00961CC2" w:rsidRPr="00701439" w:rsidRDefault="00961CC2" w:rsidP="00961CC2">
            <w:pPr>
              <w:jc w:val="right"/>
              <w:rPr>
                <w:rFonts w:asciiTheme="minorHAnsi" w:hAnsiTheme="minorHAnsi" w:cstheme="minorHAnsi"/>
                <w:color w:val="000000"/>
                <w:sz w:val="20"/>
                <w:szCs w:val="20"/>
              </w:rPr>
            </w:pPr>
            <w:r w:rsidRPr="00701439">
              <w:rPr>
                <w:rFonts w:asciiTheme="minorHAnsi" w:hAnsiTheme="minorHAnsi" w:cstheme="minorHAnsi"/>
                <w:color w:val="000000"/>
                <w:sz w:val="20"/>
                <w:szCs w:val="20"/>
              </w:rPr>
              <w:t>0.3</w:t>
            </w:r>
          </w:p>
        </w:tc>
        <w:tc>
          <w:tcPr>
            <w:tcW w:w="607" w:type="pct"/>
            <w:tcBorders>
              <w:top w:val="nil"/>
              <w:left w:val="nil"/>
              <w:bottom w:val="nil"/>
              <w:right w:val="nil"/>
            </w:tcBorders>
            <w:shd w:val="clear" w:color="auto" w:fill="auto"/>
            <w:noWrap/>
            <w:vAlign w:val="bottom"/>
            <w:hideMark/>
          </w:tcPr>
          <w:p w14:paraId="5CF8E5F7" w14:textId="43BD62C0" w:rsidR="00961CC2" w:rsidRPr="00701439" w:rsidRDefault="00961CC2" w:rsidP="00961CC2">
            <w:pPr>
              <w:jc w:val="right"/>
              <w:rPr>
                <w:rFonts w:asciiTheme="minorHAnsi" w:hAnsiTheme="minorHAnsi" w:cstheme="minorHAnsi"/>
                <w:color w:val="000000"/>
                <w:sz w:val="20"/>
                <w:szCs w:val="20"/>
              </w:rPr>
            </w:pPr>
            <w:r w:rsidRPr="00701439">
              <w:rPr>
                <w:rFonts w:asciiTheme="minorHAnsi" w:hAnsiTheme="minorHAnsi" w:cstheme="minorHAnsi"/>
                <w:color w:val="000000"/>
                <w:sz w:val="20"/>
                <w:szCs w:val="20"/>
              </w:rPr>
              <w:t>5.0</w:t>
            </w:r>
          </w:p>
        </w:tc>
      </w:tr>
      <w:tr w:rsidR="00961CC2" w:rsidRPr="00701439" w14:paraId="147E08A1" w14:textId="77777777" w:rsidTr="00C771AE">
        <w:trPr>
          <w:trHeight w:val="288"/>
        </w:trPr>
        <w:tc>
          <w:tcPr>
            <w:tcW w:w="1964" w:type="pct"/>
            <w:tcBorders>
              <w:top w:val="nil"/>
              <w:left w:val="nil"/>
              <w:bottom w:val="nil"/>
              <w:right w:val="nil"/>
            </w:tcBorders>
            <w:shd w:val="clear" w:color="auto" w:fill="auto"/>
            <w:noWrap/>
            <w:vAlign w:val="bottom"/>
            <w:hideMark/>
          </w:tcPr>
          <w:p w14:paraId="00651360" w14:textId="6BC55BA8" w:rsidR="00961CC2" w:rsidRPr="00701439" w:rsidRDefault="00961CC2" w:rsidP="00961CC2">
            <w:pPr>
              <w:rPr>
                <w:rFonts w:asciiTheme="minorHAnsi" w:hAnsiTheme="minorHAnsi" w:cstheme="minorHAnsi"/>
                <w:color w:val="000000"/>
                <w:sz w:val="20"/>
                <w:szCs w:val="20"/>
              </w:rPr>
            </w:pPr>
            <w:r w:rsidRPr="00701439">
              <w:rPr>
                <w:rFonts w:asciiTheme="minorHAnsi" w:hAnsiTheme="minorHAnsi" w:cstheme="minorHAnsi"/>
                <w:color w:val="000000"/>
                <w:sz w:val="20"/>
                <w:szCs w:val="20"/>
              </w:rPr>
              <w:t>Recoveries (note (</w:t>
            </w:r>
            <w:r w:rsidR="001B269B" w:rsidRPr="00701439">
              <w:rPr>
                <w:rFonts w:asciiTheme="minorHAnsi" w:hAnsiTheme="minorHAnsi" w:cstheme="minorHAnsi"/>
                <w:color w:val="000000"/>
                <w:sz w:val="20"/>
                <w:szCs w:val="20"/>
              </w:rPr>
              <w:t>e</w:t>
            </w:r>
            <w:r w:rsidRPr="00701439">
              <w:rPr>
                <w:rFonts w:asciiTheme="minorHAnsi" w:hAnsiTheme="minorHAnsi" w:cstheme="minorHAnsi"/>
                <w:color w:val="000000"/>
                <w:sz w:val="20"/>
                <w:szCs w:val="20"/>
              </w:rPr>
              <w:t>))</w:t>
            </w:r>
          </w:p>
        </w:tc>
        <w:tc>
          <w:tcPr>
            <w:tcW w:w="607" w:type="pct"/>
            <w:tcBorders>
              <w:top w:val="nil"/>
              <w:left w:val="nil"/>
              <w:bottom w:val="nil"/>
              <w:right w:val="nil"/>
            </w:tcBorders>
            <w:shd w:val="clear" w:color="auto" w:fill="auto"/>
            <w:noWrap/>
            <w:vAlign w:val="bottom"/>
            <w:hideMark/>
          </w:tcPr>
          <w:p w14:paraId="40A50777" w14:textId="77777777" w:rsidR="00961CC2" w:rsidRPr="00701439" w:rsidRDefault="00961CC2" w:rsidP="00961CC2">
            <w:pPr>
              <w:rPr>
                <w:rFonts w:asciiTheme="minorHAnsi" w:hAnsiTheme="minorHAnsi" w:cstheme="minorHAnsi"/>
                <w:color w:val="000000"/>
                <w:sz w:val="20"/>
                <w:szCs w:val="20"/>
              </w:rPr>
            </w:pPr>
          </w:p>
        </w:tc>
        <w:tc>
          <w:tcPr>
            <w:tcW w:w="607" w:type="pct"/>
            <w:tcBorders>
              <w:top w:val="nil"/>
              <w:left w:val="nil"/>
              <w:bottom w:val="nil"/>
              <w:right w:val="nil"/>
            </w:tcBorders>
            <w:shd w:val="clear" w:color="auto" w:fill="auto"/>
            <w:noWrap/>
            <w:vAlign w:val="bottom"/>
            <w:hideMark/>
          </w:tcPr>
          <w:p w14:paraId="161C45EA" w14:textId="77777777" w:rsidR="00961CC2" w:rsidRPr="00701439" w:rsidRDefault="00961CC2" w:rsidP="00961CC2">
            <w:pPr>
              <w:rPr>
                <w:rFonts w:asciiTheme="minorHAnsi" w:hAnsiTheme="minorHAnsi" w:cstheme="minorHAnsi"/>
                <w:sz w:val="20"/>
                <w:szCs w:val="20"/>
              </w:rPr>
            </w:pPr>
          </w:p>
        </w:tc>
        <w:tc>
          <w:tcPr>
            <w:tcW w:w="607" w:type="pct"/>
            <w:tcBorders>
              <w:top w:val="nil"/>
              <w:left w:val="nil"/>
              <w:bottom w:val="nil"/>
              <w:right w:val="nil"/>
            </w:tcBorders>
            <w:shd w:val="clear" w:color="auto" w:fill="auto"/>
            <w:noWrap/>
            <w:vAlign w:val="bottom"/>
            <w:hideMark/>
          </w:tcPr>
          <w:p w14:paraId="55B2D02A" w14:textId="77777777" w:rsidR="00961CC2" w:rsidRPr="00701439" w:rsidRDefault="00961CC2" w:rsidP="00961CC2">
            <w:pPr>
              <w:rPr>
                <w:rFonts w:asciiTheme="minorHAnsi" w:hAnsiTheme="minorHAnsi" w:cstheme="minorHAnsi"/>
                <w:sz w:val="20"/>
                <w:szCs w:val="20"/>
              </w:rPr>
            </w:pPr>
          </w:p>
        </w:tc>
        <w:tc>
          <w:tcPr>
            <w:tcW w:w="607" w:type="pct"/>
            <w:tcBorders>
              <w:top w:val="nil"/>
              <w:left w:val="nil"/>
              <w:bottom w:val="nil"/>
              <w:right w:val="nil"/>
            </w:tcBorders>
            <w:shd w:val="clear" w:color="auto" w:fill="auto"/>
            <w:noWrap/>
            <w:vAlign w:val="bottom"/>
            <w:hideMark/>
          </w:tcPr>
          <w:p w14:paraId="47E8B0E7" w14:textId="3D0C7073" w:rsidR="00961CC2" w:rsidRPr="00701439" w:rsidRDefault="00961CC2" w:rsidP="00961CC2">
            <w:pPr>
              <w:jc w:val="right"/>
              <w:rPr>
                <w:rFonts w:asciiTheme="minorHAnsi" w:hAnsiTheme="minorHAnsi" w:cstheme="minorHAnsi"/>
                <w:color w:val="000000"/>
                <w:sz w:val="20"/>
                <w:szCs w:val="20"/>
              </w:rPr>
            </w:pPr>
            <w:r w:rsidRPr="00701439">
              <w:rPr>
                <w:rFonts w:asciiTheme="minorHAnsi" w:hAnsiTheme="minorHAnsi" w:cstheme="minorHAnsi"/>
                <w:color w:val="000000"/>
                <w:sz w:val="20"/>
                <w:szCs w:val="20"/>
              </w:rPr>
              <w:t>2.5</w:t>
            </w:r>
          </w:p>
        </w:tc>
        <w:tc>
          <w:tcPr>
            <w:tcW w:w="607" w:type="pct"/>
            <w:tcBorders>
              <w:top w:val="nil"/>
              <w:left w:val="nil"/>
              <w:bottom w:val="nil"/>
              <w:right w:val="nil"/>
            </w:tcBorders>
            <w:shd w:val="clear" w:color="auto" w:fill="auto"/>
            <w:noWrap/>
            <w:vAlign w:val="bottom"/>
            <w:hideMark/>
          </w:tcPr>
          <w:p w14:paraId="44D758FF" w14:textId="53823F5C" w:rsidR="00961CC2" w:rsidRPr="00701439" w:rsidRDefault="00961CC2" w:rsidP="00961CC2">
            <w:pPr>
              <w:jc w:val="right"/>
              <w:rPr>
                <w:rFonts w:asciiTheme="minorHAnsi" w:hAnsiTheme="minorHAnsi" w:cstheme="minorHAnsi"/>
                <w:color w:val="000000"/>
                <w:sz w:val="20"/>
                <w:szCs w:val="20"/>
              </w:rPr>
            </w:pPr>
            <w:r w:rsidRPr="00701439">
              <w:rPr>
                <w:rFonts w:asciiTheme="minorHAnsi" w:hAnsiTheme="minorHAnsi" w:cstheme="minorHAnsi"/>
                <w:color w:val="000000"/>
                <w:sz w:val="20"/>
                <w:szCs w:val="20"/>
              </w:rPr>
              <w:t>7.4</w:t>
            </w:r>
          </w:p>
        </w:tc>
      </w:tr>
      <w:tr w:rsidR="00961CC2" w:rsidRPr="00701439" w14:paraId="384A4927" w14:textId="77777777" w:rsidTr="00C771AE">
        <w:trPr>
          <w:trHeight w:val="288"/>
        </w:trPr>
        <w:tc>
          <w:tcPr>
            <w:tcW w:w="1964" w:type="pct"/>
            <w:tcBorders>
              <w:top w:val="nil"/>
              <w:left w:val="nil"/>
              <w:bottom w:val="nil"/>
              <w:right w:val="nil"/>
            </w:tcBorders>
            <w:shd w:val="clear" w:color="auto" w:fill="auto"/>
            <w:noWrap/>
            <w:vAlign w:val="bottom"/>
            <w:hideMark/>
          </w:tcPr>
          <w:p w14:paraId="421DC1BC" w14:textId="77777777" w:rsidR="00961CC2" w:rsidRPr="00701439" w:rsidRDefault="00961CC2" w:rsidP="00961CC2">
            <w:pPr>
              <w:rPr>
                <w:rFonts w:asciiTheme="minorHAnsi" w:hAnsiTheme="minorHAnsi" w:cstheme="minorHAnsi"/>
                <w:color w:val="000000"/>
                <w:sz w:val="20"/>
                <w:szCs w:val="20"/>
              </w:rPr>
            </w:pPr>
            <w:r w:rsidRPr="00701439">
              <w:rPr>
                <w:rFonts w:asciiTheme="minorHAnsi" w:hAnsiTheme="minorHAnsi" w:cstheme="minorHAnsi"/>
                <w:color w:val="000000"/>
                <w:sz w:val="20"/>
                <w:szCs w:val="20"/>
              </w:rPr>
              <w:t>Other</w:t>
            </w:r>
          </w:p>
        </w:tc>
        <w:tc>
          <w:tcPr>
            <w:tcW w:w="607" w:type="pct"/>
            <w:tcBorders>
              <w:top w:val="nil"/>
              <w:left w:val="nil"/>
              <w:bottom w:val="nil"/>
              <w:right w:val="nil"/>
            </w:tcBorders>
            <w:shd w:val="clear" w:color="auto" w:fill="auto"/>
            <w:noWrap/>
            <w:vAlign w:val="bottom"/>
            <w:hideMark/>
          </w:tcPr>
          <w:p w14:paraId="0A9E1A73" w14:textId="77777777" w:rsidR="00961CC2" w:rsidRPr="00701439" w:rsidRDefault="00961CC2" w:rsidP="00961CC2">
            <w:pPr>
              <w:rPr>
                <w:rFonts w:asciiTheme="minorHAnsi" w:hAnsiTheme="minorHAnsi" w:cstheme="minorHAnsi"/>
                <w:color w:val="000000"/>
                <w:sz w:val="20"/>
                <w:szCs w:val="20"/>
              </w:rPr>
            </w:pPr>
          </w:p>
        </w:tc>
        <w:tc>
          <w:tcPr>
            <w:tcW w:w="607" w:type="pct"/>
            <w:tcBorders>
              <w:top w:val="nil"/>
              <w:left w:val="nil"/>
              <w:bottom w:val="nil"/>
              <w:right w:val="nil"/>
            </w:tcBorders>
            <w:shd w:val="clear" w:color="auto" w:fill="auto"/>
            <w:noWrap/>
            <w:vAlign w:val="bottom"/>
            <w:hideMark/>
          </w:tcPr>
          <w:p w14:paraId="6E695663" w14:textId="77777777" w:rsidR="00961CC2" w:rsidRPr="00701439" w:rsidRDefault="00961CC2" w:rsidP="00961CC2">
            <w:pPr>
              <w:rPr>
                <w:rFonts w:asciiTheme="minorHAnsi" w:hAnsiTheme="minorHAnsi" w:cstheme="minorHAnsi"/>
                <w:sz w:val="20"/>
                <w:szCs w:val="20"/>
              </w:rPr>
            </w:pPr>
          </w:p>
        </w:tc>
        <w:tc>
          <w:tcPr>
            <w:tcW w:w="607" w:type="pct"/>
            <w:tcBorders>
              <w:top w:val="nil"/>
              <w:left w:val="nil"/>
              <w:bottom w:val="nil"/>
              <w:right w:val="nil"/>
            </w:tcBorders>
            <w:shd w:val="clear" w:color="auto" w:fill="auto"/>
            <w:noWrap/>
            <w:vAlign w:val="bottom"/>
            <w:hideMark/>
          </w:tcPr>
          <w:p w14:paraId="5A23FF09" w14:textId="77777777" w:rsidR="00961CC2" w:rsidRPr="00701439" w:rsidRDefault="00961CC2" w:rsidP="00961CC2">
            <w:pPr>
              <w:rPr>
                <w:rFonts w:asciiTheme="minorHAnsi" w:hAnsiTheme="minorHAnsi" w:cstheme="minorHAnsi"/>
                <w:sz w:val="20"/>
                <w:szCs w:val="20"/>
              </w:rPr>
            </w:pPr>
          </w:p>
        </w:tc>
        <w:tc>
          <w:tcPr>
            <w:tcW w:w="607" w:type="pct"/>
            <w:tcBorders>
              <w:top w:val="nil"/>
              <w:left w:val="nil"/>
              <w:bottom w:val="nil"/>
              <w:right w:val="nil"/>
            </w:tcBorders>
            <w:shd w:val="clear" w:color="auto" w:fill="auto"/>
            <w:noWrap/>
            <w:vAlign w:val="bottom"/>
            <w:hideMark/>
          </w:tcPr>
          <w:p w14:paraId="31FBEBD7" w14:textId="2142C458" w:rsidR="00961CC2" w:rsidRPr="00701439" w:rsidRDefault="00961CC2" w:rsidP="00961CC2">
            <w:pPr>
              <w:jc w:val="right"/>
              <w:rPr>
                <w:rFonts w:asciiTheme="minorHAnsi" w:hAnsiTheme="minorHAnsi" w:cstheme="minorHAnsi"/>
                <w:color w:val="000000"/>
                <w:sz w:val="20"/>
                <w:szCs w:val="20"/>
              </w:rPr>
            </w:pPr>
            <w:r w:rsidRPr="00701439">
              <w:rPr>
                <w:rFonts w:asciiTheme="minorHAnsi" w:hAnsiTheme="minorHAnsi" w:cstheme="minorHAnsi"/>
                <w:color w:val="000000"/>
                <w:sz w:val="20"/>
                <w:szCs w:val="20"/>
              </w:rPr>
              <w:t>0.7</w:t>
            </w:r>
          </w:p>
        </w:tc>
        <w:tc>
          <w:tcPr>
            <w:tcW w:w="607" w:type="pct"/>
            <w:tcBorders>
              <w:top w:val="nil"/>
              <w:left w:val="nil"/>
              <w:bottom w:val="nil"/>
              <w:right w:val="nil"/>
            </w:tcBorders>
            <w:shd w:val="clear" w:color="auto" w:fill="auto"/>
            <w:noWrap/>
            <w:vAlign w:val="bottom"/>
            <w:hideMark/>
          </w:tcPr>
          <w:p w14:paraId="28935C57" w14:textId="46C57D92" w:rsidR="00961CC2" w:rsidRPr="00701439" w:rsidRDefault="00961CC2" w:rsidP="00961CC2">
            <w:pPr>
              <w:jc w:val="right"/>
              <w:rPr>
                <w:rFonts w:asciiTheme="minorHAnsi" w:hAnsiTheme="minorHAnsi" w:cstheme="minorHAnsi"/>
                <w:color w:val="000000"/>
                <w:sz w:val="20"/>
                <w:szCs w:val="20"/>
              </w:rPr>
            </w:pPr>
            <w:r w:rsidRPr="00701439">
              <w:rPr>
                <w:rFonts w:asciiTheme="minorHAnsi" w:hAnsiTheme="minorHAnsi" w:cstheme="minorHAnsi"/>
                <w:color w:val="000000"/>
                <w:sz w:val="20"/>
                <w:szCs w:val="20"/>
              </w:rPr>
              <w:t>0.1</w:t>
            </w:r>
          </w:p>
        </w:tc>
      </w:tr>
      <w:tr w:rsidR="00961CC2" w:rsidRPr="00701439" w14:paraId="40682238" w14:textId="77777777" w:rsidTr="0002541E">
        <w:trPr>
          <w:trHeight w:val="288"/>
        </w:trPr>
        <w:tc>
          <w:tcPr>
            <w:tcW w:w="1964" w:type="pct"/>
            <w:tcBorders>
              <w:left w:val="nil"/>
              <w:right w:val="nil"/>
            </w:tcBorders>
            <w:shd w:val="clear" w:color="auto" w:fill="auto"/>
            <w:noWrap/>
            <w:vAlign w:val="bottom"/>
            <w:hideMark/>
          </w:tcPr>
          <w:p w14:paraId="14E524F4" w14:textId="0D5A2DA0" w:rsidR="00961CC2" w:rsidRPr="00701439" w:rsidRDefault="00961CC2" w:rsidP="00961CC2">
            <w:pPr>
              <w:rPr>
                <w:rFonts w:asciiTheme="minorHAnsi" w:hAnsiTheme="minorHAnsi" w:cstheme="minorHAnsi"/>
                <w:b/>
                <w:bCs/>
                <w:color w:val="000000"/>
                <w:sz w:val="20"/>
                <w:szCs w:val="20"/>
              </w:rPr>
            </w:pPr>
            <w:r w:rsidRPr="00701439">
              <w:rPr>
                <w:rFonts w:asciiTheme="minorHAnsi" w:hAnsiTheme="minorHAnsi" w:cstheme="minorHAnsi"/>
                <w:b/>
                <w:bCs/>
                <w:color w:val="000000"/>
                <w:sz w:val="20"/>
                <w:szCs w:val="20"/>
              </w:rPr>
              <w:t>Total post</w:t>
            </w:r>
            <w:r w:rsidR="00E26476" w:rsidRPr="00701439">
              <w:rPr>
                <w:rFonts w:asciiTheme="minorHAnsi" w:hAnsiTheme="minorHAnsi" w:cstheme="minorHAnsi"/>
                <w:b/>
                <w:bCs/>
                <w:color w:val="000000"/>
                <w:sz w:val="20"/>
                <w:szCs w:val="20"/>
              </w:rPr>
              <w:t>-</w:t>
            </w:r>
            <w:r w:rsidRPr="00701439">
              <w:rPr>
                <w:rFonts w:asciiTheme="minorHAnsi" w:hAnsiTheme="minorHAnsi" w:cstheme="minorHAnsi"/>
                <w:b/>
                <w:bCs/>
                <w:color w:val="000000"/>
                <w:sz w:val="20"/>
                <w:szCs w:val="20"/>
              </w:rPr>
              <w:t>model overlays</w:t>
            </w:r>
          </w:p>
        </w:tc>
        <w:tc>
          <w:tcPr>
            <w:tcW w:w="607" w:type="pct"/>
            <w:tcBorders>
              <w:left w:val="nil"/>
              <w:right w:val="nil"/>
            </w:tcBorders>
            <w:shd w:val="clear" w:color="auto" w:fill="auto"/>
            <w:noWrap/>
            <w:vAlign w:val="bottom"/>
            <w:hideMark/>
          </w:tcPr>
          <w:p w14:paraId="35C75891" w14:textId="77777777" w:rsidR="00961CC2" w:rsidRPr="00701439" w:rsidRDefault="00961CC2" w:rsidP="00961CC2">
            <w:pPr>
              <w:rPr>
                <w:rFonts w:asciiTheme="minorHAnsi" w:hAnsiTheme="minorHAnsi" w:cstheme="minorHAnsi"/>
                <w:b/>
                <w:bCs/>
                <w:color w:val="000000"/>
                <w:sz w:val="20"/>
                <w:szCs w:val="20"/>
              </w:rPr>
            </w:pPr>
            <w:r w:rsidRPr="00701439">
              <w:rPr>
                <w:rFonts w:asciiTheme="minorHAnsi" w:hAnsiTheme="minorHAnsi" w:cstheme="minorHAnsi"/>
                <w:b/>
                <w:bCs/>
                <w:color w:val="000000"/>
                <w:sz w:val="20"/>
                <w:szCs w:val="20"/>
              </w:rPr>
              <w:t> </w:t>
            </w:r>
          </w:p>
        </w:tc>
        <w:tc>
          <w:tcPr>
            <w:tcW w:w="607" w:type="pct"/>
            <w:tcBorders>
              <w:left w:val="nil"/>
              <w:right w:val="nil"/>
            </w:tcBorders>
            <w:shd w:val="clear" w:color="auto" w:fill="auto"/>
            <w:noWrap/>
            <w:vAlign w:val="bottom"/>
            <w:hideMark/>
          </w:tcPr>
          <w:p w14:paraId="3B9D87CB" w14:textId="77777777" w:rsidR="00961CC2" w:rsidRPr="00701439" w:rsidRDefault="00961CC2" w:rsidP="00961CC2">
            <w:pPr>
              <w:rPr>
                <w:rFonts w:asciiTheme="minorHAnsi" w:hAnsiTheme="minorHAnsi" w:cstheme="minorHAnsi"/>
                <w:b/>
                <w:bCs/>
                <w:color w:val="000000"/>
                <w:sz w:val="20"/>
                <w:szCs w:val="20"/>
              </w:rPr>
            </w:pPr>
            <w:r w:rsidRPr="00701439">
              <w:rPr>
                <w:rFonts w:asciiTheme="minorHAnsi" w:hAnsiTheme="minorHAnsi" w:cstheme="minorHAnsi"/>
                <w:b/>
                <w:bCs/>
                <w:color w:val="000000"/>
                <w:sz w:val="20"/>
                <w:szCs w:val="20"/>
              </w:rPr>
              <w:t> </w:t>
            </w:r>
          </w:p>
        </w:tc>
        <w:tc>
          <w:tcPr>
            <w:tcW w:w="607" w:type="pct"/>
            <w:tcBorders>
              <w:left w:val="nil"/>
              <w:right w:val="nil"/>
            </w:tcBorders>
            <w:shd w:val="clear" w:color="auto" w:fill="auto"/>
            <w:noWrap/>
            <w:vAlign w:val="bottom"/>
            <w:hideMark/>
          </w:tcPr>
          <w:p w14:paraId="256F5DC6" w14:textId="77777777" w:rsidR="00961CC2" w:rsidRPr="00701439" w:rsidRDefault="00961CC2" w:rsidP="00961CC2">
            <w:pPr>
              <w:rPr>
                <w:rFonts w:asciiTheme="minorHAnsi" w:hAnsiTheme="minorHAnsi" w:cstheme="minorHAnsi"/>
                <w:b/>
                <w:bCs/>
                <w:color w:val="000000"/>
                <w:sz w:val="20"/>
                <w:szCs w:val="20"/>
              </w:rPr>
            </w:pPr>
            <w:r w:rsidRPr="00701439">
              <w:rPr>
                <w:rFonts w:asciiTheme="minorHAnsi" w:hAnsiTheme="minorHAnsi" w:cstheme="minorHAnsi"/>
                <w:b/>
                <w:bCs/>
                <w:color w:val="000000"/>
                <w:sz w:val="20"/>
                <w:szCs w:val="20"/>
              </w:rPr>
              <w:t> </w:t>
            </w:r>
          </w:p>
        </w:tc>
        <w:tc>
          <w:tcPr>
            <w:tcW w:w="607" w:type="pct"/>
            <w:tcBorders>
              <w:top w:val="single" w:sz="4" w:space="0" w:color="auto"/>
              <w:left w:val="nil"/>
              <w:bottom w:val="single" w:sz="4" w:space="0" w:color="auto"/>
              <w:right w:val="nil"/>
            </w:tcBorders>
            <w:shd w:val="clear" w:color="auto" w:fill="auto"/>
            <w:noWrap/>
            <w:vAlign w:val="bottom"/>
            <w:hideMark/>
          </w:tcPr>
          <w:p w14:paraId="3C6D4567" w14:textId="19733246" w:rsidR="00961CC2" w:rsidRPr="00701439" w:rsidRDefault="00961CC2" w:rsidP="00961CC2">
            <w:pPr>
              <w:jc w:val="right"/>
              <w:rPr>
                <w:rFonts w:asciiTheme="minorHAnsi" w:hAnsiTheme="minorHAnsi" w:cstheme="minorHAnsi"/>
                <w:color w:val="000000"/>
                <w:sz w:val="20"/>
                <w:szCs w:val="20"/>
              </w:rPr>
            </w:pPr>
            <w:r w:rsidRPr="00701439">
              <w:rPr>
                <w:rFonts w:asciiTheme="minorHAnsi" w:hAnsiTheme="minorHAnsi" w:cstheme="minorHAnsi"/>
                <w:color w:val="000000"/>
                <w:sz w:val="20"/>
                <w:szCs w:val="20"/>
              </w:rPr>
              <w:t>16.3</w:t>
            </w:r>
          </w:p>
        </w:tc>
        <w:tc>
          <w:tcPr>
            <w:tcW w:w="607" w:type="pct"/>
            <w:tcBorders>
              <w:top w:val="single" w:sz="4" w:space="0" w:color="auto"/>
              <w:left w:val="nil"/>
              <w:bottom w:val="single" w:sz="4" w:space="0" w:color="auto"/>
              <w:right w:val="nil"/>
            </w:tcBorders>
            <w:shd w:val="clear" w:color="auto" w:fill="auto"/>
            <w:noWrap/>
            <w:vAlign w:val="bottom"/>
            <w:hideMark/>
          </w:tcPr>
          <w:p w14:paraId="470C5D67" w14:textId="216F1904" w:rsidR="00961CC2" w:rsidRPr="00701439" w:rsidRDefault="00961CC2" w:rsidP="00961CC2">
            <w:pPr>
              <w:jc w:val="right"/>
              <w:rPr>
                <w:rFonts w:asciiTheme="minorHAnsi" w:hAnsiTheme="minorHAnsi" w:cstheme="minorHAnsi"/>
                <w:color w:val="000000"/>
                <w:sz w:val="20"/>
                <w:szCs w:val="20"/>
              </w:rPr>
            </w:pPr>
            <w:r w:rsidRPr="00701439">
              <w:rPr>
                <w:rFonts w:asciiTheme="minorHAnsi" w:hAnsiTheme="minorHAnsi" w:cstheme="minorHAnsi"/>
                <w:color w:val="000000"/>
                <w:sz w:val="20"/>
                <w:szCs w:val="20"/>
              </w:rPr>
              <w:t>26.1</w:t>
            </w:r>
          </w:p>
        </w:tc>
      </w:tr>
      <w:tr w:rsidR="00961CC2" w:rsidRPr="00701439" w14:paraId="74689A2D" w14:textId="77777777" w:rsidTr="0002541E">
        <w:trPr>
          <w:trHeight w:val="288"/>
        </w:trPr>
        <w:tc>
          <w:tcPr>
            <w:tcW w:w="1964" w:type="pct"/>
            <w:tcBorders>
              <w:top w:val="nil"/>
              <w:left w:val="nil"/>
              <w:bottom w:val="nil"/>
              <w:right w:val="nil"/>
            </w:tcBorders>
            <w:shd w:val="clear" w:color="auto" w:fill="auto"/>
            <w:noWrap/>
            <w:vAlign w:val="bottom"/>
            <w:hideMark/>
          </w:tcPr>
          <w:p w14:paraId="75F58419" w14:textId="77777777" w:rsidR="00961CC2" w:rsidRPr="00701439" w:rsidRDefault="00961CC2" w:rsidP="00961CC2">
            <w:pPr>
              <w:jc w:val="right"/>
              <w:rPr>
                <w:rFonts w:asciiTheme="minorHAnsi" w:hAnsiTheme="minorHAnsi" w:cstheme="minorHAnsi"/>
                <w:b/>
                <w:bCs/>
                <w:color w:val="000000"/>
                <w:sz w:val="20"/>
                <w:szCs w:val="20"/>
              </w:rPr>
            </w:pPr>
          </w:p>
        </w:tc>
        <w:tc>
          <w:tcPr>
            <w:tcW w:w="607" w:type="pct"/>
            <w:tcBorders>
              <w:top w:val="nil"/>
              <w:left w:val="nil"/>
              <w:bottom w:val="nil"/>
              <w:right w:val="nil"/>
            </w:tcBorders>
            <w:shd w:val="clear" w:color="auto" w:fill="auto"/>
            <w:noWrap/>
            <w:vAlign w:val="bottom"/>
            <w:hideMark/>
          </w:tcPr>
          <w:p w14:paraId="66D9B767" w14:textId="77777777" w:rsidR="00961CC2" w:rsidRPr="00701439" w:rsidRDefault="00961CC2" w:rsidP="00961CC2">
            <w:pPr>
              <w:rPr>
                <w:rFonts w:asciiTheme="minorHAnsi" w:hAnsiTheme="minorHAnsi" w:cstheme="minorHAnsi"/>
                <w:sz w:val="20"/>
                <w:szCs w:val="20"/>
              </w:rPr>
            </w:pPr>
          </w:p>
        </w:tc>
        <w:tc>
          <w:tcPr>
            <w:tcW w:w="607" w:type="pct"/>
            <w:tcBorders>
              <w:top w:val="nil"/>
              <w:left w:val="nil"/>
              <w:bottom w:val="nil"/>
              <w:right w:val="nil"/>
            </w:tcBorders>
            <w:shd w:val="clear" w:color="auto" w:fill="auto"/>
            <w:noWrap/>
            <w:vAlign w:val="bottom"/>
            <w:hideMark/>
          </w:tcPr>
          <w:p w14:paraId="495DE23A" w14:textId="77777777" w:rsidR="00961CC2" w:rsidRPr="00701439" w:rsidRDefault="00961CC2" w:rsidP="00961CC2">
            <w:pPr>
              <w:rPr>
                <w:rFonts w:asciiTheme="minorHAnsi" w:hAnsiTheme="minorHAnsi" w:cstheme="minorHAnsi"/>
                <w:sz w:val="20"/>
                <w:szCs w:val="20"/>
              </w:rPr>
            </w:pPr>
          </w:p>
        </w:tc>
        <w:tc>
          <w:tcPr>
            <w:tcW w:w="607" w:type="pct"/>
            <w:tcBorders>
              <w:top w:val="nil"/>
              <w:left w:val="nil"/>
              <w:bottom w:val="nil"/>
              <w:right w:val="nil"/>
            </w:tcBorders>
            <w:shd w:val="clear" w:color="auto" w:fill="auto"/>
            <w:noWrap/>
            <w:vAlign w:val="bottom"/>
            <w:hideMark/>
          </w:tcPr>
          <w:p w14:paraId="31BCB5EB" w14:textId="77777777" w:rsidR="00961CC2" w:rsidRPr="00701439" w:rsidRDefault="00961CC2" w:rsidP="00961CC2">
            <w:pPr>
              <w:rPr>
                <w:rFonts w:asciiTheme="minorHAnsi" w:hAnsiTheme="minorHAnsi" w:cstheme="minorHAnsi"/>
                <w:sz w:val="20"/>
                <w:szCs w:val="20"/>
              </w:rPr>
            </w:pPr>
          </w:p>
        </w:tc>
        <w:tc>
          <w:tcPr>
            <w:tcW w:w="607" w:type="pct"/>
            <w:tcBorders>
              <w:top w:val="nil"/>
              <w:left w:val="nil"/>
              <w:bottom w:val="single" w:sz="4" w:space="0" w:color="auto"/>
              <w:right w:val="nil"/>
            </w:tcBorders>
            <w:shd w:val="clear" w:color="auto" w:fill="auto"/>
            <w:noWrap/>
            <w:vAlign w:val="bottom"/>
            <w:hideMark/>
          </w:tcPr>
          <w:p w14:paraId="2F9BD2F6" w14:textId="77777777" w:rsidR="00961CC2" w:rsidRPr="00701439" w:rsidRDefault="00961CC2" w:rsidP="00961CC2">
            <w:pPr>
              <w:rPr>
                <w:rFonts w:asciiTheme="minorHAnsi" w:hAnsiTheme="minorHAnsi" w:cstheme="minorHAnsi"/>
                <w:sz w:val="20"/>
                <w:szCs w:val="20"/>
              </w:rPr>
            </w:pPr>
          </w:p>
        </w:tc>
        <w:tc>
          <w:tcPr>
            <w:tcW w:w="607" w:type="pct"/>
            <w:tcBorders>
              <w:top w:val="nil"/>
              <w:left w:val="nil"/>
              <w:bottom w:val="single" w:sz="4" w:space="0" w:color="auto"/>
              <w:right w:val="nil"/>
            </w:tcBorders>
            <w:shd w:val="clear" w:color="auto" w:fill="auto"/>
            <w:noWrap/>
            <w:vAlign w:val="bottom"/>
            <w:hideMark/>
          </w:tcPr>
          <w:p w14:paraId="07F8F200" w14:textId="77777777" w:rsidR="00961CC2" w:rsidRPr="00701439" w:rsidRDefault="00961CC2" w:rsidP="00961CC2">
            <w:pPr>
              <w:rPr>
                <w:rFonts w:asciiTheme="minorHAnsi" w:hAnsiTheme="minorHAnsi" w:cstheme="minorHAnsi"/>
                <w:sz w:val="20"/>
                <w:szCs w:val="20"/>
              </w:rPr>
            </w:pPr>
          </w:p>
        </w:tc>
      </w:tr>
      <w:tr w:rsidR="00961CC2" w:rsidRPr="00701439" w14:paraId="26D962FB" w14:textId="77777777" w:rsidTr="0002541E">
        <w:trPr>
          <w:trHeight w:val="288"/>
        </w:trPr>
        <w:tc>
          <w:tcPr>
            <w:tcW w:w="1964" w:type="pct"/>
            <w:tcBorders>
              <w:left w:val="nil"/>
              <w:right w:val="nil"/>
            </w:tcBorders>
            <w:shd w:val="clear" w:color="auto" w:fill="auto"/>
            <w:noWrap/>
            <w:vAlign w:val="bottom"/>
            <w:hideMark/>
          </w:tcPr>
          <w:p w14:paraId="6BEFA8AE" w14:textId="579514B0" w:rsidR="00961CC2" w:rsidRPr="00701439" w:rsidRDefault="00961CC2" w:rsidP="00961CC2">
            <w:pPr>
              <w:rPr>
                <w:rFonts w:asciiTheme="minorHAnsi" w:hAnsiTheme="minorHAnsi" w:cstheme="minorHAnsi"/>
                <w:b/>
                <w:bCs/>
                <w:color w:val="000000"/>
                <w:sz w:val="20"/>
                <w:szCs w:val="20"/>
              </w:rPr>
            </w:pPr>
            <w:r w:rsidRPr="00701439">
              <w:rPr>
                <w:rFonts w:asciiTheme="minorHAnsi" w:hAnsiTheme="minorHAnsi" w:cstheme="minorHAnsi"/>
                <w:b/>
                <w:bCs/>
                <w:color w:val="000000"/>
                <w:sz w:val="20"/>
                <w:szCs w:val="20"/>
              </w:rPr>
              <w:t xml:space="preserve">Total </w:t>
            </w:r>
            <w:r w:rsidR="00E26476" w:rsidRPr="00701439">
              <w:rPr>
                <w:rFonts w:asciiTheme="minorHAnsi" w:hAnsiTheme="minorHAnsi" w:cstheme="minorHAnsi"/>
                <w:b/>
                <w:bCs/>
                <w:color w:val="000000"/>
                <w:sz w:val="20"/>
                <w:szCs w:val="20"/>
              </w:rPr>
              <w:t>o</w:t>
            </w:r>
            <w:r w:rsidRPr="00701439">
              <w:rPr>
                <w:rFonts w:asciiTheme="minorHAnsi" w:hAnsiTheme="minorHAnsi" w:cstheme="minorHAnsi"/>
                <w:b/>
                <w:bCs/>
                <w:color w:val="000000"/>
                <w:sz w:val="20"/>
                <w:szCs w:val="20"/>
              </w:rPr>
              <w:t>verlays</w:t>
            </w:r>
          </w:p>
        </w:tc>
        <w:tc>
          <w:tcPr>
            <w:tcW w:w="607" w:type="pct"/>
            <w:tcBorders>
              <w:left w:val="nil"/>
              <w:right w:val="nil"/>
            </w:tcBorders>
            <w:shd w:val="clear" w:color="auto" w:fill="auto"/>
            <w:noWrap/>
            <w:vAlign w:val="bottom"/>
            <w:hideMark/>
          </w:tcPr>
          <w:p w14:paraId="6427109F" w14:textId="77777777" w:rsidR="00961CC2" w:rsidRPr="00701439" w:rsidRDefault="00961CC2" w:rsidP="00961CC2">
            <w:pPr>
              <w:rPr>
                <w:rFonts w:asciiTheme="minorHAnsi" w:hAnsiTheme="minorHAnsi" w:cstheme="minorHAnsi"/>
                <w:b/>
                <w:bCs/>
                <w:color w:val="000000"/>
                <w:sz w:val="20"/>
                <w:szCs w:val="20"/>
              </w:rPr>
            </w:pPr>
            <w:r w:rsidRPr="00701439">
              <w:rPr>
                <w:rFonts w:asciiTheme="minorHAnsi" w:hAnsiTheme="minorHAnsi" w:cstheme="minorHAnsi"/>
                <w:b/>
                <w:bCs/>
                <w:color w:val="000000"/>
                <w:sz w:val="20"/>
                <w:szCs w:val="20"/>
              </w:rPr>
              <w:t> </w:t>
            </w:r>
          </w:p>
        </w:tc>
        <w:tc>
          <w:tcPr>
            <w:tcW w:w="607" w:type="pct"/>
            <w:tcBorders>
              <w:left w:val="nil"/>
              <w:right w:val="nil"/>
            </w:tcBorders>
            <w:shd w:val="clear" w:color="auto" w:fill="auto"/>
            <w:noWrap/>
            <w:vAlign w:val="bottom"/>
            <w:hideMark/>
          </w:tcPr>
          <w:p w14:paraId="49B595E1" w14:textId="77777777" w:rsidR="00961CC2" w:rsidRPr="00701439" w:rsidRDefault="00961CC2" w:rsidP="00961CC2">
            <w:pPr>
              <w:rPr>
                <w:rFonts w:asciiTheme="minorHAnsi" w:hAnsiTheme="minorHAnsi" w:cstheme="minorHAnsi"/>
                <w:b/>
                <w:bCs/>
                <w:color w:val="000000"/>
                <w:sz w:val="20"/>
                <w:szCs w:val="20"/>
              </w:rPr>
            </w:pPr>
            <w:r w:rsidRPr="00701439">
              <w:rPr>
                <w:rFonts w:asciiTheme="minorHAnsi" w:hAnsiTheme="minorHAnsi" w:cstheme="minorHAnsi"/>
                <w:b/>
                <w:bCs/>
                <w:color w:val="000000"/>
                <w:sz w:val="20"/>
                <w:szCs w:val="20"/>
              </w:rPr>
              <w:t> </w:t>
            </w:r>
          </w:p>
        </w:tc>
        <w:tc>
          <w:tcPr>
            <w:tcW w:w="607" w:type="pct"/>
            <w:tcBorders>
              <w:left w:val="nil"/>
              <w:right w:val="nil"/>
            </w:tcBorders>
            <w:shd w:val="clear" w:color="auto" w:fill="auto"/>
            <w:noWrap/>
            <w:vAlign w:val="bottom"/>
            <w:hideMark/>
          </w:tcPr>
          <w:p w14:paraId="5643A4B7" w14:textId="77777777" w:rsidR="00961CC2" w:rsidRPr="00701439" w:rsidRDefault="00961CC2" w:rsidP="00961CC2">
            <w:pPr>
              <w:rPr>
                <w:rFonts w:asciiTheme="minorHAnsi" w:hAnsiTheme="minorHAnsi" w:cstheme="minorHAnsi"/>
                <w:b/>
                <w:bCs/>
                <w:color w:val="000000"/>
                <w:sz w:val="20"/>
                <w:szCs w:val="20"/>
              </w:rPr>
            </w:pPr>
            <w:r w:rsidRPr="00701439">
              <w:rPr>
                <w:rFonts w:asciiTheme="minorHAnsi" w:hAnsiTheme="minorHAnsi" w:cstheme="minorHAnsi"/>
                <w:b/>
                <w:bCs/>
                <w:color w:val="000000"/>
                <w:sz w:val="20"/>
                <w:szCs w:val="20"/>
              </w:rPr>
              <w:t> </w:t>
            </w:r>
          </w:p>
        </w:tc>
        <w:tc>
          <w:tcPr>
            <w:tcW w:w="607" w:type="pct"/>
            <w:tcBorders>
              <w:top w:val="single" w:sz="4" w:space="0" w:color="auto"/>
              <w:left w:val="nil"/>
              <w:bottom w:val="single" w:sz="12" w:space="0" w:color="auto"/>
              <w:right w:val="nil"/>
            </w:tcBorders>
            <w:shd w:val="clear" w:color="auto" w:fill="auto"/>
            <w:noWrap/>
            <w:vAlign w:val="bottom"/>
            <w:hideMark/>
          </w:tcPr>
          <w:p w14:paraId="7C12E15C" w14:textId="77777777" w:rsidR="00961CC2" w:rsidRPr="00701439" w:rsidRDefault="00961CC2" w:rsidP="00961CC2">
            <w:pPr>
              <w:jc w:val="right"/>
              <w:rPr>
                <w:rFonts w:asciiTheme="minorHAnsi" w:hAnsiTheme="minorHAnsi" w:cstheme="minorHAnsi"/>
                <w:color w:val="000000"/>
                <w:sz w:val="20"/>
                <w:szCs w:val="20"/>
              </w:rPr>
            </w:pPr>
            <w:r w:rsidRPr="00701439">
              <w:rPr>
                <w:rFonts w:asciiTheme="minorHAnsi" w:hAnsiTheme="minorHAnsi" w:cstheme="minorHAnsi"/>
                <w:color w:val="000000"/>
                <w:sz w:val="20"/>
                <w:szCs w:val="20"/>
              </w:rPr>
              <w:t>16.3</w:t>
            </w:r>
          </w:p>
        </w:tc>
        <w:tc>
          <w:tcPr>
            <w:tcW w:w="607" w:type="pct"/>
            <w:tcBorders>
              <w:top w:val="single" w:sz="4" w:space="0" w:color="auto"/>
              <w:left w:val="nil"/>
              <w:bottom w:val="single" w:sz="12" w:space="0" w:color="auto"/>
              <w:right w:val="nil"/>
            </w:tcBorders>
            <w:shd w:val="clear" w:color="auto" w:fill="auto"/>
            <w:noWrap/>
            <w:vAlign w:val="bottom"/>
            <w:hideMark/>
          </w:tcPr>
          <w:p w14:paraId="7B5C814D" w14:textId="77777777" w:rsidR="00961CC2" w:rsidRPr="00701439" w:rsidRDefault="00961CC2" w:rsidP="00961CC2">
            <w:pPr>
              <w:jc w:val="right"/>
              <w:rPr>
                <w:rFonts w:asciiTheme="minorHAnsi" w:hAnsiTheme="minorHAnsi" w:cstheme="minorHAnsi"/>
                <w:color w:val="000000"/>
                <w:sz w:val="20"/>
                <w:szCs w:val="20"/>
              </w:rPr>
            </w:pPr>
            <w:r w:rsidRPr="00701439">
              <w:rPr>
                <w:rFonts w:asciiTheme="minorHAnsi" w:hAnsiTheme="minorHAnsi" w:cstheme="minorHAnsi"/>
                <w:color w:val="000000"/>
                <w:sz w:val="20"/>
                <w:szCs w:val="20"/>
              </w:rPr>
              <w:t>54.0</w:t>
            </w:r>
          </w:p>
        </w:tc>
      </w:tr>
    </w:tbl>
    <w:p w14:paraId="48744888" w14:textId="77777777" w:rsidR="00AA0264" w:rsidRPr="00701439" w:rsidRDefault="00AA0264" w:rsidP="00A3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b/>
          <w:sz w:val="20"/>
          <w:szCs w:val="20"/>
        </w:rPr>
      </w:pPr>
    </w:p>
    <w:p w14:paraId="22A70E2B" w14:textId="77777777" w:rsidR="004014F7" w:rsidRPr="00701439" w:rsidRDefault="004014F7" w:rsidP="00401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b/>
          <w:sz w:val="20"/>
          <w:szCs w:val="20"/>
        </w:rPr>
      </w:pPr>
      <w:r w:rsidRPr="00701439">
        <w:rPr>
          <w:rFonts w:asciiTheme="minorHAnsi" w:hAnsiTheme="minorHAnsi" w:cs="Arial"/>
          <w:b/>
          <w:sz w:val="20"/>
          <w:szCs w:val="20"/>
        </w:rPr>
        <w:t>(a) Impact of Covid-19</w:t>
      </w:r>
    </w:p>
    <w:p w14:paraId="59D51441" w14:textId="0D477B4F" w:rsidR="00AA0264" w:rsidRPr="00701439" w:rsidRDefault="004014F7" w:rsidP="00401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bCs/>
          <w:sz w:val="20"/>
          <w:szCs w:val="20"/>
        </w:rPr>
      </w:pPr>
      <w:r w:rsidRPr="00701439">
        <w:rPr>
          <w:rFonts w:asciiTheme="minorHAnsi" w:hAnsiTheme="minorHAnsi" w:cs="Arial"/>
          <w:bCs/>
          <w:sz w:val="20"/>
          <w:szCs w:val="20"/>
        </w:rPr>
        <w:t>The impact of Covid-19 significantly influenced credit card provisioning methodology. The core IFRS 9 models utilise a scorecard approach to calculating a 12-month PD and the relationships between the established drivers of default risk found in the PD scorecards; it was previously assumed the 12-month PD may be distorted during the Covid-19 period. This potential distortion could be caused by external government support initiatives or the natural lag that is apparent when risk profiles change. Accordingly, an in-model utilisation adjustment was made to the probability of default models for credit cards.</w:t>
      </w:r>
    </w:p>
    <w:p w14:paraId="2DCCE3B2" w14:textId="77777777" w:rsidR="00D90D05" w:rsidRPr="00701439" w:rsidRDefault="00D90D05" w:rsidP="00401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bCs/>
          <w:sz w:val="20"/>
          <w:szCs w:val="20"/>
        </w:rPr>
      </w:pPr>
    </w:p>
    <w:p w14:paraId="10F3D16A" w14:textId="574C86EC" w:rsidR="00193ED8" w:rsidRPr="00701439" w:rsidRDefault="009F5493" w:rsidP="009F5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bCs/>
          <w:sz w:val="20"/>
          <w:szCs w:val="20"/>
        </w:rPr>
      </w:pPr>
      <w:r w:rsidRPr="00701439">
        <w:rPr>
          <w:rFonts w:asciiTheme="minorHAnsi" w:hAnsiTheme="minorHAnsi" w:cs="Arial"/>
          <w:bCs/>
          <w:sz w:val="20"/>
          <w:szCs w:val="20"/>
        </w:rPr>
        <w:t xml:space="preserve">However, the underlying risk profile of these customers has not fundamentally changed, and over the course of 2022 it became evident that this utilisation adjustment was no longer required. </w:t>
      </w:r>
      <w:proofErr w:type="gramStart"/>
      <w:r w:rsidRPr="00701439">
        <w:rPr>
          <w:rFonts w:asciiTheme="minorHAnsi" w:hAnsiTheme="minorHAnsi" w:cs="Arial"/>
          <w:bCs/>
          <w:sz w:val="20"/>
          <w:szCs w:val="20"/>
        </w:rPr>
        <w:t>Consequently</w:t>
      </w:r>
      <w:proofErr w:type="gramEnd"/>
      <w:r w:rsidRPr="00701439">
        <w:rPr>
          <w:rFonts w:asciiTheme="minorHAnsi" w:hAnsiTheme="minorHAnsi" w:cs="Arial"/>
          <w:bCs/>
          <w:sz w:val="20"/>
          <w:szCs w:val="20"/>
        </w:rPr>
        <w:t xml:space="preserve"> this adjustment has been fully unwound during the year.</w:t>
      </w:r>
    </w:p>
    <w:p w14:paraId="156DA703" w14:textId="77777777" w:rsidR="004A5238" w:rsidRPr="00701439" w:rsidRDefault="004A5238" w:rsidP="009E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b/>
          <w:sz w:val="20"/>
          <w:szCs w:val="20"/>
        </w:rPr>
      </w:pPr>
    </w:p>
    <w:p w14:paraId="0C8849F8" w14:textId="77777777" w:rsidR="00A15446" w:rsidRPr="00701439" w:rsidRDefault="00A15446" w:rsidP="00A15446">
      <w:pPr>
        <w:ind w:left="567" w:hanging="567"/>
        <w:rPr>
          <w:rFonts w:asciiTheme="minorHAnsi" w:hAnsiTheme="minorHAnsi" w:cs="Arial"/>
          <w:b/>
          <w:color w:val="4747FF"/>
          <w:sz w:val="22"/>
          <w:szCs w:val="22"/>
        </w:rPr>
      </w:pPr>
    </w:p>
    <w:p w14:paraId="6A1C7D5B" w14:textId="77777777" w:rsidR="00392040" w:rsidRPr="00701439" w:rsidRDefault="00392040" w:rsidP="00A15446">
      <w:pPr>
        <w:ind w:left="567" w:hanging="567"/>
        <w:rPr>
          <w:rFonts w:asciiTheme="minorHAnsi" w:hAnsiTheme="minorHAnsi" w:cs="Arial"/>
          <w:b/>
          <w:color w:val="4747FF"/>
          <w:sz w:val="22"/>
          <w:szCs w:val="22"/>
        </w:rPr>
      </w:pPr>
    </w:p>
    <w:p w14:paraId="646A1216" w14:textId="222BFCA7" w:rsidR="00A15446" w:rsidRPr="00701439" w:rsidRDefault="00A15446" w:rsidP="00A15446">
      <w:pPr>
        <w:ind w:left="567" w:hanging="567"/>
        <w:rPr>
          <w:rFonts w:asciiTheme="minorHAnsi" w:hAnsiTheme="minorHAnsi" w:cs="Arial"/>
          <w:b/>
          <w:color w:val="4747FF"/>
          <w:sz w:val="22"/>
          <w:szCs w:val="22"/>
        </w:rPr>
      </w:pPr>
      <w:r w:rsidRPr="00701439">
        <w:rPr>
          <w:rFonts w:asciiTheme="minorHAnsi" w:hAnsiTheme="minorHAnsi" w:cs="Arial"/>
          <w:b/>
          <w:color w:val="4747FF"/>
          <w:sz w:val="22"/>
          <w:szCs w:val="22"/>
        </w:rPr>
        <w:lastRenderedPageBreak/>
        <w:t>8.</w:t>
      </w:r>
      <w:r w:rsidRPr="00701439">
        <w:rPr>
          <w:rFonts w:asciiTheme="minorHAnsi" w:hAnsiTheme="minorHAnsi" w:cs="Arial"/>
          <w:b/>
          <w:color w:val="4747FF"/>
          <w:sz w:val="22"/>
          <w:szCs w:val="22"/>
        </w:rPr>
        <w:tab/>
        <w:t>Amounts receivable from customers (continued)</w:t>
      </w:r>
    </w:p>
    <w:p w14:paraId="6CEEAFD0" w14:textId="77777777" w:rsidR="004A5238" w:rsidRPr="00701439" w:rsidRDefault="004A5238" w:rsidP="009E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b/>
          <w:sz w:val="20"/>
          <w:szCs w:val="20"/>
        </w:rPr>
      </w:pPr>
    </w:p>
    <w:p w14:paraId="32BEB0CE" w14:textId="0A52313C" w:rsidR="009E39DB" w:rsidRPr="00701439" w:rsidRDefault="009E39DB" w:rsidP="009E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b/>
          <w:sz w:val="20"/>
          <w:szCs w:val="20"/>
        </w:rPr>
      </w:pPr>
      <w:r w:rsidRPr="00701439">
        <w:rPr>
          <w:rFonts w:asciiTheme="minorHAnsi" w:hAnsiTheme="minorHAnsi" w:cs="Arial"/>
          <w:b/>
          <w:sz w:val="20"/>
          <w:szCs w:val="20"/>
        </w:rPr>
        <w:t>(b) Cost of living</w:t>
      </w:r>
    </w:p>
    <w:p w14:paraId="5891A72D" w14:textId="24F14BFD" w:rsidR="009E39DB" w:rsidRPr="00701439" w:rsidRDefault="009E39DB" w:rsidP="009E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bCs/>
          <w:sz w:val="20"/>
          <w:szCs w:val="20"/>
        </w:rPr>
      </w:pPr>
      <w:r w:rsidRPr="00701439">
        <w:rPr>
          <w:rFonts w:asciiTheme="minorHAnsi" w:hAnsiTheme="minorHAnsi" w:cs="Arial"/>
          <w:bCs/>
          <w:sz w:val="20"/>
          <w:szCs w:val="20"/>
        </w:rPr>
        <w:t xml:space="preserve">Consumer prices, as measured by the Consumer Prices Index (CPI) was 10.5% in December 2022, and the government has announced a range of measures to support households during the current economic environment. After accounting for these policies most lower income households are expected to be protected from the increase in inflation. But for many other households, inflation is still a looming risk albeit recent Government forecasts predict a weaker than previously expected recession. The IFRS 9 macro-economic model does not consider inflation or CPI, as there is no significant correlation between inflation and expected credit losses. </w:t>
      </w:r>
      <w:proofErr w:type="gramStart"/>
      <w:r w:rsidRPr="00701439">
        <w:rPr>
          <w:rFonts w:asciiTheme="minorHAnsi" w:hAnsiTheme="minorHAnsi" w:cs="Arial"/>
          <w:bCs/>
          <w:sz w:val="20"/>
          <w:szCs w:val="20"/>
        </w:rPr>
        <w:t>However</w:t>
      </w:r>
      <w:proofErr w:type="gramEnd"/>
      <w:r w:rsidRPr="00701439">
        <w:rPr>
          <w:rFonts w:asciiTheme="minorHAnsi" w:hAnsiTheme="minorHAnsi" w:cs="Arial"/>
          <w:bCs/>
          <w:sz w:val="20"/>
          <w:szCs w:val="20"/>
        </w:rPr>
        <w:t xml:space="preserve"> it is recognised that the increase in CPI may have some impact on the existing book and hence management continue to retain a post model </w:t>
      </w:r>
      <w:r w:rsidR="009A070A" w:rsidRPr="00701439">
        <w:rPr>
          <w:rFonts w:asciiTheme="minorHAnsi" w:hAnsiTheme="minorHAnsi" w:cs="Arial"/>
          <w:bCs/>
          <w:sz w:val="20"/>
          <w:szCs w:val="20"/>
        </w:rPr>
        <w:t>overlay</w:t>
      </w:r>
      <w:r w:rsidRPr="00701439">
        <w:rPr>
          <w:rFonts w:asciiTheme="minorHAnsi" w:hAnsiTheme="minorHAnsi" w:cs="Arial"/>
          <w:bCs/>
          <w:sz w:val="20"/>
          <w:szCs w:val="20"/>
        </w:rPr>
        <w:t xml:space="preserve"> for cost of living</w:t>
      </w:r>
      <w:r w:rsidR="00323BE2" w:rsidRPr="00701439">
        <w:rPr>
          <w:rFonts w:asciiTheme="minorHAnsi" w:hAnsiTheme="minorHAnsi" w:cs="Arial"/>
          <w:bCs/>
          <w:sz w:val="20"/>
          <w:szCs w:val="20"/>
        </w:rPr>
        <w:t xml:space="preserve"> of £10.0m (2021: </w:t>
      </w:r>
      <w:r w:rsidR="00BE20C6" w:rsidRPr="00701439">
        <w:rPr>
          <w:rFonts w:asciiTheme="minorHAnsi" w:hAnsiTheme="minorHAnsi" w:cs="Arial"/>
          <w:bCs/>
          <w:sz w:val="20"/>
          <w:szCs w:val="20"/>
        </w:rPr>
        <w:t>£</w:t>
      </w:r>
      <w:r w:rsidR="00323BE2" w:rsidRPr="00701439">
        <w:rPr>
          <w:rFonts w:asciiTheme="minorHAnsi" w:hAnsiTheme="minorHAnsi" w:cs="Arial"/>
          <w:bCs/>
          <w:sz w:val="20"/>
          <w:szCs w:val="20"/>
        </w:rPr>
        <w:t>7.8m)</w:t>
      </w:r>
      <w:r w:rsidRPr="00701439">
        <w:rPr>
          <w:rFonts w:asciiTheme="minorHAnsi" w:hAnsiTheme="minorHAnsi" w:cs="Arial"/>
          <w:bCs/>
          <w:sz w:val="20"/>
          <w:szCs w:val="20"/>
        </w:rPr>
        <w:t>.</w:t>
      </w:r>
    </w:p>
    <w:p w14:paraId="2D393E60" w14:textId="77777777" w:rsidR="00A860CE" w:rsidRPr="00701439" w:rsidRDefault="00A860CE" w:rsidP="009F5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bCs/>
          <w:sz w:val="20"/>
          <w:szCs w:val="20"/>
        </w:rPr>
      </w:pPr>
    </w:p>
    <w:p w14:paraId="7EA56637" w14:textId="16189D45" w:rsidR="009E39DB" w:rsidRPr="00701439" w:rsidRDefault="009E39DB" w:rsidP="009F5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bCs/>
          <w:sz w:val="20"/>
          <w:szCs w:val="20"/>
        </w:rPr>
      </w:pPr>
      <w:r w:rsidRPr="00701439">
        <w:rPr>
          <w:rFonts w:asciiTheme="minorHAnsi" w:hAnsiTheme="minorHAnsi" w:cs="Arial"/>
          <w:bCs/>
          <w:sz w:val="20"/>
          <w:szCs w:val="20"/>
        </w:rPr>
        <w:t xml:space="preserve">The underlying credit metrics of the receivables book remain stable and show no signs of significant increase in credit risk. The £10.0m </w:t>
      </w:r>
      <w:r w:rsidR="00AE0414" w:rsidRPr="00701439">
        <w:rPr>
          <w:rFonts w:asciiTheme="minorHAnsi" w:hAnsiTheme="minorHAnsi" w:cs="Arial"/>
          <w:bCs/>
          <w:sz w:val="20"/>
          <w:szCs w:val="20"/>
        </w:rPr>
        <w:t>overlay</w:t>
      </w:r>
      <w:r w:rsidRPr="00701439">
        <w:rPr>
          <w:rFonts w:asciiTheme="minorHAnsi" w:hAnsiTheme="minorHAnsi" w:cs="Arial"/>
          <w:bCs/>
          <w:sz w:val="20"/>
          <w:szCs w:val="20"/>
        </w:rPr>
        <w:t xml:space="preserve"> is based on management judgemen</w:t>
      </w:r>
      <w:r w:rsidR="00A860CE" w:rsidRPr="00701439">
        <w:rPr>
          <w:rFonts w:asciiTheme="minorHAnsi" w:hAnsiTheme="minorHAnsi" w:cs="Arial"/>
          <w:bCs/>
          <w:sz w:val="20"/>
          <w:szCs w:val="20"/>
        </w:rPr>
        <w:t>t</w:t>
      </w:r>
      <w:r w:rsidRPr="00701439">
        <w:rPr>
          <w:rFonts w:asciiTheme="minorHAnsi" w:hAnsiTheme="minorHAnsi" w:cs="Arial"/>
          <w:bCs/>
          <w:sz w:val="20"/>
          <w:szCs w:val="20"/>
        </w:rPr>
        <w:t xml:space="preserve">, reflecting the Group’s proactive approach to risk </w:t>
      </w:r>
      <w:proofErr w:type="gramStart"/>
      <w:r w:rsidRPr="00701439">
        <w:rPr>
          <w:rFonts w:asciiTheme="minorHAnsi" w:hAnsiTheme="minorHAnsi" w:cs="Arial"/>
          <w:bCs/>
          <w:sz w:val="20"/>
          <w:szCs w:val="20"/>
        </w:rPr>
        <w:t>management</w:t>
      </w:r>
      <w:proofErr w:type="gramEnd"/>
      <w:r w:rsidRPr="00701439">
        <w:rPr>
          <w:rFonts w:asciiTheme="minorHAnsi" w:hAnsiTheme="minorHAnsi" w:cs="Arial"/>
          <w:bCs/>
          <w:sz w:val="20"/>
          <w:szCs w:val="20"/>
        </w:rPr>
        <w:t xml:space="preserve"> and is appropriately supported by modelling analytics.</w:t>
      </w:r>
    </w:p>
    <w:p w14:paraId="4D9C7290" w14:textId="77777777" w:rsidR="004A5238" w:rsidRPr="00701439" w:rsidRDefault="004A5238" w:rsidP="00563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b/>
          <w:sz w:val="20"/>
          <w:szCs w:val="20"/>
        </w:rPr>
      </w:pPr>
    </w:p>
    <w:p w14:paraId="6B4C8034" w14:textId="77777777" w:rsidR="003A3982" w:rsidRPr="00701439" w:rsidRDefault="003A3982" w:rsidP="003A3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b/>
          <w:sz w:val="20"/>
          <w:szCs w:val="20"/>
        </w:rPr>
      </w:pPr>
      <w:r w:rsidRPr="00701439">
        <w:rPr>
          <w:rFonts w:asciiTheme="minorHAnsi" w:hAnsiTheme="minorHAnsi" w:cs="Arial"/>
          <w:b/>
          <w:sz w:val="20"/>
          <w:szCs w:val="20"/>
        </w:rPr>
        <w:t>(c) Persistent debt</w:t>
      </w:r>
    </w:p>
    <w:p w14:paraId="1D65197C" w14:textId="62C6B076" w:rsidR="003A3982" w:rsidRPr="00701439" w:rsidRDefault="003A3982" w:rsidP="003A3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bCs/>
          <w:sz w:val="20"/>
          <w:szCs w:val="20"/>
        </w:rPr>
      </w:pPr>
      <w:r w:rsidRPr="00701439">
        <w:rPr>
          <w:rFonts w:asciiTheme="minorHAnsi" w:hAnsiTheme="minorHAnsi" w:cs="Arial"/>
          <w:bCs/>
          <w:sz w:val="20"/>
          <w:szCs w:val="20"/>
        </w:rPr>
        <w:t xml:space="preserve">A post-model </w:t>
      </w:r>
      <w:r w:rsidR="00A364AC" w:rsidRPr="00701439">
        <w:rPr>
          <w:rFonts w:asciiTheme="minorHAnsi" w:hAnsiTheme="minorHAnsi" w:cs="Arial"/>
          <w:bCs/>
          <w:sz w:val="20"/>
          <w:szCs w:val="20"/>
        </w:rPr>
        <w:t>overlay</w:t>
      </w:r>
      <w:r w:rsidRPr="00701439">
        <w:rPr>
          <w:rFonts w:asciiTheme="minorHAnsi" w:hAnsiTheme="minorHAnsi" w:cs="Arial"/>
          <w:bCs/>
          <w:sz w:val="20"/>
          <w:szCs w:val="20"/>
        </w:rPr>
        <w:t xml:space="preserve"> was calculated to refine </w:t>
      </w:r>
      <w:r w:rsidR="00E55A96" w:rsidRPr="00701439">
        <w:rPr>
          <w:rFonts w:asciiTheme="minorHAnsi" w:hAnsiTheme="minorHAnsi" w:cs="Arial"/>
          <w:bCs/>
          <w:sz w:val="20"/>
          <w:szCs w:val="20"/>
        </w:rPr>
        <w:t>provisioning</w:t>
      </w:r>
      <w:r w:rsidRPr="00701439">
        <w:rPr>
          <w:rFonts w:asciiTheme="minorHAnsi" w:hAnsiTheme="minorHAnsi" w:cs="Arial"/>
          <w:bCs/>
          <w:sz w:val="20"/>
          <w:szCs w:val="20"/>
        </w:rPr>
        <w:t xml:space="preserve"> for those customers who have entered PD36. These customers have been split into two categories: those who have responded to communications and agreed to pay down their outstanding balance; and those who are making minimum payments but have not responded to communications. The core model does not consider this refinement and therefore a post-model overlay is required.</w:t>
      </w:r>
    </w:p>
    <w:p w14:paraId="16888A79" w14:textId="77777777" w:rsidR="004A5238" w:rsidRPr="00701439" w:rsidRDefault="004A5238" w:rsidP="00D8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b/>
          <w:sz w:val="20"/>
          <w:szCs w:val="20"/>
        </w:rPr>
      </w:pPr>
    </w:p>
    <w:p w14:paraId="06A43BB0" w14:textId="77777777" w:rsidR="009E39DB" w:rsidRPr="00701439" w:rsidRDefault="009E39DB" w:rsidP="009E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b/>
          <w:sz w:val="20"/>
          <w:szCs w:val="20"/>
        </w:rPr>
      </w:pPr>
      <w:r w:rsidRPr="00701439">
        <w:rPr>
          <w:rFonts w:asciiTheme="minorHAnsi" w:hAnsiTheme="minorHAnsi" w:cs="Arial"/>
          <w:b/>
          <w:sz w:val="20"/>
          <w:szCs w:val="20"/>
        </w:rPr>
        <w:t>(d) Affordability</w:t>
      </w:r>
    </w:p>
    <w:p w14:paraId="441307CF" w14:textId="491CBC34" w:rsidR="009E39DB" w:rsidRPr="00701439" w:rsidRDefault="009E39DB" w:rsidP="00D8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bCs/>
          <w:sz w:val="20"/>
          <w:szCs w:val="20"/>
        </w:rPr>
      </w:pPr>
      <w:r w:rsidRPr="00701439">
        <w:rPr>
          <w:rFonts w:asciiTheme="minorHAnsi" w:hAnsiTheme="minorHAnsi" w:cs="Arial"/>
          <w:bCs/>
          <w:sz w:val="20"/>
          <w:szCs w:val="20"/>
        </w:rPr>
        <w:t>An additional IFRS 9 impairment provision has been created to cover the principal balance of those customers impacted by risk events which may need to be written off. These risk events arose from minor temporary data misalignment instances impacting a small number of accounts which have now been remediated.</w:t>
      </w:r>
    </w:p>
    <w:p w14:paraId="5AB2E864" w14:textId="77777777" w:rsidR="004A5238" w:rsidRPr="00701439" w:rsidRDefault="004A5238" w:rsidP="00C77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b/>
          <w:sz w:val="20"/>
          <w:szCs w:val="20"/>
        </w:rPr>
      </w:pPr>
    </w:p>
    <w:p w14:paraId="3AA4E247" w14:textId="6FB0C9EB" w:rsidR="00C77C81" w:rsidRPr="00701439" w:rsidRDefault="00C77C81" w:rsidP="00C77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b/>
          <w:sz w:val="20"/>
          <w:szCs w:val="20"/>
        </w:rPr>
      </w:pPr>
      <w:r w:rsidRPr="00701439">
        <w:rPr>
          <w:rFonts w:asciiTheme="minorHAnsi" w:hAnsiTheme="minorHAnsi" w:cs="Arial"/>
          <w:b/>
          <w:sz w:val="20"/>
          <w:szCs w:val="20"/>
        </w:rPr>
        <w:t>(e) Recoveries</w:t>
      </w:r>
    </w:p>
    <w:p w14:paraId="6834EB8D" w14:textId="6E6D0435" w:rsidR="00C77C81" w:rsidRPr="00701439" w:rsidRDefault="00C77C81" w:rsidP="00C77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bCs/>
          <w:sz w:val="20"/>
          <w:szCs w:val="20"/>
        </w:rPr>
      </w:pPr>
      <w:r w:rsidRPr="00701439">
        <w:rPr>
          <w:rFonts w:asciiTheme="minorHAnsi" w:hAnsiTheme="minorHAnsi" w:cs="Arial"/>
          <w:bCs/>
          <w:sz w:val="20"/>
          <w:szCs w:val="20"/>
        </w:rPr>
        <w:t xml:space="preserve">A post-model </w:t>
      </w:r>
      <w:r w:rsidR="00EC199A" w:rsidRPr="00701439">
        <w:rPr>
          <w:rFonts w:asciiTheme="minorHAnsi" w:hAnsiTheme="minorHAnsi" w:cs="Arial"/>
          <w:bCs/>
          <w:sz w:val="20"/>
          <w:szCs w:val="20"/>
        </w:rPr>
        <w:t>overlay</w:t>
      </w:r>
      <w:r w:rsidRPr="00701439">
        <w:rPr>
          <w:rFonts w:asciiTheme="minorHAnsi" w:hAnsiTheme="minorHAnsi" w:cs="Arial"/>
          <w:bCs/>
          <w:sz w:val="20"/>
          <w:szCs w:val="20"/>
        </w:rPr>
        <w:t xml:space="preserve"> was created in 2021 to account for an estimated reduction in recoveries for debt sold to debt collection agencies.</w:t>
      </w:r>
      <w:r w:rsidR="00C57482" w:rsidRPr="00701439">
        <w:rPr>
          <w:rFonts w:asciiTheme="minorHAnsi" w:hAnsiTheme="minorHAnsi" w:cs="Arial"/>
          <w:bCs/>
          <w:sz w:val="20"/>
          <w:szCs w:val="20"/>
        </w:rPr>
        <w:t xml:space="preserve"> Updated information and further refinement in understanding the extent of the exposure has led to management reducing the recoveries </w:t>
      </w:r>
      <w:r w:rsidR="00EC199A" w:rsidRPr="00701439">
        <w:rPr>
          <w:rFonts w:asciiTheme="minorHAnsi" w:hAnsiTheme="minorHAnsi" w:cs="Arial"/>
          <w:bCs/>
          <w:sz w:val="20"/>
          <w:szCs w:val="20"/>
        </w:rPr>
        <w:t>overlay</w:t>
      </w:r>
      <w:r w:rsidR="00C57482" w:rsidRPr="00701439">
        <w:rPr>
          <w:rFonts w:asciiTheme="minorHAnsi" w:hAnsiTheme="minorHAnsi" w:cs="Arial"/>
          <w:bCs/>
          <w:sz w:val="20"/>
          <w:szCs w:val="20"/>
        </w:rPr>
        <w:t xml:space="preserve"> from £7.4m to £2.5m.</w:t>
      </w:r>
    </w:p>
    <w:p w14:paraId="409F731C" w14:textId="77777777" w:rsidR="00A860CE" w:rsidRPr="00701439" w:rsidRDefault="00A860CE" w:rsidP="00A86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sz w:val="20"/>
          <w:szCs w:val="20"/>
        </w:rPr>
      </w:pPr>
    </w:p>
    <w:p w14:paraId="400FC11A" w14:textId="1C591F53" w:rsidR="00A860CE" w:rsidRPr="00701439" w:rsidRDefault="00A860CE" w:rsidP="00A86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bCs/>
          <w:sz w:val="20"/>
          <w:szCs w:val="20"/>
        </w:rPr>
      </w:pPr>
      <w:r w:rsidRPr="00701439">
        <w:rPr>
          <w:rFonts w:asciiTheme="minorHAnsi" w:hAnsiTheme="minorHAnsi" w:cs="Arial"/>
          <w:bCs/>
          <w:sz w:val="20"/>
          <w:szCs w:val="20"/>
        </w:rPr>
        <w:t xml:space="preserve">A breakdown of the in-model and post-model </w:t>
      </w:r>
      <w:r w:rsidR="00EA2650" w:rsidRPr="00701439">
        <w:rPr>
          <w:rFonts w:asciiTheme="minorHAnsi" w:hAnsiTheme="minorHAnsi" w:cs="Arial"/>
          <w:bCs/>
          <w:sz w:val="20"/>
          <w:szCs w:val="20"/>
        </w:rPr>
        <w:t>overlays</w:t>
      </w:r>
      <w:r w:rsidRPr="00701439">
        <w:rPr>
          <w:rFonts w:asciiTheme="minorHAnsi" w:hAnsiTheme="minorHAnsi" w:cs="Arial"/>
          <w:bCs/>
          <w:sz w:val="20"/>
          <w:szCs w:val="20"/>
        </w:rPr>
        <w:t xml:space="preserve"> for </w:t>
      </w:r>
      <w:r w:rsidR="00494235" w:rsidRPr="00701439">
        <w:rPr>
          <w:rFonts w:asciiTheme="minorHAnsi" w:hAnsiTheme="minorHAnsi" w:cs="Arial"/>
          <w:bCs/>
          <w:sz w:val="20"/>
          <w:szCs w:val="20"/>
        </w:rPr>
        <w:t>vehicle finance</w:t>
      </w:r>
      <w:r w:rsidRPr="00701439">
        <w:rPr>
          <w:rFonts w:asciiTheme="minorHAnsi" w:hAnsiTheme="minorHAnsi" w:cs="Arial"/>
          <w:bCs/>
          <w:sz w:val="20"/>
          <w:szCs w:val="20"/>
        </w:rPr>
        <w:t xml:space="preserve"> is shown below:</w:t>
      </w:r>
    </w:p>
    <w:p w14:paraId="743ABA86" w14:textId="77777777" w:rsidR="00193ED8" w:rsidRPr="00701439" w:rsidRDefault="00193ED8" w:rsidP="00A3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b/>
          <w:sz w:val="20"/>
          <w:szCs w:val="20"/>
        </w:rPr>
      </w:pPr>
    </w:p>
    <w:p w14:paraId="14293C26" w14:textId="77777777" w:rsidR="00AA0264" w:rsidRPr="00701439" w:rsidRDefault="00AA0264" w:rsidP="00A3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b/>
          <w:sz w:val="20"/>
          <w:szCs w:val="20"/>
        </w:rPr>
      </w:pPr>
    </w:p>
    <w:tbl>
      <w:tblPr>
        <w:tblW w:w="5000" w:type="pct"/>
        <w:tblLook w:val="04A0" w:firstRow="1" w:lastRow="0" w:firstColumn="1" w:lastColumn="0" w:noHBand="0" w:noVBand="1"/>
      </w:tblPr>
      <w:tblGrid>
        <w:gridCol w:w="3083"/>
        <w:gridCol w:w="360"/>
        <w:gridCol w:w="1571"/>
        <w:gridCol w:w="1571"/>
        <w:gridCol w:w="1571"/>
        <w:gridCol w:w="1567"/>
      </w:tblGrid>
      <w:tr w:rsidR="00A81FB1" w:rsidRPr="00701439" w14:paraId="0B4A8425" w14:textId="77777777" w:rsidTr="0002541E">
        <w:trPr>
          <w:trHeight w:val="301"/>
        </w:trPr>
        <w:tc>
          <w:tcPr>
            <w:tcW w:w="1770" w:type="pct"/>
            <w:gridSpan w:val="2"/>
            <w:tcBorders>
              <w:top w:val="nil"/>
              <w:left w:val="nil"/>
              <w:right w:val="nil"/>
            </w:tcBorders>
            <w:shd w:val="clear" w:color="auto" w:fill="auto"/>
            <w:noWrap/>
            <w:vAlign w:val="bottom"/>
            <w:hideMark/>
          </w:tcPr>
          <w:p w14:paraId="1419D4ED" w14:textId="0700F790" w:rsidR="00A81FB1" w:rsidRPr="00701439" w:rsidRDefault="00732148">
            <w:pPr>
              <w:rPr>
                <w:rFonts w:asciiTheme="minorHAnsi" w:hAnsiTheme="minorHAnsi" w:cstheme="minorHAnsi"/>
                <w:b/>
                <w:bCs/>
                <w:color w:val="000000"/>
                <w:sz w:val="20"/>
                <w:szCs w:val="20"/>
              </w:rPr>
            </w:pPr>
            <w:r w:rsidRPr="00701439">
              <w:rPr>
                <w:rFonts w:asciiTheme="minorHAnsi" w:hAnsiTheme="minorHAnsi" w:cstheme="minorHAnsi"/>
                <w:b/>
                <w:bCs/>
                <w:color w:val="000000"/>
                <w:sz w:val="20"/>
                <w:szCs w:val="20"/>
              </w:rPr>
              <w:t>Vehicle finance</w:t>
            </w:r>
          </w:p>
        </w:tc>
        <w:tc>
          <w:tcPr>
            <w:tcW w:w="808" w:type="pct"/>
            <w:tcBorders>
              <w:top w:val="nil"/>
              <w:left w:val="nil"/>
              <w:right w:val="nil"/>
            </w:tcBorders>
            <w:shd w:val="clear" w:color="auto" w:fill="auto"/>
            <w:noWrap/>
            <w:vAlign w:val="bottom"/>
            <w:hideMark/>
          </w:tcPr>
          <w:p w14:paraId="3E0A362E" w14:textId="77777777" w:rsidR="00A81FB1" w:rsidRPr="00701439" w:rsidRDefault="00A81FB1">
            <w:pPr>
              <w:rPr>
                <w:rFonts w:asciiTheme="minorHAnsi" w:hAnsiTheme="minorHAnsi" w:cstheme="minorHAnsi"/>
                <w:b/>
                <w:bCs/>
                <w:color w:val="000000"/>
                <w:sz w:val="20"/>
                <w:szCs w:val="20"/>
              </w:rPr>
            </w:pPr>
            <w:r w:rsidRPr="00701439">
              <w:rPr>
                <w:rFonts w:asciiTheme="minorHAnsi" w:hAnsiTheme="minorHAnsi" w:cstheme="minorHAnsi"/>
                <w:b/>
                <w:bCs/>
                <w:color w:val="000000"/>
                <w:sz w:val="20"/>
                <w:szCs w:val="20"/>
              </w:rPr>
              <w:t> </w:t>
            </w:r>
          </w:p>
        </w:tc>
        <w:tc>
          <w:tcPr>
            <w:tcW w:w="808" w:type="pct"/>
            <w:tcBorders>
              <w:top w:val="nil"/>
              <w:left w:val="nil"/>
              <w:right w:val="nil"/>
            </w:tcBorders>
            <w:shd w:val="clear" w:color="auto" w:fill="auto"/>
            <w:noWrap/>
            <w:vAlign w:val="bottom"/>
            <w:hideMark/>
          </w:tcPr>
          <w:p w14:paraId="28CD5163" w14:textId="77777777" w:rsidR="00A81FB1" w:rsidRPr="00701439" w:rsidRDefault="00A81FB1">
            <w:pPr>
              <w:rPr>
                <w:rFonts w:asciiTheme="minorHAnsi" w:hAnsiTheme="minorHAnsi" w:cstheme="minorHAnsi"/>
                <w:b/>
                <w:bCs/>
                <w:color w:val="000000"/>
                <w:sz w:val="20"/>
                <w:szCs w:val="20"/>
              </w:rPr>
            </w:pPr>
            <w:r w:rsidRPr="00701439">
              <w:rPr>
                <w:rFonts w:asciiTheme="minorHAnsi" w:hAnsiTheme="minorHAnsi" w:cstheme="minorHAnsi"/>
                <w:b/>
                <w:bCs/>
                <w:color w:val="000000"/>
                <w:sz w:val="20"/>
                <w:szCs w:val="20"/>
              </w:rPr>
              <w:t> </w:t>
            </w:r>
          </w:p>
        </w:tc>
        <w:tc>
          <w:tcPr>
            <w:tcW w:w="808" w:type="pct"/>
            <w:tcBorders>
              <w:top w:val="nil"/>
              <w:left w:val="nil"/>
              <w:bottom w:val="single" w:sz="4" w:space="0" w:color="auto"/>
              <w:right w:val="nil"/>
            </w:tcBorders>
            <w:shd w:val="clear" w:color="auto" w:fill="auto"/>
            <w:noWrap/>
            <w:vAlign w:val="bottom"/>
            <w:hideMark/>
          </w:tcPr>
          <w:p w14:paraId="0455A16D" w14:textId="77777777" w:rsidR="00A81FB1" w:rsidRPr="00701439" w:rsidRDefault="00A81FB1">
            <w:pPr>
              <w:jc w:val="right"/>
              <w:rPr>
                <w:rFonts w:asciiTheme="minorHAnsi" w:hAnsiTheme="minorHAnsi" w:cstheme="minorHAnsi"/>
                <w:color w:val="000000"/>
                <w:sz w:val="20"/>
                <w:szCs w:val="20"/>
              </w:rPr>
            </w:pPr>
            <w:r w:rsidRPr="00701439">
              <w:rPr>
                <w:rFonts w:asciiTheme="minorHAnsi" w:hAnsiTheme="minorHAnsi" w:cstheme="minorHAnsi"/>
                <w:color w:val="000000"/>
                <w:sz w:val="20"/>
                <w:szCs w:val="20"/>
              </w:rPr>
              <w:t>2022</w:t>
            </w:r>
          </w:p>
          <w:p w14:paraId="67B81229" w14:textId="4C035BA5" w:rsidR="000F191A" w:rsidRPr="00701439" w:rsidRDefault="000F191A">
            <w:pPr>
              <w:jc w:val="right"/>
              <w:rPr>
                <w:rFonts w:asciiTheme="minorHAnsi" w:hAnsiTheme="minorHAnsi" w:cstheme="minorHAnsi"/>
                <w:color w:val="000000"/>
                <w:sz w:val="20"/>
                <w:szCs w:val="20"/>
              </w:rPr>
            </w:pPr>
            <w:r w:rsidRPr="00701439">
              <w:rPr>
                <w:rFonts w:asciiTheme="minorHAnsi" w:hAnsiTheme="minorHAnsi" w:cs="Arial"/>
                <w:sz w:val="20"/>
                <w:szCs w:val="20"/>
              </w:rPr>
              <w:t>£m </w:t>
            </w:r>
          </w:p>
        </w:tc>
        <w:tc>
          <w:tcPr>
            <w:tcW w:w="807" w:type="pct"/>
            <w:tcBorders>
              <w:top w:val="nil"/>
              <w:left w:val="nil"/>
              <w:bottom w:val="single" w:sz="4" w:space="0" w:color="auto"/>
              <w:right w:val="nil"/>
            </w:tcBorders>
            <w:shd w:val="clear" w:color="auto" w:fill="auto"/>
            <w:noWrap/>
            <w:vAlign w:val="bottom"/>
            <w:hideMark/>
          </w:tcPr>
          <w:p w14:paraId="4B696650" w14:textId="77777777" w:rsidR="00A81FB1" w:rsidRPr="00701439" w:rsidRDefault="00A81FB1">
            <w:pPr>
              <w:jc w:val="right"/>
              <w:rPr>
                <w:rFonts w:asciiTheme="minorHAnsi" w:hAnsiTheme="minorHAnsi" w:cstheme="minorHAnsi"/>
                <w:color w:val="000000"/>
                <w:sz w:val="20"/>
                <w:szCs w:val="20"/>
              </w:rPr>
            </w:pPr>
            <w:r w:rsidRPr="00701439">
              <w:rPr>
                <w:rFonts w:asciiTheme="minorHAnsi" w:hAnsiTheme="minorHAnsi" w:cstheme="minorHAnsi"/>
                <w:color w:val="000000"/>
                <w:sz w:val="20"/>
                <w:szCs w:val="20"/>
              </w:rPr>
              <w:t>2021</w:t>
            </w:r>
          </w:p>
          <w:p w14:paraId="1B9DAEE0" w14:textId="17155A82" w:rsidR="000F191A" w:rsidRPr="00701439" w:rsidRDefault="0005454B">
            <w:pPr>
              <w:jc w:val="right"/>
              <w:rPr>
                <w:rFonts w:asciiTheme="minorHAnsi" w:hAnsiTheme="minorHAnsi" w:cstheme="minorHAnsi"/>
                <w:color w:val="000000"/>
                <w:sz w:val="20"/>
                <w:szCs w:val="20"/>
              </w:rPr>
            </w:pPr>
            <w:r w:rsidRPr="00701439">
              <w:rPr>
                <w:rFonts w:asciiTheme="minorHAnsi" w:hAnsiTheme="minorHAnsi" w:cs="Arial"/>
                <w:sz w:val="20"/>
                <w:szCs w:val="20"/>
              </w:rPr>
              <w:t>£m</w:t>
            </w:r>
          </w:p>
        </w:tc>
      </w:tr>
      <w:tr w:rsidR="00A81FB1" w:rsidRPr="00701439" w14:paraId="73393AAF" w14:textId="77777777" w:rsidTr="0002541E">
        <w:trPr>
          <w:trHeight w:val="301"/>
        </w:trPr>
        <w:tc>
          <w:tcPr>
            <w:tcW w:w="1770" w:type="pct"/>
            <w:gridSpan w:val="2"/>
            <w:tcBorders>
              <w:top w:val="nil"/>
              <w:left w:val="nil"/>
              <w:bottom w:val="nil"/>
              <w:right w:val="nil"/>
            </w:tcBorders>
            <w:shd w:val="clear" w:color="auto" w:fill="auto"/>
            <w:noWrap/>
            <w:vAlign w:val="bottom"/>
            <w:hideMark/>
          </w:tcPr>
          <w:p w14:paraId="44BC3ED5" w14:textId="30E7A416" w:rsidR="00A81FB1" w:rsidRPr="00701439" w:rsidRDefault="00A81FB1">
            <w:pPr>
              <w:rPr>
                <w:rFonts w:asciiTheme="minorHAnsi" w:hAnsiTheme="minorHAnsi" w:cstheme="minorHAnsi"/>
                <w:color w:val="000000"/>
                <w:sz w:val="20"/>
                <w:szCs w:val="20"/>
              </w:rPr>
            </w:pPr>
            <w:r w:rsidRPr="00701439">
              <w:rPr>
                <w:rFonts w:asciiTheme="minorHAnsi" w:hAnsiTheme="minorHAnsi" w:cstheme="minorHAnsi"/>
                <w:color w:val="000000"/>
                <w:sz w:val="20"/>
                <w:szCs w:val="20"/>
              </w:rPr>
              <w:t xml:space="preserve">Core </w:t>
            </w:r>
            <w:r w:rsidR="00732148" w:rsidRPr="00701439">
              <w:rPr>
                <w:rFonts w:asciiTheme="minorHAnsi" w:hAnsiTheme="minorHAnsi" w:cstheme="minorHAnsi"/>
                <w:color w:val="000000"/>
                <w:sz w:val="20"/>
                <w:szCs w:val="20"/>
              </w:rPr>
              <w:t>m</w:t>
            </w:r>
            <w:r w:rsidRPr="00701439">
              <w:rPr>
                <w:rFonts w:asciiTheme="minorHAnsi" w:hAnsiTheme="minorHAnsi" w:cstheme="minorHAnsi"/>
                <w:color w:val="000000"/>
                <w:sz w:val="20"/>
                <w:szCs w:val="20"/>
              </w:rPr>
              <w:t>odel</w:t>
            </w:r>
          </w:p>
        </w:tc>
        <w:tc>
          <w:tcPr>
            <w:tcW w:w="808" w:type="pct"/>
            <w:tcBorders>
              <w:top w:val="nil"/>
              <w:left w:val="nil"/>
              <w:bottom w:val="nil"/>
              <w:right w:val="nil"/>
            </w:tcBorders>
            <w:shd w:val="clear" w:color="auto" w:fill="auto"/>
            <w:noWrap/>
            <w:vAlign w:val="bottom"/>
            <w:hideMark/>
          </w:tcPr>
          <w:p w14:paraId="04C33E7C" w14:textId="77777777" w:rsidR="00A81FB1" w:rsidRPr="00701439" w:rsidRDefault="00A81FB1">
            <w:pPr>
              <w:rPr>
                <w:rFonts w:asciiTheme="minorHAnsi" w:hAnsiTheme="minorHAnsi" w:cstheme="minorHAnsi"/>
                <w:color w:val="000000"/>
                <w:sz w:val="20"/>
                <w:szCs w:val="20"/>
              </w:rPr>
            </w:pPr>
          </w:p>
        </w:tc>
        <w:tc>
          <w:tcPr>
            <w:tcW w:w="808" w:type="pct"/>
            <w:tcBorders>
              <w:top w:val="nil"/>
              <w:left w:val="nil"/>
              <w:bottom w:val="nil"/>
              <w:right w:val="nil"/>
            </w:tcBorders>
            <w:shd w:val="clear" w:color="auto" w:fill="auto"/>
            <w:noWrap/>
            <w:vAlign w:val="bottom"/>
            <w:hideMark/>
          </w:tcPr>
          <w:p w14:paraId="5140CB00" w14:textId="77777777" w:rsidR="00A81FB1" w:rsidRPr="00701439" w:rsidRDefault="00A81FB1">
            <w:pPr>
              <w:rPr>
                <w:rFonts w:asciiTheme="minorHAnsi" w:hAnsiTheme="minorHAnsi" w:cstheme="minorHAnsi"/>
                <w:sz w:val="20"/>
                <w:szCs w:val="20"/>
              </w:rPr>
            </w:pPr>
          </w:p>
        </w:tc>
        <w:tc>
          <w:tcPr>
            <w:tcW w:w="808" w:type="pct"/>
            <w:tcBorders>
              <w:top w:val="single" w:sz="4" w:space="0" w:color="auto"/>
              <w:left w:val="nil"/>
              <w:right w:val="nil"/>
            </w:tcBorders>
            <w:shd w:val="clear" w:color="auto" w:fill="auto"/>
            <w:noWrap/>
            <w:vAlign w:val="bottom"/>
            <w:hideMark/>
          </w:tcPr>
          <w:p w14:paraId="3DB8A26E" w14:textId="77777777" w:rsidR="00A81FB1" w:rsidRPr="00701439" w:rsidRDefault="00A81FB1">
            <w:pPr>
              <w:jc w:val="right"/>
              <w:rPr>
                <w:rFonts w:asciiTheme="minorHAnsi" w:hAnsiTheme="minorHAnsi" w:cstheme="minorHAnsi"/>
                <w:color w:val="000000"/>
                <w:sz w:val="20"/>
                <w:szCs w:val="20"/>
              </w:rPr>
            </w:pPr>
            <w:r w:rsidRPr="00701439">
              <w:rPr>
                <w:rFonts w:asciiTheme="minorHAnsi" w:hAnsiTheme="minorHAnsi" w:cstheme="minorHAnsi"/>
                <w:color w:val="000000"/>
                <w:sz w:val="20"/>
                <w:szCs w:val="20"/>
              </w:rPr>
              <w:t>328.7</w:t>
            </w:r>
          </w:p>
        </w:tc>
        <w:tc>
          <w:tcPr>
            <w:tcW w:w="807" w:type="pct"/>
            <w:tcBorders>
              <w:top w:val="single" w:sz="4" w:space="0" w:color="auto"/>
              <w:left w:val="nil"/>
              <w:right w:val="nil"/>
            </w:tcBorders>
            <w:shd w:val="clear" w:color="auto" w:fill="auto"/>
            <w:noWrap/>
            <w:vAlign w:val="bottom"/>
            <w:hideMark/>
          </w:tcPr>
          <w:p w14:paraId="6F3C3139" w14:textId="77777777" w:rsidR="00A81FB1" w:rsidRPr="00701439" w:rsidRDefault="00A81FB1">
            <w:pPr>
              <w:jc w:val="right"/>
              <w:rPr>
                <w:rFonts w:asciiTheme="minorHAnsi" w:hAnsiTheme="minorHAnsi" w:cstheme="minorHAnsi"/>
                <w:color w:val="000000"/>
                <w:sz w:val="20"/>
                <w:szCs w:val="20"/>
              </w:rPr>
            </w:pPr>
            <w:r w:rsidRPr="00701439">
              <w:rPr>
                <w:rFonts w:asciiTheme="minorHAnsi" w:hAnsiTheme="minorHAnsi" w:cstheme="minorHAnsi"/>
                <w:color w:val="000000"/>
                <w:sz w:val="20"/>
                <w:szCs w:val="20"/>
              </w:rPr>
              <w:t>257.5</w:t>
            </w:r>
          </w:p>
        </w:tc>
      </w:tr>
      <w:tr w:rsidR="00A81FB1" w:rsidRPr="00701439" w14:paraId="3BC917AA" w14:textId="77777777" w:rsidTr="0002541E">
        <w:trPr>
          <w:trHeight w:val="289"/>
        </w:trPr>
        <w:tc>
          <w:tcPr>
            <w:tcW w:w="2577" w:type="pct"/>
            <w:gridSpan w:val="3"/>
            <w:tcBorders>
              <w:top w:val="nil"/>
              <w:left w:val="nil"/>
              <w:bottom w:val="nil"/>
              <w:right w:val="nil"/>
            </w:tcBorders>
            <w:shd w:val="clear" w:color="auto" w:fill="auto"/>
            <w:noWrap/>
            <w:vAlign w:val="bottom"/>
            <w:hideMark/>
          </w:tcPr>
          <w:p w14:paraId="758D49D3" w14:textId="2461C791" w:rsidR="00A81FB1" w:rsidRPr="00701439" w:rsidRDefault="00A81FB1">
            <w:pPr>
              <w:rPr>
                <w:rFonts w:asciiTheme="minorHAnsi" w:hAnsiTheme="minorHAnsi" w:cstheme="minorHAnsi"/>
                <w:color w:val="000000"/>
                <w:sz w:val="20"/>
                <w:szCs w:val="20"/>
              </w:rPr>
            </w:pPr>
            <w:r w:rsidRPr="00701439">
              <w:rPr>
                <w:rFonts w:asciiTheme="minorHAnsi" w:hAnsiTheme="minorHAnsi" w:cstheme="minorHAnsi"/>
                <w:color w:val="000000"/>
                <w:sz w:val="20"/>
                <w:szCs w:val="20"/>
              </w:rPr>
              <w:t>In-</w:t>
            </w:r>
            <w:r w:rsidR="00732148" w:rsidRPr="00701439">
              <w:rPr>
                <w:rFonts w:asciiTheme="minorHAnsi" w:hAnsiTheme="minorHAnsi" w:cstheme="minorHAnsi"/>
                <w:color w:val="000000"/>
                <w:sz w:val="20"/>
                <w:szCs w:val="20"/>
              </w:rPr>
              <w:t>m</w:t>
            </w:r>
            <w:r w:rsidRPr="00701439">
              <w:rPr>
                <w:rFonts w:asciiTheme="minorHAnsi" w:hAnsiTheme="minorHAnsi" w:cstheme="minorHAnsi"/>
                <w:color w:val="000000"/>
                <w:sz w:val="20"/>
                <w:szCs w:val="20"/>
              </w:rPr>
              <w:t xml:space="preserve">odel </w:t>
            </w:r>
            <w:r w:rsidR="00EA2650" w:rsidRPr="00701439">
              <w:rPr>
                <w:rFonts w:asciiTheme="minorHAnsi" w:hAnsiTheme="minorHAnsi" w:cstheme="minorHAnsi"/>
                <w:color w:val="000000"/>
                <w:sz w:val="20"/>
                <w:szCs w:val="20"/>
              </w:rPr>
              <w:t>overlays</w:t>
            </w:r>
          </w:p>
        </w:tc>
        <w:tc>
          <w:tcPr>
            <w:tcW w:w="808" w:type="pct"/>
            <w:tcBorders>
              <w:top w:val="nil"/>
              <w:left w:val="nil"/>
              <w:bottom w:val="nil"/>
              <w:right w:val="nil"/>
            </w:tcBorders>
            <w:shd w:val="clear" w:color="auto" w:fill="auto"/>
            <w:noWrap/>
            <w:vAlign w:val="bottom"/>
            <w:hideMark/>
          </w:tcPr>
          <w:p w14:paraId="48562667" w14:textId="77777777" w:rsidR="00A81FB1" w:rsidRPr="00701439" w:rsidRDefault="00A81FB1">
            <w:pPr>
              <w:rPr>
                <w:rFonts w:asciiTheme="minorHAnsi" w:hAnsiTheme="minorHAnsi" w:cstheme="minorHAnsi"/>
                <w:color w:val="000000"/>
                <w:sz w:val="20"/>
                <w:szCs w:val="20"/>
              </w:rPr>
            </w:pPr>
          </w:p>
        </w:tc>
        <w:tc>
          <w:tcPr>
            <w:tcW w:w="808" w:type="pct"/>
            <w:tcBorders>
              <w:left w:val="nil"/>
              <w:bottom w:val="nil"/>
              <w:right w:val="nil"/>
            </w:tcBorders>
            <w:shd w:val="clear" w:color="auto" w:fill="auto"/>
            <w:noWrap/>
            <w:vAlign w:val="bottom"/>
            <w:hideMark/>
          </w:tcPr>
          <w:p w14:paraId="2C0C15E9" w14:textId="77777777" w:rsidR="00A81FB1" w:rsidRPr="00701439" w:rsidRDefault="00A81FB1">
            <w:pPr>
              <w:jc w:val="right"/>
              <w:rPr>
                <w:rFonts w:asciiTheme="minorHAnsi" w:hAnsiTheme="minorHAnsi" w:cstheme="minorHAnsi"/>
                <w:color w:val="000000"/>
                <w:sz w:val="20"/>
                <w:szCs w:val="20"/>
              </w:rPr>
            </w:pPr>
            <w:r w:rsidRPr="00701439">
              <w:rPr>
                <w:rFonts w:asciiTheme="minorHAnsi" w:hAnsiTheme="minorHAnsi" w:cstheme="minorHAnsi"/>
                <w:color w:val="000000"/>
                <w:sz w:val="20"/>
                <w:szCs w:val="20"/>
              </w:rPr>
              <w:t>-</w:t>
            </w:r>
          </w:p>
        </w:tc>
        <w:tc>
          <w:tcPr>
            <w:tcW w:w="807" w:type="pct"/>
            <w:tcBorders>
              <w:left w:val="nil"/>
              <w:bottom w:val="nil"/>
              <w:right w:val="nil"/>
            </w:tcBorders>
            <w:shd w:val="clear" w:color="auto" w:fill="auto"/>
            <w:noWrap/>
            <w:vAlign w:val="bottom"/>
            <w:hideMark/>
          </w:tcPr>
          <w:p w14:paraId="66B152F9" w14:textId="77777777" w:rsidR="00A81FB1" w:rsidRPr="00701439" w:rsidRDefault="00A81FB1">
            <w:pPr>
              <w:jc w:val="right"/>
              <w:rPr>
                <w:rFonts w:asciiTheme="minorHAnsi" w:hAnsiTheme="minorHAnsi" w:cstheme="minorHAnsi"/>
                <w:color w:val="000000"/>
                <w:sz w:val="20"/>
                <w:szCs w:val="20"/>
              </w:rPr>
            </w:pPr>
            <w:r w:rsidRPr="00701439">
              <w:rPr>
                <w:rFonts w:asciiTheme="minorHAnsi" w:hAnsiTheme="minorHAnsi" w:cstheme="minorHAnsi"/>
                <w:color w:val="000000"/>
                <w:sz w:val="20"/>
                <w:szCs w:val="20"/>
              </w:rPr>
              <w:t>-</w:t>
            </w:r>
          </w:p>
        </w:tc>
      </w:tr>
      <w:tr w:rsidR="00A81FB1" w:rsidRPr="00701439" w14:paraId="1E014B48" w14:textId="77777777" w:rsidTr="0005454B">
        <w:trPr>
          <w:trHeight w:val="289"/>
        </w:trPr>
        <w:tc>
          <w:tcPr>
            <w:tcW w:w="2577" w:type="pct"/>
            <w:gridSpan w:val="3"/>
            <w:tcBorders>
              <w:top w:val="nil"/>
              <w:left w:val="nil"/>
              <w:bottom w:val="nil"/>
              <w:right w:val="nil"/>
            </w:tcBorders>
            <w:shd w:val="clear" w:color="auto" w:fill="auto"/>
            <w:noWrap/>
            <w:vAlign w:val="bottom"/>
            <w:hideMark/>
          </w:tcPr>
          <w:p w14:paraId="2C9D9C3E" w14:textId="38D0FED2" w:rsidR="00A81FB1" w:rsidRPr="00701439" w:rsidRDefault="00A81FB1">
            <w:pPr>
              <w:rPr>
                <w:rFonts w:asciiTheme="minorHAnsi" w:hAnsiTheme="minorHAnsi" w:cstheme="minorHAnsi"/>
                <w:color w:val="000000"/>
                <w:sz w:val="20"/>
                <w:szCs w:val="20"/>
              </w:rPr>
            </w:pPr>
            <w:r w:rsidRPr="00701439">
              <w:rPr>
                <w:rFonts w:asciiTheme="minorHAnsi" w:hAnsiTheme="minorHAnsi" w:cstheme="minorHAnsi"/>
                <w:color w:val="000000"/>
                <w:sz w:val="20"/>
                <w:szCs w:val="20"/>
              </w:rPr>
              <w:t>Post</w:t>
            </w:r>
            <w:r w:rsidR="003C54ED" w:rsidRPr="00701439">
              <w:rPr>
                <w:rFonts w:asciiTheme="minorHAnsi" w:hAnsiTheme="minorHAnsi" w:cstheme="minorHAnsi"/>
                <w:color w:val="000000"/>
                <w:sz w:val="20"/>
                <w:szCs w:val="20"/>
              </w:rPr>
              <w:t>-</w:t>
            </w:r>
            <w:r w:rsidR="00732148" w:rsidRPr="00701439">
              <w:rPr>
                <w:rFonts w:asciiTheme="minorHAnsi" w:hAnsiTheme="minorHAnsi" w:cstheme="minorHAnsi"/>
                <w:color w:val="000000"/>
                <w:sz w:val="20"/>
                <w:szCs w:val="20"/>
              </w:rPr>
              <w:t>m</w:t>
            </w:r>
            <w:r w:rsidRPr="00701439">
              <w:rPr>
                <w:rFonts w:asciiTheme="minorHAnsi" w:hAnsiTheme="minorHAnsi" w:cstheme="minorHAnsi"/>
                <w:color w:val="000000"/>
                <w:sz w:val="20"/>
                <w:szCs w:val="20"/>
              </w:rPr>
              <w:t xml:space="preserve">odel </w:t>
            </w:r>
            <w:r w:rsidR="00EA2650" w:rsidRPr="00701439">
              <w:rPr>
                <w:rFonts w:asciiTheme="minorHAnsi" w:hAnsiTheme="minorHAnsi" w:cstheme="minorHAnsi"/>
                <w:color w:val="000000"/>
                <w:sz w:val="20"/>
                <w:szCs w:val="20"/>
              </w:rPr>
              <w:t>overlays</w:t>
            </w:r>
          </w:p>
        </w:tc>
        <w:tc>
          <w:tcPr>
            <w:tcW w:w="808" w:type="pct"/>
            <w:tcBorders>
              <w:top w:val="nil"/>
              <w:left w:val="nil"/>
              <w:bottom w:val="nil"/>
              <w:right w:val="nil"/>
            </w:tcBorders>
            <w:shd w:val="clear" w:color="auto" w:fill="auto"/>
            <w:noWrap/>
            <w:vAlign w:val="bottom"/>
            <w:hideMark/>
          </w:tcPr>
          <w:p w14:paraId="357FB4F1" w14:textId="77777777" w:rsidR="00A81FB1" w:rsidRPr="00701439" w:rsidRDefault="00A81FB1">
            <w:pPr>
              <w:rPr>
                <w:rFonts w:asciiTheme="minorHAnsi" w:hAnsiTheme="minorHAnsi" w:cstheme="minorHAnsi"/>
                <w:color w:val="000000"/>
                <w:sz w:val="20"/>
                <w:szCs w:val="20"/>
              </w:rPr>
            </w:pPr>
          </w:p>
        </w:tc>
        <w:tc>
          <w:tcPr>
            <w:tcW w:w="808" w:type="pct"/>
            <w:tcBorders>
              <w:top w:val="nil"/>
              <w:left w:val="nil"/>
              <w:bottom w:val="nil"/>
              <w:right w:val="nil"/>
            </w:tcBorders>
            <w:shd w:val="clear" w:color="auto" w:fill="auto"/>
            <w:noWrap/>
            <w:vAlign w:val="bottom"/>
            <w:hideMark/>
          </w:tcPr>
          <w:p w14:paraId="7F4D40C9" w14:textId="77777777" w:rsidR="00A81FB1" w:rsidRPr="00701439" w:rsidRDefault="00A81FB1">
            <w:pPr>
              <w:jc w:val="right"/>
              <w:rPr>
                <w:rFonts w:asciiTheme="minorHAnsi" w:hAnsiTheme="minorHAnsi" w:cstheme="minorHAnsi"/>
                <w:color w:val="000000"/>
                <w:sz w:val="20"/>
                <w:szCs w:val="20"/>
              </w:rPr>
            </w:pPr>
            <w:r w:rsidRPr="00701439">
              <w:rPr>
                <w:rFonts w:asciiTheme="minorHAnsi" w:hAnsiTheme="minorHAnsi" w:cstheme="minorHAnsi"/>
                <w:color w:val="000000"/>
                <w:sz w:val="20"/>
                <w:szCs w:val="20"/>
              </w:rPr>
              <w:t>(2.5)</w:t>
            </w:r>
          </w:p>
        </w:tc>
        <w:tc>
          <w:tcPr>
            <w:tcW w:w="807" w:type="pct"/>
            <w:tcBorders>
              <w:top w:val="nil"/>
              <w:left w:val="nil"/>
              <w:bottom w:val="nil"/>
              <w:right w:val="nil"/>
            </w:tcBorders>
            <w:shd w:val="clear" w:color="auto" w:fill="auto"/>
            <w:noWrap/>
            <w:vAlign w:val="bottom"/>
            <w:hideMark/>
          </w:tcPr>
          <w:p w14:paraId="51BB6AE9" w14:textId="77777777" w:rsidR="00A81FB1" w:rsidRPr="00701439" w:rsidRDefault="00A81FB1">
            <w:pPr>
              <w:jc w:val="right"/>
              <w:rPr>
                <w:rFonts w:asciiTheme="minorHAnsi" w:hAnsiTheme="minorHAnsi" w:cstheme="minorHAnsi"/>
                <w:color w:val="000000"/>
                <w:sz w:val="20"/>
                <w:szCs w:val="20"/>
              </w:rPr>
            </w:pPr>
            <w:r w:rsidRPr="00701439">
              <w:rPr>
                <w:rFonts w:asciiTheme="minorHAnsi" w:hAnsiTheme="minorHAnsi" w:cstheme="minorHAnsi"/>
                <w:color w:val="000000"/>
                <w:sz w:val="20"/>
                <w:szCs w:val="20"/>
              </w:rPr>
              <w:t>(2.0)</w:t>
            </w:r>
          </w:p>
        </w:tc>
      </w:tr>
      <w:tr w:rsidR="00A81FB1" w:rsidRPr="00701439" w14:paraId="1225FFD1" w14:textId="77777777" w:rsidTr="0002541E">
        <w:trPr>
          <w:trHeight w:val="289"/>
        </w:trPr>
        <w:tc>
          <w:tcPr>
            <w:tcW w:w="2577" w:type="pct"/>
            <w:gridSpan w:val="3"/>
            <w:tcBorders>
              <w:left w:val="nil"/>
              <w:right w:val="nil"/>
            </w:tcBorders>
            <w:shd w:val="clear" w:color="auto" w:fill="auto"/>
            <w:noWrap/>
            <w:vAlign w:val="bottom"/>
            <w:hideMark/>
          </w:tcPr>
          <w:p w14:paraId="32B1CC71" w14:textId="7576D85E" w:rsidR="00A81FB1" w:rsidRPr="00701439" w:rsidRDefault="00A81FB1">
            <w:pPr>
              <w:rPr>
                <w:rFonts w:asciiTheme="minorHAnsi" w:hAnsiTheme="minorHAnsi" w:cstheme="minorHAnsi"/>
                <w:b/>
                <w:bCs/>
                <w:color w:val="000000"/>
                <w:sz w:val="20"/>
                <w:szCs w:val="20"/>
              </w:rPr>
            </w:pPr>
            <w:r w:rsidRPr="00701439">
              <w:rPr>
                <w:rFonts w:asciiTheme="minorHAnsi" w:hAnsiTheme="minorHAnsi" w:cstheme="minorHAnsi"/>
                <w:b/>
                <w:bCs/>
                <w:color w:val="000000"/>
                <w:sz w:val="20"/>
                <w:szCs w:val="20"/>
              </w:rPr>
              <w:t xml:space="preserve">Total </w:t>
            </w:r>
            <w:r w:rsidR="00732148" w:rsidRPr="00701439">
              <w:rPr>
                <w:rFonts w:asciiTheme="minorHAnsi" w:hAnsiTheme="minorHAnsi" w:cstheme="minorHAnsi"/>
                <w:b/>
                <w:bCs/>
                <w:color w:val="000000"/>
                <w:sz w:val="20"/>
                <w:szCs w:val="20"/>
              </w:rPr>
              <w:t>a</w:t>
            </w:r>
            <w:r w:rsidRPr="00701439">
              <w:rPr>
                <w:rFonts w:asciiTheme="minorHAnsi" w:hAnsiTheme="minorHAnsi" w:cstheme="minorHAnsi"/>
                <w:b/>
                <w:bCs/>
                <w:color w:val="000000"/>
                <w:sz w:val="20"/>
                <w:szCs w:val="20"/>
              </w:rPr>
              <w:t xml:space="preserve">llowance </w:t>
            </w:r>
            <w:r w:rsidR="00732148" w:rsidRPr="00701439">
              <w:rPr>
                <w:rFonts w:asciiTheme="minorHAnsi" w:hAnsiTheme="minorHAnsi" w:cstheme="minorHAnsi"/>
                <w:b/>
                <w:bCs/>
                <w:color w:val="000000"/>
                <w:sz w:val="20"/>
                <w:szCs w:val="20"/>
              </w:rPr>
              <w:t>a</w:t>
            </w:r>
            <w:r w:rsidRPr="00701439">
              <w:rPr>
                <w:rFonts w:asciiTheme="minorHAnsi" w:hAnsiTheme="minorHAnsi" w:cstheme="minorHAnsi"/>
                <w:b/>
                <w:bCs/>
                <w:color w:val="000000"/>
                <w:sz w:val="20"/>
                <w:szCs w:val="20"/>
              </w:rPr>
              <w:t>ccount</w:t>
            </w:r>
          </w:p>
        </w:tc>
        <w:tc>
          <w:tcPr>
            <w:tcW w:w="808" w:type="pct"/>
            <w:tcBorders>
              <w:left w:val="nil"/>
              <w:right w:val="nil"/>
            </w:tcBorders>
            <w:shd w:val="clear" w:color="auto" w:fill="auto"/>
            <w:noWrap/>
            <w:vAlign w:val="bottom"/>
            <w:hideMark/>
          </w:tcPr>
          <w:p w14:paraId="69FCE93C" w14:textId="77777777" w:rsidR="00A81FB1" w:rsidRPr="00701439" w:rsidRDefault="00A81FB1">
            <w:pPr>
              <w:rPr>
                <w:rFonts w:asciiTheme="minorHAnsi" w:hAnsiTheme="minorHAnsi" w:cstheme="minorHAnsi"/>
                <w:b/>
                <w:bCs/>
                <w:color w:val="000000"/>
                <w:sz w:val="20"/>
                <w:szCs w:val="20"/>
              </w:rPr>
            </w:pPr>
            <w:r w:rsidRPr="00701439">
              <w:rPr>
                <w:rFonts w:asciiTheme="minorHAnsi" w:hAnsiTheme="minorHAnsi" w:cstheme="minorHAnsi"/>
                <w:b/>
                <w:bCs/>
                <w:color w:val="000000"/>
                <w:sz w:val="20"/>
                <w:szCs w:val="20"/>
              </w:rPr>
              <w:t> </w:t>
            </w:r>
          </w:p>
        </w:tc>
        <w:tc>
          <w:tcPr>
            <w:tcW w:w="808" w:type="pct"/>
            <w:tcBorders>
              <w:top w:val="single" w:sz="4" w:space="0" w:color="auto"/>
              <w:left w:val="nil"/>
              <w:bottom w:val="single" w:sz="4" w:space="0" w:color="auto"/>
              <w:right w:val="nil"/>
            </w:tcBorders>
            <w:shd w:val="clear" w:color="auto" w:fill="auto"/>
            <w:noWrap/>
            <w:vAlign w:val="bottom"/>
            <w:hideMark/>
          </w:tcPr>
          <w:p w14:paraId="268C8900" w14:textId="77777777" w:rsidR="00A81FB1" w:rsidRPr="00701439" w:rsidRDefault="00A81FB1">
            <w:pPr>
              <w:jc w:val="right"/>
              <w:rPr>
                <w:rFonts w:asciiTheme="minorHAnsi" w:hAnsiTheme="minorHAnsi" w:cstheme="minorHAnsi"/>
                <w:color w:val="000000"/>
                <w:sz w:val="20"/>
                <w:szCs w:val="20"/>
              </w:rPr>
            </w:pPr>
            <w:r w:rsidRPr="00701439">
              <w:rPr>
                <w:rFonts w:asciiTheme="minorHAnsi" w:hAnsiTheme="minorHAnsi" w:cstheme="minorHAnsi"/>
                <w:color w:val="000000"/>
                <w:sz w:val="20"/>
                <w:szCs w:val="20"/>
              </w:rPr>
              <w:t>326.2</w:t>
            </w:r>
          </w:p>
        </w:tc>
        <w:tc>
          <w:tcPr>
            <w:tcW w:w="807" w:type="pct"/>
            <w:tcBorders>
              <w:top w:val="single" w:sz="4" w:space="0" w:color="auto"/>
              <w:left w:val="nil"/>
              <w:bottom w:val="single" w:sz="4" w:space="0" w:color="auto"/>
              <w:right w:val="nil"/>
            </w:tcBorders>
            <w:shd w:val="clear" w:color="auto" w:fill="auto"/>
            <w:noWrap/>
            <w:vAlign w:val="bottom"/>
            <w:hideMark/>
          </w:tcPr>
          <w:p w14:paraId="7870958B" w14:textId="77777777" w:rsidR="00A81FB1" w:rsidRPr="00701439" w:rsidRDefault="00A81FB1">
            <w:pPr>
              <w:jc w:val="right"/>
              <w:rPr>
                <w:rFonts w:asciiTheme="minorHAnsi" w:hAnsiTheme="minorHAnsi" w:cstheme="minorHAnsi"/>
                <w:color w:val="000000"/>
                <w:sz w:val="20"/>
                <w:szCs w:val="20"/>
              </w:rPr>
            </w:pPr>
            <w:r w:rsidRPr="00701439">
              <w:rPr>
                <w:rFonts w:asciiTheme="minorHAnsi" w:hAnsiTheme="minorHAnsi" w:cstheme="minorHAnsi"/>
                <w:color w:val="000000"/>
                <w:sz w:val="20"/>
                <w:szCs w:val="20"/>
              </w:rPr>
              <w:t>255.5</w:t>
            </w:r>
          </w:p>
        </w:tc>
      </w:tr>
      <w:tr w:rsidR="00A81FB1" w:rsidRPr="00701439" w14:paraId="1DCD4305" w14:textId="77777777" w:rsidTr="0005454B">
        <w:trPr>
          <w:trHeight w:val="289"/>
        </w:trPr>
        <w:tc>
          <w:tcPr>
            <w:tcW w:w="1585" w:type="pct"/>
            <w:tcBorders>
              <w:top w:val="nil"/>
              <w:left w:val="nil"/>
              <w:bottom w:val="nil"/>
              <w:right w:val="nil"/>
            </w:tcBorders>
            <w:shd w:val="clear" w:color="auto" w:fill="auto"/>
            <w:noWrap/>
            <w:vAlign w:val="bottom"/>
            <w:hideMark/>
          </w:tcPr>
          <w:p w14:paraId="56D3B464" w14:textId="77777777" w:rsidR="00A81FB1" w:rsidRPr="00701439" w:rsidRDefault="00A81FB1">
            <w:pPr>
              <w:jc w:val="right"/>
              <w:rPr>
                <w:rFonts w:asciiTheme="minorHAnsi" w:hAnsiTheme="minorHAnsi" w:cstheme="minorHAnsi"/>
                <w:b/>
                <w:bCs/>
                <w:color w:val="000000"/>
                <w:sz w:val="20"/>
                <w:szCs w:val="20"/>
              </w:rPr>
            </w:pPr>
          </w:p>
        </w:tc>
        <w:tc>
          <w:tcPr>
            <w:tcW w:w="184" w:type="pct"/>
            <w:tcBorders>
              <w:top w:val="nil"/>
              <w:left w:val="nil"/>
              <w:bottom w:val="nil"/>
              <w:right w:val="nil"/>
            </w:tcBorders>
            <w:shd w:val="clear" w:color="auto" w:fill="auto"/>
            <w:noWrap/>
            <w:vAlign w:val="bottom"/>
            <w:hideMark/>
          </w:tcPr>
          <w:p w14:paraId="12BC3467" w14:textId="77777777" w:rsidR="00A81FB1" w:rsidRPr="00701439" w:rsidRDefault="00A81FB1">
            <w:pPr>
              <w:rPr>
                <w:rFonts w:asciiTheme="minorHAnsi" w:hAnsiTheme="minorHAnsi" w:cstheme="minorHAnsi"/>
                <w:sz w:val="20"/>
                <w:szCs w:val="20"/>
              </w:rPr>
            </w:pPr>
          </w:p>
        </w:tc>
        <w:tc>
          <w:tcPr>
            <w:tcW w:w="808" w:type="pct"/>
            <w:tcBorders>
              <w:top w:val="nil"/>
              <w:left w:val="nil"/>
              <w:bottom w:val="nil"/>
              <w:right w:val="nil"/>
            </w:tcBorders>
            <w:shd w:val="clear" w:color="auto" w:fill="auto"/>
            <w:noWrap/>
            <w:vAlign w:val="bottom"/>
            <w:hideMark/>
          </w:tcPr>
          <w:p w14:paraId="5932FF40" w14:textId="77777777" w:rsidR="00A81FB1" w:rsidRPr="00701439" w:rsidRDefault="00A81FB1">
            <w:pPr>
              <w:rPr>
                <w:rFonts w:asciiTheme="minorHAnsi" w:hAnsiTheme="minorHAnsi" w:cstheme="minorHAnsi"/>
                <w:sz w:val="20"/>
                <w:szCs w:val="20"/>
              </w:rPr>
            </w:pPr>
          </w:p>
        </w:tc>
        <w:tc>
          <w:tcPr>
            <w:tcW w:w="808" w:type="pct"/>
            <w:tcBorders>
              <w:top w:val="nil"/>
              <w:left w:val="nil"/>
              <w:bottom w:val="nil"/>
              <w:right w:val="nil"/>
            </w:tcBorders>
            <w:shd w:val="clear" w:color="auto" w:fill="auto"/>
            <w:noWrap/>
            <w:vAlign w:val="bottom"/>
            <w:hideMark/>
          </w:tcPr>
          <w:p w14:paraId="14771E0F" w14:textId="77777777" w:rsidR="00A81FB1" w:rsidRPr="00701439" w:rsidRDefault="00A81FB1">
            <w:pPr>
              <w:rPr>
                <w:rFonts w:asciiTheme="minorHAnsi" w:hAnsiTheme="minorHAnsi" w:cstheme="minorHAnsi"/>
                <w:sz w:val="20"/>
                <w:szCs w:val="20"/>
              </w:rPr>
            </w:pPr>
          </w:p>
        </w:tc>
        <w:tc>
          <w:tcPr>
            <w:tcW w:w="808" w:type="pct"/>
            <w:tcBorders>
              <w:top w:val="nil"/>
              <w:left w:val="nil"/>
              <w:bottom w:val="nil"/>
              <w:right w:val="nil"/>
            </w:tcBorders>
            <w:shd w:val="clear" w:color="auto" w:fill="auto"/>
            <w:noWrap/>
            <w:vAlign w:val="bottom"/>
          </w:tcPr>
          <w:p w14:paraId="38C8D6D4" w14:textId="51C137C8" w:rsidR="00A81FB1" w:rsidRPr="00701439" w:rsidRDefault="00A81FB1">
            <w:pPr>
              <w:jc w:val="right"/>
              <w:rPr>
                <w:rFonts w:asciiTheme="minorHAnsi" w:hAnsiTheme="minorHAnsi" w:cstheme="minorHAnsi"/>
                <w:color w:val="000000"/>
                <w:sz w:val="20"/>
                <w:szCs w:val="20"/>
              </w:rPr>
            </w:pPr>
          </w:p>
        </w:tc>
        <w:tc>
          <w:tcPr>
            <w:tcW w:w="807" w:type="pct"/>
            <w:tcBorders>
              <w:top w:val="nil"/>
              <w:left w:val="nil"/>
              <w:bottom w:val="nil"/>
              <w:right w:val="nil"/>
            </w:tcBorders>
            <w:shd w:val="clear" w:color="auto" w:fill="auto"/>
            <w:noWrap/>
            <w:vAlign w:val="bottom"/>
          </w:tcPr>
          <w:p w14:paraId="0BE65165" w14:textId="259B4C0C" w:rsidR="00A81FB1" w:rsidRPr="00701439" w:rsidRDefault="00A81FB1">
            <w:pPr>
              <w:jc w:val="right"/>
              <w:rPr>
                <w:rFonts w:asciiTheme="minorHAnsi" w:hAnsiTheme="minorHAnsi" w:cstheme="minorHAnsi"/>
                <w:color w:val="000000"/>
                <w:sz w:val="20"/>
                <w:szCs w:val="20"/>
              </w:rPr>
            </w:pPr>
          </w:p>
        </w:tc>
      </w:tr>
      <w:tr w:rsidR="00A81FB1" w:rsidRPr="00701439" w14:paraId="05E1A698" w14:textId="77777777" w:rsidTr="0002541E">
        <w:trPr>
          <w:trHeight w:val="289"/>
        </w:trPr>
        <w:tc>
          <w:tcPr>
            <w:tcW w:w="1585" w:type="pct"/>
            <w:tcBorders>
              <w:top w:val="nil"/>
              <w:left w:val="nil"/>
              <w:bottom w:val="nil"/>
              <w:right w:val="nil"/>
            </w:tcBorders>
            <w:shd w:val="clear" w:color="auto" w:fill="auto"/>
            <w:noWrap/>
            <w:vAlign w:val="bottom"/>
            <w:hideMark/>
          </w:tcPr>
          <w:p w14:paraId="6690DA8D" w14:textId="77777777" w:rsidR="00A81FB1" w:rsidRPr="00701439" w:rsidRDefault="00A81FB1">
            <w:pPr>
              <w:jc w:val="right"/>
              <w:rPr>
                <w:rFonts w:asciiTheme="minorHAnsi" w:hAnsiTheme="minorHAnsi" w:cstheme="minorHAnsi"/>
                <w:color w:val="000000"/>
                <w:sz w:val="20"/>
                <w:szCs w:val="20"/>
              </w:rPr>
            </w:pPr>
          </w:p>
        </w:tc>
        <w:tc>
          <w:tcPr>
            <w:tcW w:w="184" w:type="pct"/>
            <w:tcBorders>
              <w:top w:val="nil"/>
              <w:left w:val="nil"/>
              <w:bottom w:val="nil"/>
              <w:right w:val="nil"/>
            </w:tcBorders>
            <w:shd w:val="clear" w:color="auto" w:fill="auto"/>
            <w:noWrap/>
            <w:vAlign w:val="bottom"/>
            <w:hideMark/>
          </w:tcPr>
          <w:p w14:paraId="5E1D34DA" w14:textId="77777777" w:rsidR="00A81FB1" w:rsidRPr="00701439" w:rsidRDefault="00A81FB1">
            <w:pPr>
              <w:rPr>
                <w:rFonts w:asciiTheme="minorHAnsi" w:hAnsiTheme="minorHAnsi" w:cstheme="minorHAnsi"/>
                <w:sz w:val="20"/>
                <w:szCs w:val="20"/>
              </w:rPr>
            </w:pPr>
          </w:p>
        </w:tc>
        <w:tc>
          <w:tcPr>
            <w:tcW w:w="808" w:type="pct"/>
            <w:tcBorders>
              <w:top w:val="nil"/>
              <w:left w:val="nil"/>
              <w:bottom w:val="nil"/>
              <w:right w:val="nil"/>
            </w:tcBorders>
            <w:shd w:val="clear" w:color="auto" w:fill="auto"/>
            <w:noWrap/>
            <w:vAlign w:val="bottom"/>
            <w:hideMark/>
          </w:tcPr>
          <w:p w14:paraId="21818309" w14:textId="77777777" w:rsidR="00A81FB1" w:rsidRPr="00701439" w:rsidRDefault="00A81FB1">
            <w:pPr>
              <w:rPr>
                <w:rFonts w:asciiTheme="minorHAnsi" w:hAnsiTheme="minorHAnsi" w:cstheme="minorHAnsi"/>
                <w:sz w:val="20"/>
                <w:szCs w:val="20"/>
              </w:rPr>
            </w:pPr>
          </w:p>
        </w:tc>
        <w:tc>
          <w:tcPr>
            <w:tcW w:w="808" w:type="pct"/>
            <w:tcBorders>
              <w:top w:val="nil"/>
              <w:left w:val="nil"/>
              <w:bottom w:val="nil"/>
              <w:right w:val="nil"/>
            </w:tcBorders>
            <w:shd w:val="clear" w:color="auto" w:fill="auto"/>
            <w:noWrap/>
            <w:vAlign w:val="bottom"/>
            <w:hideMark/>
          </w:tcPr>
          <w:p w14:paraId="008CC312" w14:textId="77777777" w:rsidR="00A81FB1" w:rsidRPr="00701439" w:rsidRDefault="00A81FB1">
            <w:pPr>
              <w:rPr>
                <w:rFonts w:asciiTheme="minorHAnsi" w:hAnsiTheme="minorHAnsi" w:cstheme="minorHAnsi"/>
                <w:sz w:val="20"/>
                <w:szCs w:val="20"/>
              </w:rPr>
            </w:pPr>
          </w:p>
        </w:tc>
        <w:tc>
          <w:tcPr>
            <w:tcW w:w="808" w:type="pct"/>
            <w:tcBorders>
              <w:top w:val="nil"/>
              <w:left w:val="nil"/>
              <w:right w:val="nil"/>
            </w:tcBorders>
            <w:shd w:val="clear" w:color="auto" w:fill="auto"/>
            <w:noWrap/>
            <w:vAlign w:val="bottom"/>
            <w:hideMark/>
          </w:tcPr>
          <w:p w14:paraId="33243200" w14:textId="77777777" w:rsidR="00A81FB1" w:rsidRPr="00701439" w:rsidRDefault="00A81FB1">
            <w:pPr>
              <w:rPr>
                <w:rFonts w:asciiTheme="minorHAnsi" w:hAnsiTheme="minorHAnsi" w:cstheme="minorHAnsi"/>
                <w:sz w:val="20"/>
                <w:szCs w:val="20"/>
              </w:rPr>
            </w:pPr>
          </w:p>
        </w:tc>
        <w:tc>
          <w:tcPr>
            <w:tcW w:w="807" w:type="pct"/>
            <w:tcBorders>
              <w:top w:val="nil"/>
              <w:left w:val="nil"/>
              <w:right w:val="nil"/>
            </w:tcBorders>
            <w:shd w:val="clear" w:color="auto" w:fill="auto"/>
            <w:noWrap/>
            <w:vAlign w:val="bottom"/>
            <w:hideMark/>
          </w:tcPr>
          <w:p w14:paraId="0E9F0724" w14:textId="77777777" w:rsidR="00A81FB1" w:rsidRPr="00701439" w:rsidRDefault="00A81FB1">
            <w:pPr>
              <w:rPr>
                <w:rFonts w:asciiTheme="minorHAnsi" w:hAnsiTheme="minorHAnsi" w:cstheme="minorHAnsi"/>
                <w:sz w:val="20"/>
                <w:szCs w:val="20"/>
              </w:rPr>
            </w:pPr>
          </w:p>
        </w:tc>
      </w:tr>
      <w:tr w:rsidR="0005454B" w:rsidRPr="00701439" w14:paraId="6BAA7F23" w14:textId="77777777" w:rsidTr="0002541E">
        <w:trPr>
          <w:trHeight w:val="297"/>
        </w:trPr>
        <w:tc>
          <w:tcPr>
            <w:tcW w:w="1770" w:type="pct"/>
            <w:gridSpan w:val="2"/>
            <w:tcBorders>
              <w:top w:val="nil"/>
              <w:left w:val="nil"/>
              <w:right w:val="nil"/>
            </w:tcBorders>
            <w:shd w:val="clear" w:color="auto" w:fill="auto"/>
            <w:noWrap/>
            <w:vAlign w:val="bottom"/>
            <w:hideMark/>
          </w:tcPr>
          <w:p w14:paraId="3CC0BB05" w14:textId="77777777" w:rsidR="0005454B" w:rsidRPr="00701439" w:rsidRDefault="0005454B" w:rsidP="0005454B">
            <w:pPr>
              <w:rPr>
                <w:rFonts w:asciiTheme="minorHAnsi" w:hAnsiTheme="minorHAnsi" w:cstheme="minorHAnsi"/>
                <w:b/>
                <w:bCs/>
                <w:color w:val="000000"/>
                <w:sz w:val="20"/>
                <w:szCs w:val="20"/>
              </w:rPr>
            </w:pPr>
            <w:r w:rsidRPr="00701439">
              <w:rPr>
                <w:rFonts w:asciiTheme="minorHAnsi" w:hAnsiTheme="minorHAnsi" w:cstheme="minorHAnsi"/>
                <w:b/>
                <w:bCs/>
                <w:color w:val="000000"/>
                <w:sz w:val="20"/>
                <w:szCs w:val="20"/>
              </w:rPr>
              <w:t>Description</w:t>
            </w:r>
          </w:p>
        </w:tc>
        <w:tc>
          <w:tcPr>
            <w:tcW w:w="808" w:type="pct"/>
            <w:tcBorders>
              <w:top w:val="nil"/>
              <w:left w:val="nil"/>
              <w:right w:val="nil"/>
            </w:tcBorders>
            <w:shd w:val="clear" w:color="auto" w:fill="auto"/>
            <w:noWrap/>
            <w:vAlign w:val="bottom"/>
            <w:hideMark/>
          </w:tcPr>
          <w:p w14:paraId="48D38DF0" w14:textId="77777777" w:rsidR="0005454B" w:rsidRPr="00701439" w:rsidRDefault="0005454B" w:rsidP="0005454B">
            <w:pPr>
              <w:rPr>
                <w:rFonts w:asciiTheme="minorHAnsi" w:hAnsiTheme="minorHAnsi" w:cstheme="minorHAnsi"/>
                <w:color w:val="000000"/>
                <w:sz w:val="20"/>
                <w:szCs w:val="20"/>
              </w:rPr>
            </w:pPr>
            <w:r w:rsidRPr="00701439">
              <w:rPr>
                <w:rFonts w:asciiTheme="minorHAnsi" w:hAnsiTheme="minorHAnsi" w:cstheme="minorHAnsi"/>
                <w:color w:val="000000"/>
                <w:sz w:val="20"/>
                <w:szCs w:val="20"/>
              </w:rPr>
              <w:t> </w:t>
            </w:r>
          </w:p>
        </w:tc>
        <w:tc>
          <w:tcPr>
            <w:tcW w:w="808" w:type="pct"/>
            <w:tcBorders>
              <w:top w:val="nil"/>
              <w:left w:val="nil"/>
              <w:right w:val="nil"/>
            </w:tcBorders>
            <w:shd w:val="clear" w:color="auto" w:fill="auto"/>
            <w:noWrap/>
            <w:vAlign w:val="bottom"/>
            <w:hideMark/>
          </w:tcPr>
          <w:p w14:paraId="76F90D8C" w14:textId="77777777" w:rsidR="0005454B" w:rsidRPr="00701439" w:rsidRDefault="0005454B" w:rsidP="0005454B">
            <w:pPr>
              <w:rPr>
                <w:rFonts w:asciiTheme="minorHAnsi" w:hAnsiTheme="minorHAnsi" w:cstheme="minorHAnsi"/>
                <w:color w:val="000000"/>
                <w:sz w:val="20"/>
                <w:szCs w:val="20"/>
              </w:rPr>
            </w:pPr>
            <w:r w:rsidRPr="00701439">
              <w:rPr>
                <w:rFonts w:asciiTheme="minorHAnsi" w:hAnsiTheme="minorHAnsi" w:cstheme="minorHAnsi"/>
                <w:color w:val="000000"/>
                <w:sz w:val="20"/>
                <w:szCs w:val="20"/>
              </w:rPr>
              <w:t> </w:t>
            </w:r>
          </w:p>
        </w:tc>
        <w:tc>
          <w:tcPr>
            <w:tcW w:w="808" w:type="pct"/>
            <w:tcBorders>
              <w:top w:val="nil"/>
              <w:left w:val="nil"/>
              <w:bottom w:val="single" w:sz="4" w:space="0" w:color="auto"/>
              <w:right w:val="nil"/>
            </w:tcBorders>
            <w:shd w:val="clear" w:color="auto" w:fill="auto"/>
            <w:noWrap/>
            <w:vAlign w:val="bottom"/>
            <w:hideMark/>
          </w:tcPr>
          <w:p w14:paraId="5CF22015" w14:textId="77777777" w:rsidR="0005454B" w:rsidRPr="00701439" w:rsidRDefault="0005454B" w:rsidP="0005454B">
            <w:pPr>
              <w:jc w:val="right"/>
              <w:rPr>
                <w:rFonts w:asciiTheme="minorHAnsi" w:hAnsiTheme="minorHAnsi" w:cstheme="minorHAnsi"/>
                <w:color w:val="000000"/>
                <w:sz w:val="20"/>
                <w:szCs w:val="20"/>
              </w:rPr>
            </w:pPr>
            <w:r w:rsidRPr="00701439">
              <w:rPr>
                <w:rFonts w:asciiTheme="minorHAnsi" w:hAnsiTheme="minorHAnsi" w:cstheme="minorHAnsi"/>
                <w:color w:val="000000"/>
                <w:sz w:val="20"/>
                <w:szCs w:val="20"/>
              </w:rPr>
              <w:t>2022</w:t>
            </w:r>
          </w:p>
          <w:p w14:paraId="4B899A23" w14:textId="6B57880E" w:rsidR="0005454B" w:rsidRPr="00701439" w:rsidRDefault="0005454B" w:rsidP="0005454B">
            <w:pPr>
              <w:rPr>
                <w:rFonts w:asciiTheme="minorHAnsi" w:hAnsiTheme="minorHAnsi" w:cstheme="minorHAnsi"/>
                <w:b/>
                <w:bCs/>
                <w:color w:val="000000"/>
                <w:sz w:val="20"/>
                <w:szCs w:val="20"/>
              </w:rPr>
            </w:pPr>
            <w:r w:rsidRPr="00701439">
              <w:rPr>
                <w:rFonts w:asciiTheme="minorHAnsi" w:hAnsiTheme="minorHAnsi" w:cs="Arial"/>
                <w:sz w:val="20"/>
                <w:szCs w:val="20"/>
              </w:rPr>
              <w:t xml:space="preserve">                       £m </w:t>
            </w:r>
          </w:p>
        </w:tc>
        <w:tc>
          <w:tcPr>
            <w:tcW w:w="807" w:type="pct"/>
            <w:tcBorders>
              <w:top w:val="nil"/>
              <w:left w:val="nil"/>
              <w:bottom w:val="single" w:sz="4" w:space="0" w:color="auto"/>
              <w:right w:val="nil"/>
            </w:tcBorders>
            <w:shd w:val="clear" w:color="auto" w:fill="auto"/>
            <w:noWrap/>
            <w:vAlign w:val="bottom"/>
            <w:hideMark/>
          </w:tcPr>
          <w:p w14:paraId="251E5312" w14:textId="77777777" w:rsidR="0005454B" w:rsidRPr="00701439" w:rsidRDefault="0005454B" w:rsidP="0005454B">
            <w:pPr>
              <w:jc w:val="right"/>
              <w:rPr>
                <w:rFonts w:asciiTheme="minorHAnsi" w:hAnsiTheme="minorHAnsi" w:cstheme="minorHAnsi"/>
                <w:color w:val="000000"/>
                <w:sz w:val="20"/>
                <w:szCs w:val="20"/>
              </w:rPr>
            </w:pPr>
            <w:r w:rsidRPr="00701439">
              <w:rPr>
                <w:rFonts w:asciiTheme="minorHAnsi" w:hAnsiTheme="minorHAnsi" w:cstheme="minorHAnsi"/>
                <w:color w:val="000000"/>
                <w:sz w:val="20"/>
                <w:szCs w:val="20"/>
              </w:rPr>
              <w:t>2021</w:t>
            </w:r>
          </w:p>
          <w:p w14:paraId="78EB084E" w14:textId="180B6F4F" w:rsidR="0005454B" w:rsidRPr="00701439" w:rsidRDefault="0005454B" w:rsidP="0005454B">
            <w:pPr>
              <w:rPr>
                <w:rFonts w:asciiTheme="minorHAnsi" w:hAnsiTheme="minorHAnsi" w:cstheme="minorHAnsi"/>
                <w:b/>
                <w:bCs/>
                <w:color w:val="000000"/>
                <w:sz w:val="20"/>
                <w:szCs w:val="20"/>
              </w:rPr>
            </w:pPr>
            <w:r w:rsidRPr="00701439">
              <w:rPr>
                <w:rFonts w:asciiTheme="minorHAnsi" w:hAnsiTheme="minorHAnsi" w:cs="Arial"/>
                <w:sz w:val="20"/>
                <w:szCs w:val="20"/>
              </w:rPr>
              <w:t xml:space="preserve">                       £m</w:t>
            </w:r>
          </w:p>
        </w:tc>
      </w:tr>
      <w:tr w:rsidR="0005454B" w:rsidRPr="00701439" w14:paraId="0D4470BC" w14:textId="77777777" w:rsidTr="0002541E">
        <w:trPr>
          <w:trHeight w:val="289"/>
        </w:trPr>
        <w:tc>
          <w:tcPr>
            <w:tcW w:w="1770" w:type="pct"/>
            <w:gridSpan w:val="2"/>
            <w:tcBorders>
              <w:top w:val="nil"/>
              <w:left w:val="nil"/>
              <w:bottom w:val="nil"/>
              <w:right w:val="nil"/>
            </w:tcBorders>
            <w:shd w:val="clear" w:color="auto" w:fill="auto"/>
            <w:noWrap/>
            <w:vAlign w:val="bottom"/>
            <w:hideMark/>
          </w:tcPr>
          <w:p w14:paraId="06DC43A6" w14:textId="09B9E4AC" w:rsidR="0005454B" w:rsidRPr="00701439" w:rsidRDefault="0005454B" w:rsidP="0005454B">
            <w:pPr>
              <w:rPr>
                <w:rFonts w:asciiTheme="minorHAnsi" w:hAnsiTheme="minorHAnsi" w:cstheme="minorHAnsi"/>
                <w:color w:val="000000"/>
                <w:sz w:val="20"/>
                <w:szCs w:val="20"/>
              </w:rPr>
            </w:pPr>
            <w:r w:rsidRPr="00701439">
              <w:rPr>
                <w:rFonts w:asciiTheme="minorHAnsi" w:hAnsiTheme="minorHAnsi" w:cstheme="minorHAnsi"/>
                <w:color w:val="000000"/>
                <w:sz w:val="20"/>
                <w:szCs w:val="20"/>
              </w:rPr>
              <w:t>In-model</w:t>
            </w:r>
            <w:r w:rsidR="00CF7086" w:rsidRPr="00701439">
              <w:rPr>
                <w:rFonts w:asciiTheme="minorHAnsi" w:hAnsiTheme="minorHAnsi" w:cstheme="minorHAnsi"/>
                <w:color w:val="000000"/>
                <w:sz w:val="20"/>
                <w:szCs w:val="20"/>
              </w:rPr>
              <w:t xml:space="preserve"> </w:t>
            </w:r>
            <w:r w:rsidRPr="00701439">
              <w:rPr>
                <w:rFonts w:asciiTheme="minorHAnsi" w:hAnsiTheme="minorHAnsi" w:cstheme="minorHAnsi"/>
                <w:color w:val="000000"/>
                <w:sz w:val="20"/>
                <w:szCs w:val="20"/>
              </w:rPr>
              <w:t>overlays</w:t>
            </w:r>
            <w:r w:rsidR="009A6F56" w:rsidRPr="00701439">
              <w:rPr>
                <w:rFonts w:asciiTheme="minorHAnsi" w:hAnsiTheme="minorHAnsi" w:cstheme="minorHAnsi"/>
                <w:color w:val="000000"/>
                <w:sz w:val="20"/>
                <w:szCs w:val="20"/>
              </w:rPr>
              <w:t>:</w:t>
            </w:r>
          </w:p>
        </w:tc>
        <w:tc>
          <w:tcPr>
            <w:tcW w:w="808" w:type="pct"/>
            <w:tcBorders>
              <w:top w:val="nil"/>
              <w:left w:val="nil"/>
              <w:bottom w:val="nil"/>
              <w:right w:val="nil"/>
            </w:tcBorders>
            <w:shd w:val="clear" w:color="auto" w:fill="auto"/>
            <w:noWrap/>
            <w:vAlign w:val="bottom"/>
            <w:hideMark/>
          </w:tcPr>
          <w:p w14:paraId="4B1BFA5D" w14:textId="77777777" w:rsidR="0005454B" w:rsidRPr="00701439" w:rsidRDefault="0005454B" w:rsidP="0005454B">
            <w:pPr>
              <w:rPr>
                <w:rFonts w:asciiTheme="minorHAnsi" w:hAnsiTheme="minorHAnsi" w:cstheme="minorHAnsi"/>
                <w:color w:val="000000"/>
                <w:sz w:val="20"/>
                <w:szCs w:val="20"/>
              </w:rPr>
            </w:pPr>
          </w:p>
        </w:tc>
        <w:tc>
          <w:tcPr>
            <w:tcW w:w="808" w:type="pct"/>
            <w:tcBorders>
              <w:top w:val="nil"/>
              <w:left w:val="nil"/>
              <w:bottom w:val="nil"/>
              <w:right w:val="nil"/>
            </w:tcBorders>
            <w:shd w:val="clear" w:color="auto" w:fill="auto"/>
            <w:noWrap/>
            <w:vAlign w:val="bottom"/>
            <w:hideMark/>
          </w:tcPr>
          <w:p w14:paraId="0B60B16F" w14:textId="77777777" w:rsidR="0005454B" w:rsidRPr="00701439" w:rsidRDefault="0005454B" w:rsidP="0005454B">
            <w:pPr>
              <w:rPr>
                <w:rFonts w:asciiTheme="minorHAnsi" w:hAnsiTheme="minorHAnsi" w:cstheme="minorHAnsi"/>
                <w:sz w:val="20"/>
                <w:szCs w:val="20"/>
              </w:rPr>
            </w:pPr>
          </w:p>
        </w:tc>
        <w:tc>
          <w:tcPr>
            <w:tcW w:w="808" w:type="pct"/>
            <w:tcBorders>
              <w:top w:val="nil"/>
              <w:left w:val="nil"/>
              <w:right w:val="nil"/>
            </w:tcBorders>
            <w:shd w:val="clear" w:color="auto" w:fill="auto"/>
            <w:noWrap/>
            <w:vAlign w:val="bottom"/>
            <w:hideMark/>
          </w:tcPr>
          <w:p w14:paraId="1783952A" w14:textId="77777777" w:rsidR="0005454B" w:rsidRPr="00701439" w:rsidRDefault="0005454B" w:rsidP="0005454B">
            <w:pPr>
              <w:rPr>
                <w:rFonts w:asciiTheme="minorHAnsi" w:hAnsiTheme="minorHAnsi" w:cstheme="minorHAnsi"/>
                <w:sz w:val="20"/>
                <w:szCs w:val="20"/>
              </w:rPr>
            </w:pPr>
          </w:p>
        </w:tc>
        <w:tc>
          <w:tcPr>
            <w:tcW w:w="807" w:type="pct"/>
            <w:tcBorders>
              <w:top w:val="single" w:sz="4" w:space="0" w:color="auto"/>
              <w:left w:val="nil"/>
              <w:right w:val="nil"/>
            </w:tcBorders>
            <w:shd w:val="clear" w:color="auto" w:fill="auto"/>
            <w:noWrap/>
            <w:vAlign w:val="bottom"/>
            <w:hideMark/>
          </w:tcPr>
          <w:p w14:paraId="2DFE3BAF" w14:textId="77777777" w:rsidR="0005454B" w:rsidRPr="00701439" w:rsidRDefault="0005454B" w:rsidP="0005454B">
            <w:pPr>
              <w:rPr>
                <w:rFonts w:asciiTheme="minorHAnsi" w:hAnsiTheme="minorHAnsi" w:cstheme="minorHAnsi"/>
                <w:sz w:val="20"/>
                <w:szCs w:val="20"/>
              </w:rPr>
            </w:pPr>
          </w:p>
        </w:tc>
      </w:tr>
      <w:tr w:rsidR="0005454B" w:rsidRPr="00701439" w14:paraId="4554DB38" w14:textId="77777777" w:rsidTr="0002541E">
        <w:trPr>
          <w:trHeight w:val="289"/>
        </w:trPr>
        <w:tc>
          <w:tcPr>
            <w:tcW w:w="2577" w:type="pct"/>
            <w:gridSpan w:val="3"/>
            <w:tcBorders>
              <w:left w:val="nil"/>
              <w:right w:val="nil"/>
            </w:tcBorders>
            <w:shd w:val="clear" w:color="auto" w:fill="auto"/>
            <w:noWrap/>
            <w:vAlign w:val="bottom"/>
            <w:hideMark/>
          </w:tcPr>
          <w:p w14:paraId="15A58CB4" w14:textId="3B864C16" w:rsidR="0005454B" w:rsidRPr="00701439" w:rsidRDefault="0005454B" w:rsidP="0005454B">
            <w:pPr>
              <w:rPr>
                <w:rFonts w:asciiTheme="minorHAnsi" w:hAnsiTheme="minorHAnsi" w:cstheme="minorHAnsi"/>
                <w:b/>
                <w:bCs/>
                <w:color w:val="000000"/>
                <w:sz w:val="20"/>
                <w:szCs w:val="20"/>
              </w:rPr>
            </w:pPr>
            <w:r w:rsidRPr="00701439">
              <w:rPr>
                <w:rFonts w:asciiTheme="minorHAnsi" w:hAnsiTheme="minorHAnsi" w:cstheme="minorHAnsi"/>
                <w:b/>
                <w:bCs/>
                <w:color w:val="000000"/>
                <w:sz w:val="20"/>
                <w:szCs w:val="20"/>
              </w:rPr>
              <w:t xml:space="preserve">Total </w:t>
            </w:r>
            <w:r w:rsidR="004D4A39" w:rsidRPr="00701439">
              <w:rPr>
                <w:rFonts w:asciiTheme="minorHAnsi" w:hAnsiTheme="minorHAnsi" w:cstheme="minorHAnsi"/>
                <w:b/>
                <w:bCs/>
                <w:color w:val="000000"/>
                <w:sz w:val="20"/>
                <w:szCs w:val="20"/>
              </w:rPr>
              <w:t>i</w:t>
            </w:r>
            <w:r w:rsidRPr="00701439">
              <w:rPr>
                <w:rFonts w:asciiTheme="minorHAnsi" w:hAnsiTheme="minorHAnsi" w:cstheme="minorHAnsi"/>
                <w:b/>
                <w:bCs/>
                <w:color w:val="000000"/>
                <w:sz w:val="20"/>
                <w:szCs w:val="20"/>
              </w:rPr>
              <w:t>n-model overlays</w:t>
            </w:r>
          </w:p>
        </w:tc>
        <w:tc>
          <w:tcPr>
            <w:tcW w:w="808" w:type="pct"/>
            <w:tcBorders>
              <w:left w:val="nil"/>
              <w:right w:val="nil"/>
            </w:tcBorders>
            <w:shd w:val="clear" w:color="auto" w:fill="auto"/>
            <w:noWrap/>
            <w:vAlign w:val="bottom"/>
            <w:hideMark/>
          </w:tcPr>
          <w:p w14:paraId="0B1395E8" w14:textId="77777777" w:rsidR="0005454B" w:rsidRPr="00701439" w:rsidRDefault="0005454B" w:rsidP="0005454B">
            <w:pPr>
              <w:rPr>
                <w:rFonts w:asciiTheme="minorHAnsi" w:hAnsiTheme="minorHAnsi" w:cstheme="minorHAnsi"/>
                <w:b/>
                <w:bCs/>
                <w:color w:val="000000"/>
                <w:sz w:val="20"/>
                <w:szCs w:val="20"/>
              </w:rPr>
            </w:pPr>
            <w:r w:rsidRPr="00701439">
              <w:rPr>
                <w:rFonts w:asciiTheme="minorHAnsi" w:hAnsiTheme="minorHAnsi" w:cstheme="minorHAnsi"/>
                <w:b/>
                <w:bCs/>
                <w:color w:val="000000"/>
                <w:sz w:val="20"/>
                <w:szCs w:val="20"/>
              </w:rPr>
              <w:t> </w:t>
            </w:r>
          </w:p>
        </w:tc>
        <w:tc>
          <w:tcPr>
            <w:tcW w:w="808" w:type="pct"/>
            <w:tcBorders>
              <w:left w:val="nil"/>
              <w:bottom w:val="single" w:sz="4" w:space="0" w:color="auto"/>
              <w:right w:val="nil"/>
            </w:tcBorders>
            <w:shd w:val="clear" w:color="auto" w:fill="auto"/>
            <w:noWrap/>
            <w:vAlign w:val="bottom"/>
            <w:hideMark/>
          </w:tcPr>
          <w:p w14:paraId="096AA7D2" w14:textId="77777777" w:rsidR="0005454B" w:rsidRPr="00701439" w:rsidRDefault="0005454B" w:rsidP="0005454B">
            <w:pPr>
              <w:jc w:val="right"/>
              <w:rPr>
                <w:rFonts w:asciiTheme="minorHAnsi" w:hAnsiTheme="minorHAnsi" w:cstheme="minorHAnsi"/>
                <w:b/>
                <w:bCs/>
                <w:color w:val="000000"/>
                <w:sz w:val="20"/>
                <w:szCs w:val="20"/>
              </w:rPr>
            </w:pPr>
            <w:r w:rsidRPr="00701439">
              <w:rPr>
                <w:rFonts w:asciiTheme="minorHAnsi" w:hAnsiTheme="minorHAnsi" w:cstheme="minorHAnsi"/>
                <w:b/>
                <w:bCs/>
                <w:color w:val="000000"/>
                <w:sz w:val="20"/>
                <w:szCs w:val="20"/>
              </w:rPr>
              <w:t>-</w:t>
            </w:r>
          </w:p>
        </w:tc>
        <w:tc>
          <w:tcPr>
            <w:tcW w:w="807" w:type="pct"/>
            <w:tcBorders>
              <w:left w:val="nil"/>
              <w:bottom w:val="single" w:sz="4" w:space="0" w:color="auto"/>
              <w:right w:val="nil"/>
            </w:tcBorders>
            <w:shd w:val="clear" w:color="auto" w:fill="auto"/>
            <w:noWrap/>
            <w:vAlign w:val="bottom"/>
            <w:hideMark/>
          </w:tcPr>
          <w:p w14:paraId="5BB4E227" w14:textId="77777777" w:rsidR="0005454B" w:rsidRPr="00701439" w:rsidRDefault="0005454B" w:rsidP="0005454B">
            <w:pPr>
              <w:jc w:val="right"/>
              <w:rPr>
                <w:rFonts w:asciiTheme="minorHAnsi" w:hAnsiTheme="minorHAnsi" w:cstheme="minorHAnsi"/>
                <w:b/>
                <w:bCs/>
                <w:color w:val="000000"/>
                <w:sz w:val="20"/>
                <w:szCs w:val="20"/>
              </w:rPr>
            </w:pPr>
            <w:r w:rsidRPr="00701439">
              <w:rPr>
                <w:rFonts w:asciiTheme="minorHAnsi" w:hAnsiTheme="minorHAnsi" w:cstheme="minorHAnsi"/>
                <w:b/>
                <w:bCs/>
                <w:color w:val="000000"/>
                <w:sz w:val="20"/>
                <w:szCs w:val="20"/>
              </w:rPr>
              <w:t>-</w:t>
            </w:r>
          </w:p>
        </w:tc>
      </w:tr>
      <w:tr w:rsidR="0005454B" w:rsidRPr="00701439" w14:paraId="0D47A6F7" w14:textId="77777777" w:rsidTr="0002541E">
        <w:trPr>
          <w:trHeight w:val="289"/>
        </w:trPr>
        <w:tc>
          <w:tcPr>
            <w:tcW w:w="1585" w:type="pct"/>
            <w:tcBorders>
              <w:top w:val="nil"/>
              <w:left w:val="nil"/>
              <w:bottom w:val="nil"/>
              <w:right w:val="nil"/>
            </w:tcBorders>
            <w:shd w:val="clear" w:color="auto" w:fill="auto"/>
            <w:noWrap/>
            <w:vAlign w:val="bottom"/>
            <w:hideMark/>
          </w:tcPr>
          <w:p w14:paraId="636AC025" w14:textId="77777777" w:rsidR="0005454B" w:rsidRPr="00701439" w:rsidRDefault="0005454B" w:rsidP="0005454B">
            <w:pPr>
              <w:jc w:val="right"/>
              <w:rPr>
                <w:rFonts w:asciiTheme="minorHAnsi" w:hAnsiTheme="minorHAnsi" w:cstheme="minorHAnsi"/>
                <w:b/>
                <w:bCs/>
                <w:color w:val="000000"/>
                <w:sz w:val="20"/>
                <w:szCs w:val="20"/>
              </w:rPr>
            </w:pPr>
          </w:p>
        </w:tc>
        <w:tc>
          <w:tcPr>
            <w:tcW w:w="184" w:type="pct"/>
            <w:tcBorders>
              <w:top w:val="nil"/>
              <w:left w:val="nil"/>
              <w:bottom w:val="nil"/>
              <w:right w:val="nil"/>
            </w:tcBorders>
            <w:shd w:val="clear" w:color="auto" w:fill="auto"/>
            <w:noWrap/>
            <w:vAlign w:val="bottom"/>
            <w:hideMark/>
          </w:tcPr>
          <w:p w14:paraId="115A2C40" w14:textId="77777777" w:rsidR="0005454B" w:rsidRPr="00701439" w:rsidRDefault="0005454B" w:rsidP="0005454B">
            <w:pPr>
              <w:rPr>
                <w:rFonts w:asciiTheme="minorHAnsi" w:hAnsiTheme="minorHAnsi" w:cstheme="minorHAnsi"/>
                <w:sz w:val="20"/>
                <w:szCs w:val="20"/>
              </w:rPr>
            </w:pPr>
          </w:p>
        </w:tc>
        <w:tc>
          <w:tcPr>
            <w:tcW w:w="808" w:type="pct"/>
            <w:tcBorders>
              <w:top w:val="nil"/>
              <w:left w:val="nil"/>
              <w:bottom w:val="nil"/>
              <w:right w:val="nil"/>
            </w:tcBorders>
            <w:shd w:val="clear" w:color="auto" w:fill="auto"/>
            <w:noWrap/>
            <w:vAlign w:val="bottom"/>
            <w:hideMark/>
          </w:tcPr>
          <w:p w14:paraId="4B6060CD" w14:textId="77777777" w:rsidR="0005454B" w:rsidRPr="00701439" w:rsidRDefault="0005454B" w:rsidP="0005454B">
            <w:pPr>
              <w:rPr>
                <w:rFonts w:asciiTheme="minorHAnsi" w:hAnsiTheme="minorHAnsi" w:cstheme="minorHAnsi"/>
                <w:sz w:val="20"/>
                <w:szCs w:val="20"/>
              </w:rPr>
            </w:pPr>
          </w:p>
        </w:tc>
        <w:tc>
          <w:tcPr>
            <w:tcW w:w="808" w:type="pct"/>
            <w:tcBorders>
              <w:top w:val="nil"/>
              <w:left w:val="nil"/>
              <w:bottom w:val="nil"/>
              <w:right w:val="nil"/>
            </w:tcBorders>
            <w:shd w:val="clear" w:color="auto" w:fill="auto"/>
            <w:noWrap/>
            <w:vAlign w:val="bottom"/>
            <w:hideMark/>
          </w:tcPr>
          <w:p w14:paraId="4B6E723D" w14:textId="77777777" w:rsidR="0005454B" w:rsidRPr="00701439" w:rsidRDefault="0005454B" w:rsidP="0005454B">
            <w:pPr>
              <w:rPr>
                <w:rFonts w:asciiTheme="minorHAnsi" w:hAnsiTheme="minorHAnsi" w:cstheme="minorHAnsi"/>
                <w:sz w:val="20"/>
                <w:szCs w:val="20"/>
              </w:rPr>
            </w:pPr>
          </w:p>
        </w:tc>
        <w:tc>
          <w:tcPr>
            <w:tcW w:w="808" w:type="pct"/>
            <w:tcBorders>
              <w:left w:val="nil"/>
              <w:bottom w:val="nil"/>
              <w:right w:val="nil"/>
            </w:tcBorders>
            <w:shd w:val="clear" w:color="auto" w:fill="auto"/>
            <w:noWrap/>
            <w:vAlign w:val="bottom"/>
            <w:hideMark/>
          </w:tcPr>
          <w:p w14:paraId="672158DD" w14:textId="77777777" w:rsidR="0005454B" w:rsidRPr="00701439" w:rsidRDefault="0005454B" w:rsidP="0005454B">
            <w:pPr>
              <w:rPr>
                <w:rFonts w:asciiTheme="minorHAnsi" w:hAnsiTheme="minorHAnsi" w:cstheme="minorHAnsi"/>
                <w:sz w:val="20"/>
                <w:szCs w:val="20"/>
              </w:rPr>
            </w:pPr>
          </w:p>
        </w:tc>
        <w:tc>
          <w:tcPr>
            <w:tcW w:w="807" w:type="pct"/>
            <w:tcBorders>
              <w:top w:val="single" w:sz="4" w:space="0" w:color="auto"/>
              <w:left w:val="nil"/>
              <w:bottom w:val="nil"/>
              <w:right w:val="nil"/>
            </w:tcBorders>
            <w:shd w:val="clear" w:color="auto" w:fill="auto"/>
            <w:noWrap/>
            <w:vAlign w:val="bottom"/>
            <w:hideMark/>
          </w:tcPr>
          <w:p w14:paraId="055AF3CD" w14:textId="77777777" w:rsidR="0005454B" w:rsidRPr="00701439" w:rsidRDefault="0005454B" w:rsidP="0005454B">
            <w:pPr>
              <w:rPr>
                <w:rFonts w:asciiTheme="minorHAnsi" w:hAnsiTheme="minorHAnsi" w:cstheme="minorHAnsi"/>
                <w:sz w:val="20"/>
                <w:szCs w:val="20"/>
              </w:rPr>
            </w:pPr>
          </w:p>
        </w:tc>
      </w:tr>
      <w:tr w:rsidR="0005454B" w:rsidRPr="00701439" w14:paraId="6882B922" w14:textId="77777777" w:rsidTr="0002541E">
        <w:trPr>
          <w:trHeight w:val="289"/>
        </w:trPr>
        <w:tc>
          <w:tcPr>
            <w:tcW w:w="1770" w:type="pct"/>
            <w:gridSpan w:val="2"/>
            <w:tcBorders>
              <w:top w:val="nil"/>
              <w:left w:val="nil"/>
              <w:right w:val="nil"/>
            </w:tcBorders>
            <w:shd w:val="clear" w:color="auto" w:fill="auto"/>
            <w:noWrap/>
            <w:vAlign w:val="bottom"/>
            <w:hideMark/>
          </w:tcPr>
          <w:p w14:paraId="10DCFAA5" w14:textId="2A21CB46" w:rsidR="0005454B" w:rsidRPr="00701439" w:rsidRDefault="0005454B" w:rsidP="0005454B">
            <w:pPr>
              <w:rPr>
                <w:rFonts w:asciiTheme="minorHAnsi" w:hAnsiTheme="minorHAnsi" w:cstheme="minorHAnsi"/>
                <w:b/>
                <w:bCs/>
                <w:color w:val="000000"/>
                <w:sz w:val="20"/>
                <w:szCs w:val="20"/>
              </w:rPr>
            </w:pPr>
            <w:r w:rsidRPr="00701439">
              <w:rPr>
                <w:rFonts w:asciiTheme="minorHAnsi" w:hAnsiTheme="minorHAnsi" w:cstheme="minorHAnsi"/>
                <w:b/>
                <w:bCs/>
                <w:color w:val="000000"/>
                <w:sz w:val="20"/>
                <w:szCs w:val="20"/>
              </w:rPr>
              <w:t>Post</w:t>
            </w:r>
            <w:r w:rsidR="003C54ED" w:rsidRPr="00701439">
              <w:rPr>
                <w:rFonts w:asciiTheme="minorHAnsi" w:hAnsiTheme="minorHAnsi" w:cstheme="minorHAnsi"/>
                <w:b/>
                <w:bCs/>
                <w:color w:val="000000"/>
                <w:sz w:val="20"/>
                <w:szCs w:val="20"/>
              </w:rPr>
              <w:t>-</w:t>
            </w:r>
            <w:r w:rsidRPr="00701439">
              <w:rPr>
                <w:rFonts w:asciiTheme="minorHAnsi" w:hAnsiTheme="minorHAnsi" w:cstheme="minorHAnsi"/>
                <w:b/>
                <w:bCs/>
                <w:color w:val="000000"/>
                <w:sz w:val="20"/>
                <w:szCs w:val="20"/>
              </w:rPr>
              <w:t>model overlays</w:t>
            </w:r>
            <w:r w:rsidR="009A6F56" w:rsidRPr="00701439">
              <w:rPr>
                <w:rFonts w:asciiTheme="minorHAnsi" w:hAnsiTheme="minorHAnsi" w:cstheme="minorHAnsi"/>
                <w:b/>
                <w:bCs/>
                <w:color w:val="000000"/>
                <w:sz w:val="20"/>
                <w:szCs w:val="20"/>
              </w:rPr>
              <w:t>:</w:t>
            </w:r>
          </w:p>
        </w:tc>
        <w:tc>
          <w:tcPr>
            <w:tcW w:w="808" w:type="pct"/>
            <w:tcBorders>
              <w:top w:val="nil"/>
              <w:left w:val="nil"/>
              <w:right w:val="nil"/>
            </w:tcBorders>
            <w:shd w:val="clear" w:color="auto" w:fill="auto"/>
            <w:noWrap/>
            <w:vAlign w:val="bottom"/>
            <w:hideMark/>
          </w:tcPr>
          <w:p w14:paraId="0888462A" w14:textId="77777777" w:rsidR="0005454B" w:rsidRPr="00701439" w:rsidRDefault="0005454B" w:rsidP="0005454B">
            <w:pPr>
              <w:rPr>
                <w:rFonts w:asciiTheme="minorHAnsi" w:hAnsiTheme="minorHAnsi" w:cstheme="minorHAnsi"/>
                <w:color w:val="000000"/>
                <w:sz w:val="20"/>
                <w:szCs w:val="20"/>
              </w:rPr>
            </w:pPr>
            <w:r w:rsidRPr="00701439">
              <w:rPr>
                <w:rFonts w:asciiTheme="minorHAnsi" w:hAnsiTheme="minorHAnsi" w:cstheme="minorHAnsi"/>
                <w:color w:val="000000"/>
                <w:sz w:val="20"/>
                <w:szCs w:val="20"/>
              </w:rPr>
              <w:t> </w:t>
            </w:r>
          </w:p>
        </w:tc>
        <w:tc>
          <w:tcPr>
            <w:tcW w:w="808" w:type="pct"/>
            <w:tcBorders>
              <w:top w:val="nil"/>
              <w:left w:val="nil"/>
              <w:right w:val="nil"/>
            </w:tcBorders>
            <w:shd w:val="clear" w:color="auto" w:fill="auto"/>
            <w:noWrap/>
            <w:vAlign w:val="bottom"/>
            <w:hideMark/>
          </w:tcPr>
          <w:p w14:paraId="6EF871E7" w14:textId="77777777" w:rsidR="0005454B" w:rsidRPr="00701439" w:rsidRDefault="0005454B" w:rsidP="0005454B">
            <w:pPr>
              <w:rPr>
                <w:rFonts w:asciiTheme="minorHAnsi" w:hAnsiTheme="minorHAnsi" w:cstheme="minorHAnsi"/>
                <w:color w:val="000000"/>
                <w:sz w:val="20"/>
                <w:szCs w:val="20"/>
              </w:rPr>
            </w:pPr>
            <w:r w:rsidRPr="00701439">
              <w:rPr>
                <w:rFonts w:asciiTheme="minorHAnsi" w:hAnsiTheme="minorHAnsi" w:cstheme="minorHAnsi"/>
                <w:color w:val="000000"/>
                <w:sz w:val="20"/>
                <w:szCs w:val="20"/>
              </w:rPr>
              <w:t> </w:t>
            </w:r>
          </w:p>
        </w:tc>
        <w:tc>
          <w:tcPr>
            <w:tcW w:w="808" w:type="pct"/>
            <w:tcBorders>
              <w:top w:val="nil"/>
              <w:left w:val="nil"/>
              <w:bottom w:val="single" w:sz="4" w:space="0" w:color="auto"/>
              <w:right w:val="nil"/>
            </w:tcBorders>
            <w:shd w:val="clear" w:color="auto" w:fill="auto"/>
            <w:noWrap/>
            <w:vAlign w:val="bottom"/>
            <w:hideMark/>
          </w:tcPr>
          <w:p w14:paraId="4C36910B" w14:textId="77777777" w:rsidR="0005454B" w:rsidRPr="00701439" w:rsidRDefault="0005454B" w:rsidP="0005454B">
            <w:pPr>
              <w:rPr>
                <w:rFonts w:asciiTheme="minorHAnsi" w:hAnsiTheme="minorHAnsi" w:cstheme="minorHAnsi"/>
                <w:color w:val="000000"/>
                <w:sz w:val="20"/>
                <w:szCs w:val="20"/>
              </w:rPr>
            </w:pPr>
            <w:r w:rsidRPr="00701439">
              <w:rPr>
                <w:rFonts w:asciiTheme="minorHAnsi" w:hAnsiTheme="minorHAnsi" w:cstheme="minorHAnsi"/>
                <w:color w:val="000000"/>
                <w:sz w:val="20"/>
                <w:szCs w:val="20"/>
              </w:rPr>
              <w:t> </w:t>
            </w:r>
          </w:p>
        </w:tc>
        <w:tc>
          <w:tcPr>
            <w:tcW w:w="807" w:type="pct"/>
            <w:tcBorders>
              <w:top w:val="nil"/>
              <w:left w:val="nil"/>
              <w:bottom w:val="single" w:sz="4" w:space="0" w:color="auto"/>
              <w:right w:val="nil"/>
            </w:tcBorders>
            <w:shd w:val="clear" w:color="auto" w:fill="auto"/>
            <w:noWrap/>
            <w:vAlign w:val="bottom"/>
            <w:hideMark/>
          </w:tcPr>
          <w:p w14:paraId="64674303" w14:textId="77777777" w:rsidR="0005454B" w:rsidRPr="00701439" w:rsidRDefault="0005454B" w:rsidP="0005454B">
            <w:pPr>
              <w:rPr>
                <w:rFonts w:asciiTheme="minorHAnsi" w:hAnsiTheme="minorHAnsi" w:cstheme="minorHAnsi"/>
                <w:color w:val="000000"/>
                <w:sz w:val="20"/>
                <w:szCs w:val="20"/>
              </w:rPr>
            </w:pPr>
            <w:r w:rsidRPr="00701439">
              <w:rPr>
                <w:rFonts w:asciiTheme="minorHAnsi" w:hAnsiTheme="minorHAnsi" w:cstheme="minorHAnsi"/>
                <w:color w:val="000000"/>
                <w:sz w:val="20"/>
                <w:szCs w:val="20"/>
              </w:rPr>
              <w:t> </w:t>
            </w:r>
          </w:p>
        </w:tc>
      </w:tr>
      <w:tr w:rsidR="0005454B" w:rsidRPr="00701439" w14:paraId="4C923B2B" w14:textId="77777777" w:rsidTr="0002541E">
        <w:trPr>
          <w:trHeight w:val="58"/>
        </w:trPr>
        <w:tc>
          <w:tcPr>
            <w:tcW w:w="1585" w:type="pct"/>
            <w:tcBorders>
              <w:top w:val="nil"/>
              <w:left w:val="nil"/>
              <w:bottom w:val="nil"/>
              <w:right w:val="nil"/>
            </w:tcBorders>
            <w:shd w:val="clear" w:color="auto" w:fill="auto"/>
            <w:noWrap/>
            <w:vAlign w:val="bottom"/>
            <w:hideMark/>
          </w:tcPr>
          <w:p w14:paraId="7A052E88" w14:textId="77777777" w:rsidR="0005454B" w:rsidRPr="00701439" w:rsidRDefault="0005454B" w:rsidP="0005454B">
            <w:pPr>
              <w:rPr>
                <w:rFonts w:asciiTheme="minorHAnsi" w:hAnsiTheme="minorHAnsi" w:cstheme="minorHAnsi"/>
                <w:color w:val="000000"/>
                <w:sz w:val="20"/>
                <w:szCs w:val="20"/>
              </w:rPr>
            </w:pPr>
          </w:p>
        </w:tc>
        <w:tc>
          <w:tcPr>
            <w:tcW w:w="184" w:type="pct"/>
            <w:tcBorders>
              <w:top w:val="nil"/>
              <w:left w:val="nil"/>
              <w:bottom w:val="nil"/>
              <w:right w:val="nil"/>
            </w:tcBorders>
            <w:shd w:val="clear" w:color="auto" w:fill="auto"/>
            <w:noWrap/>
            <w:vAlign w:val="bottom"/>
            <w:hideMark/>
          </w:tcPr>
          <w:p w14:paraId="33D707CD" w14:textId="77777777" w:rsidR="0005454B" w:rsidRPr="00701439" w:rsidRDefault="0005454B" w:rsidP="0005454B">
            <w:pPr>
              <w:rPr>
                <w:rFonts w:asciiTheme="minorHAnsi" w:hAnsiTheme="minorHAnsi" w:cstheme="minorHAnsi"/>
                <w:sz w:val="20"/>
                <w:szCs w:val="20"/>
              </w:rPr>
            </w:pPr>
          </w:p>
        </w:tc>
        <w:tc>
          <w:tcPr>
            <w:tcW w:w="808" w:type="pct"/>
            <w:tcBorders>
              <w:top w:val="nil"/>
              <w:left w:val="nil"/>
              <w:bottom w:val="nil"/>
              <w:right w:val="nil"/>
            </w:tcBorders>
            <w:shd w:val="clear" w:color="auto" w:fill="auto"/>
            <w:noWrap/>
            <w:vAlign w:val="bottom"/>
            <w:hideMark/>
          </w:tcPr>
          <w:p w14:paraId="5B5308A1" w14:textId="77777777" w:rsidR="0005454B" w:rsidRPr="00701439" w:rsidRDefault="0005454B" w:rsidP="0005454B">
            <w:pPr>
              <w:rPr>
                <w:rFonts w:asciiTheme="minorHAnsi" w:hAnsiTheme="minorHAnsi" w:cstheme="minorHAnsi"/>
                <w:sz w:val="20"/>
                <w:szCs w:val="20"/>
              </w:rPr>
            </w:pPr>
          </w:p>
        </w:tc>
        <w:tc>
          <w:tcPr>
            <w:tcW w:w="808" w:type="pct"/>
            <w:tcBorders>
              <w:top w:val="nil"/>
              <w:left w:val="nil"/>
              <w:bottom w:val="nil"/>
              <w:right w:val="nil"/>
            </w:tcBorders>
            <w:shd w:val="clear" w:color="auto" w:fill="auto"/>
            <w:noWrap/>
            <w:vAlign w:val="bottom"/>
            <w:hideMark/>
          </w:tcPr>
          <w:p w14:paraId="1B7EFB6E" w14:textId="77777777" w:rsidR="0005454B" w:rsidRPr="00701439" w:rsidRDefault="0005454B" w:rsidP="0005454B">
            <w:pPr>
              <w:rPr>
                <w:rFonts w:asciiTheme="minorHAnsi" w:hAnsiTheme="minorHAnsi" w:cstheme="minorHAnsi"/>
                <w:sz w:val="20"/>
                <w:szCs w:val="20"/>
              </w:rPr>
            </w:pPr>
          </w:p>
        </w:tc>
        <w:tc>
          <w:tcPr>
            <w:tcW w:w="808" w:type="pct"/>
            <w:tcBorders>
              <w:top w:val="nil"/>
              <w:left w:val="nil"/>
              <w:bottom w:val="nil"/>
              <w:right w:val="nil"/>
            </w:tcBorders>
            <w:shd w:val="clear" w:color="auto" w:fill="auto"/>
            <w:noWrap/>
            <w:vAlign w:val="bottom"/>
            <w:hideMark/>
          </w:tcPr>
          <w:p w14:paraId="718076DC" w14:textId="77777777" w:rsidR="0005454B" w:rsidRPr="00701439" w:rsidRDefault="0005454B" w:rsidP="0005454B">
            <w:pPr>
              <w:rPr>
                <w:rFonts w:asciiTheme="minorHAnsi" w:hAnsiTheme="minorHAnsi" w:cstheme="minorHAnsi"/>
                <w:sz w:val="20"/>
                <w:szCs w:val="20"/>
              </w:rPr>
            </w:pPr>
          </w:p>
        </w:tc>
        <w:tc>
          <w:tcPr>
            <w:tcW w:w="807" w:type="pct"/>
            <w:tcBorders>
              <w:top w:val="nil"/>
              <w:left w:val="nil"/>
              <w:bottom w:val="nil"/>
              <w:right w:val="nil"/>
            </w:tcBorders>
            <w:shd w:val="clear" w:color="auto" w:fill="auto"/>
            <w:noWrap/>
            <w:vAlign w:val="bottom"/>
            <w:hideMark/>
          </w:tcPr>
          <w:p w14:paraId="685CD632" w14:textId="77777777" w:rsidR="0005454B" w:rsidRPr="00701439" w:rsidRDefault="0005454B" w:rsidP="0005454B">
            <w:pPr>
              <w:rPr>
                <w:rFonts w:asciiTheme="minorHAnsi" w:hAnsiTheme="minorHAnsi" w:cstheme="minorHAnsi"/>
                <w:sz w:val="20"/>
                <w:szCs w:val="20"/>
              </w:rPr>
            </w:pPr>
          </w:p>
        </w:tc>
      </w:tr>
      <w:tr w:rsidR="0005454B" w:rsidRPr="00701439" w14:paraId="0AB14AF5" w14:textId="77777777" w:rsidTr="0005454B">
        <w:trPr>
          <w:trHeight w:val="289"/>
        </w:trPr>
        <w:tc>
          <w:tcPr>
            <w:tcW w:w="1770" w:type="pct"/>
            <w:gridSpan w:val="2"/>
            <w:tcBorders>
              <w:top w:val="nil"/>
              <w:left w:val="nil"/>
              <w:bottom w:val="nil"/>
              <w:right w:val="nil"/>
            </w:tcBorders>
            <w:shd w:val="clear" w:color="auto" w:fill="auto"/>
            <w:noWrap/>
            <w:vAlign w:val="bottom"/>
            <w:hideMark/>
          </w:tcPr>
          <w:p w14:paraId="20F4B5E4" w14:textId="6D8009C1" w:rsidR="0005454B" w:rsidRPr="00701439" w:rsidRDefault="0005454B" w:rsidP="0005454B">
            <w:pPr>
              <w:rPr>
                <w:rFonts w:asciiTheme="minorHAnsi" w:hAnsiTheme="minorHAnsi" w:cstheme="minorHAnsi"/>
                <w:color w:val="000000"/>
                <w:sz w:val="20"/>
                <w:szCs w:val="20"/>
              </w:rPr>
            </w:pPr>
            <w:r w:rsidRPr="00701439">
              <w:rPr>
                <w:rFonts w:asciiTheme="minorHAnsi" w:hAnsiTheme="minorHAnsi" w:cstheme="minorHAnsi"/>
                <w:color w:val="000000"/>
                <w:sz w:val="20"/>
                <w:szCs w:val="20"/>
              </w:rPr>
              <w:t xml:space="preserve">Cost of </w:t>
            </w:r>
            <w:r w:rsidR="009A6F56" w:rsidRPr="00701439">
              <w:rPr>
                <w:rFonts w:asciiTheme="minorHAnsi" w:hAnsiTheme="minorHAnsi" w:cstheme="minorHAnsi"/>
                <w:color w:val="000000"/>
                <w:sz w:val="20"/>
                <w:szCs w:val="20"/>
              </w:rPr>
              <w:t>l</w:t>
            </w:r>
            <w:r w:rsidRPr="00701439">
              <w:rPr>
                <w:rFonts w:asciiTheme="minorHAnsi" w:hAnsiTheme="minorHAnsi" w:cstheme="minorHAnsi"/>
                <w:color w:val="000000"/>
                <w:sz w:val="20"/>
                <w:szCs w:val="20"/>
              </w:rPr>
              <w:t>iving (note (a))</w:t>
            </w:r>
          </w:p>
        </w:tc>
        <w:tc>
          <w:tcPr>
            <w:tcW w:w="808" w:type="pct"/>
            <w:tcBorders>
              <w:top w:val="nil"/>
              <w:left w:val="nil"/>
              <w:bottom w:val="nil"/>
              <w:right w:val="nil"/>
            </w:tcBorders>
            <w:shd w:val="clear" w:color="auto" w:fill="auto"/>
            <w:noWrap/>
            <w:vAlign w:val="bottom"/>
            <w:hideMark/>
          </w:tcPr>
          <w:p w14:paraId="66F2BA6D" w14:textId="77777777" w:rsidR="0005454B" w:rsidRPr="00701439" w:rsidRDefault="0005454B" w:rsidP="0005454B">
            <w:pPr>
              <w:rPr>
                <w:rFonts w:asciiTheme="minorHAnsi" w:hAnsiTheme="minorHAnsi" w:cstheme="minorHAnsi"/>
                <w:color w:val="000000"/>
                <w:sz w:val="20"/>
                <w:szCs w:val="20"/>
              </w:rPr>
            </w:pPr>
          </w:p>
        </w:tc>
        <w:tc>
          <w:tcPr>
            <w:tcW w:w="808" w:type="pct"/>
            <w:tcBorders>
              <w:top w:val="nil"/>
              <w:left w:val="nil"/>
              <w:bottom w:val="nil"/>
              <w:right w:val="nil"/>
            </w:tcBorders>
            <w:shd w:val="clear" w:color="auto" w:fill="auto"/>
            <w:noWrap/>
            <w:vAlign w:val="bottom"/>
            <w:hideMark/>
          </w:tcPr>
          <w:p w14:paraId="08E6D632" w14:textId="77777777" w:rsidR="0005454B" w:rsidRPr="00701439" w:rsidRDefault="0005454B" w:rsidP="0005454B">
            <w:pPr>
              <w:rPr>
                <w:rFonts w:asciiTheme="minorHAnsi" w:hAnsiTheme="minorHAnsi" w:cstheme="minorHAnsi"/>
                <w:sz w:val="20"/>
                <w:szCs w:val="20"/>
              </w:rPr>
            </w:pPr>
          </w:p>
        </w:tc>
        <w:tc>
          <w:tcPr>
            <w:tcW w:w="808" w:type="pct"/>
            <w:tcBorders>
              <w:top w:val="nil"/>
              <w:left w:val="nil"/>
              <w:bottom w:val="nil"/>
              <w:right w:val="nil"/>
            </w:tcBorders>
            <w:shd w:val="clear" w:color="auto" w:fill="auto"/>
            <w:noWrap/>
            <w:vAlign w:val="bottom"/>
            <w:hideMark/>
          </w:tcPr>
          <w:p w14:paraId="1AB3F38A" w14:textId="77777777" w:rsidR="0005454B" w:rsidRPr="00701439" w:rsidRDefault="0005454B" w:rsidP="0005454B">
            <w:pPr>
              <w:jc w:val="right"/>
              <w:rPr>
                <w:rFonts w:asciiTheme="minorHAnsi" w:hAnsiTheme="minorHAnsi" w:cstheme="minorHAnsi"/>
                <w:color w:val="000000"/>
                <w:sz w:val="20"/>
                <w:szCs w:val="20"/>
              </w:rPr>
            </w:pPr>
            <w:r w:rsidRPr="00701439">
              <w:rPr>
                <w:rFonts w:asciiTheme="minorHAnsi" w:hAnsiTheme="minorHAnsi" w:cstheme="minorHAnsi"/>
                <w:color w:val="000000"/>
                <w:sz w:val="20"/>
                <w:szCs w:val="20"/>
              </w:rPr>
              <w:t>0.5</w:t>
            </w:r>
          </w:p>
        </w:tc>
        <w:tc>
          <w:tcPr>
            <w:tcW w:w="807" w:type="pct"/>
            <w:tcBorders>
              <w:top w:val="nil"/>
              <w:left w:val="nil"/>
              <w:bottom w:val="nil"/>
              <w:right w:val="nil"/>
            </w:tcBorders>
            <w:shd w:val="clear" w:color="auto" w:fill="auto"/>
            <w:noWrap/>
            <w:vAlign w:val="bottom"/>
            <w:hideMark/>
          </w:tcPr>
          <w:p w14:paraId="0492B187" w14:textId="77777777" w:rsidR="0005454B" w:rsidRPr="00701439" w:rsidRDefault="0005454B" w:rsidP="0005454B">
            <w:pPr>
              <w:jc w:val="right"/>
              <w:rPr>
                <w:rFonts w:asciiTheme="minorHAnsi" w:hAnsiTheme="minorHAnsi" w:cstheme="minorHAnsi"/>
                <w:color w:val="000000"/>
                <w:sz w:val="20"/>
                <w:szCs w:val="20"/>
              </w:rPr>
            </w:pPr>
            <w:r w:rsidRPr="00701439">
              <w:rPr>
                <w:rFonts w:asciiTheme="minorHAnsi" w:hAnsiTheme="minorHAnsi" w:cstheme="minorHAnsi"/>
                <w:color w:val="000000"/>
                <w:sz w:val="20"/>
                <w:szCs w:val="20"/>
              </w:rPr>
              <w:t>-</w:t>
            </w:r>
          </w:p>
        </w:tc>
      </w:tr>
      <w:tr w:rsidR="0005454B" w:rsidRPr="00701439" w14:paraId="503BAA5E" w14:textId="77777777" w:rsidTr="0005454B">
        <w:trPr>
          <w:trHeight w:val="289"/>
        </w:trPr>
        <w:tc>
          <w:tcPr>
            <w:tcW w:w="1585" w:type="pct"/>
            <w:tcBorders>
              <w:top w:val="nil"/>
              <w:left w:val="nil"/>
              <w:bottom w:val="nil"/>
              <w:right w:val="nil"/>
            </w:tcBorders>
            <w:shd w:val="clear" w:color="auto" w:fill="auto"/>
            <w:noWrap/>
            <w:vAlign w:val="bottom"/>
            <w:hideMark/>
          </w:tcPr>
          <w:p w14:paraId="4E955459" w14:textId="518245CB" w:rsidR="0005454B" w:rsidRPr="00701439" w:rsidRDefault="0005454B" w:rsidP="0005454B">
            <w:pPr>
              <w:rPr>
                <w:rFonts w:asciiTheme="minorHAnsi" w:hAnsiTheme="minorHAnsi" w:cstheme="minorHAnsi"/>
                <w:color w:val="000000"/>
                <w:sz w:val="20"/>
                <w:szCs w:val="20"/>
              </w:rPr>
            </w:pPr>
            <w:r w:rsidRPr="00701439">
              <w:rPr>
                <w:rFonts w:asciiTheme="minorHAnsi" w:hAnsiTheme="minorHAnsi" w:cstheme="minorHAnsi"/>
                <w:color w:val="000000"/>
                <w:sz w:val="20"/>
                <w:szCs w:val="20"/>
              </w:rPr>
              <w:t>Fraud (note (b))</w:t>
            </w:r>
          </w:p>
        </w:tc>
        <w:tc>
          <w:tcPr>
            <w:tcW w:w="184" w:type="pct"/>
            <w:tcBorders>
              <w:top w:val="nil"/>
              <w:left w:val="nil"/>
              <w:bottom w:val="nil"/>
              <w:right w:val="nil"/>
            </w:tcBorders>
            <w:shd w:val="clear" w:color="auto" w:fill="auto"/>
            <w:noWrap/>
            <w:vAlign w:val="bottom"/>
            <w:hideMark/>
          </w:tcPr>
          <w:p w14:paraId="51D1AEC7" w14:textId="77777777" w:rsidR="0005454B" w:rsidRPr="00701439" w:rsidRDefault="0005454B" w:rsidP="0005454B">
            <w:pPr>
              <w:rPr>
                <w:rFonts w:asciiTheme="minorHAnsi" w:hAnsiTheme="minorHAnsi" w:cstheme="minorHAnsi"/>
                <w:color w:val="000000"/>
                <w:sz w:val="20"/>
                <w:szCs w:val="20"/>
              </w:rPr>
            </w:pPr>
          </w:p>
        </w:tc>
        <w:tc>
          <w:tcPr>
            <w:tcW w:w="808" w:type="pct"/>
            <w:tcBorders>
              <w:top w:val="nil"/>
              <w:left w:val="nil"/>
              <w:bottom w:val="nil"/>
              <w:right w:val="nil"/>
            </w:tcBorders>
            <w:shd w:val="clear" w:color="auto" w:fill="auto"/>
            <w:noWrap/>
            <w:vAlign w:val="bottom"/>
            <w:hideMark/>
          </w:tcPr>
          <w:p w14:paraId="742AD6F7" w14:textId="77777777" w:rsidR="0005454B" w:rsidRPr="00701439" w:rsidRDefault="0005454B" w:rsidP="0005454B">
            <w:pPr>
              <w:rPr>
                <w:rFonts w:asciiTheme="minorHAnsi" w:hAnsiTheme="minorHAnsi" w:cstheme="minorHAnsi"/>
                <w:sz w:val="20"/>
                <w:szCs w:val="20"/>
              </w:rPr>
            </w:pPr>
          </w:p>
        </w:tc>
        <w:tc>
          <w:tcPr>
            <w:tcW w:w="808" w:type="pct"/>
            <w:tcBorders>
              <w:top w:val="nil"/>
              <w:left w:val="nil"/>
              <w:bottom w:val="nil"/>
              <w:right w:val="nil"/>
            </w:tcBorders>
            <w:shd w:val="clear" w:color="auto" w:fill="auto"/>
            <w:noWrap/>
            <w:vAlign w:val="bottom"/>
            <w:hideMark/>
          </w:tcPr>
          <w:p w14:paraId="2A85B74B" w14:textId="77777777" w:rsidR="0005454B" w:rsidRPr="00701439" w:rsidRDefault="0005454B" w:rsidP="0005454B">
            <w:pPr>
              <w:rPr>
                <w:rFonts w:asciiTheme="minorHAnsi" w:hAnsiTheme="minorHAnsi" w:cstheme="minorHAnsi"/>
                <w:sz w:val="20"/>
                <w:szCs w:val="20"/>
              </w:rPr>
            </w:pPr>
          </w:p>
        </w:tc>
        <w:tc>
          <w:tcPr>
            <w:tcW w:w="808" w:type="pct"/>
            <w:tcBorders>
              <w:top w:val="nil"/>
              <w:left w:val="nil"/>
              <w:bottom w:val="nil"/>
              <w:right w:val="nil"/>
            </w:tcBorders>
            <w:shd w:val="clear" w:color="auto" w:fill="auto"/>
            <w:noWrap/>
            <w:vAlign w:val="bottom"/>
            <w:hideMark/>
          </w:tcPr>
          <w:p w14:paraId="66D591EF" w14:textId="77777777" w:rsidR="0005454B" w:rsidRPr="00701439" w:rsidRDefault="0005454B" w:rsidP="0005454B">
            <w:pPr>
              <w:jc w:val="right"/>
              <w:rPr>
                <w:rFonts w:asciiTheme="minorHAnsi" w:hAnsiTheme="minorHAnsi" w:cstheme="minorHAnsi"/>
                <w:color w:val="000000"/>
                <w:sz w:val="20"/>
                <w:szCs w:val="20"/>
              </w:rPr>
            </w:pPr>
            <w:r w:rsidRPr="00701439">
              <w:rPr>
                <w:rFonts w:asciiTheme="minorHAnsi" w:hAnsiTheme="minorHAnsi" w:cstheme="minorHAnsi"/>
                <w:color w:val="000000"/>
                <w:sz w:val="20"/>
                <w:szCs w:val="20"/>
              </w:rPr>
              <w:t>(3.0)</w:t>
            </w:r>
          </w:p>
        </w:tc>
        <w:tc>
          <w:tcPr>
            <w:tcW w:w="807" w:type="pct"/>
            <w:tcBorders>
              <w:top w:val="nil"/>
              <w:left w:val="nil"/>
              <w:bottom w:val="nil"/>
              <w:right w:val="nil"/>
            </w:tcBorders>
            <w:shd w:val="clear" w:color="auto" w:fill="auto"/>
            <w:noWrap/>
            <w:vAlign w:val="bottom"/>
            <w:hideMark/>
          </w:tcPr>
          <w:p w14:paraId="2A4C67ED" w14:textId="77777777" w:rsidR="0005454B" w:rsidRPr="00701439" w:rsidRDefault="0005454B" w:rsidP="0005454B">
            <w:pPr>
              <w:jc w:val="right"/>
              <w:rPr>
                <w:rFonts w:asciiTheme="minorHAnsi" w:hAnsiTheme="minorHAnsi" w:cstheme="minorHAnsi"/>
                <w:color w:val="000000"/>
                <w:sz w:val="20"/>
                <w:szCs w:val="20"/>
              </w:rPr>
            </w:pPr>
            <w:r w:rsidRPr="00701439">
              <w:rPr>
                <w:rFonts w:asciiTheme="minorHAnsi" w:hAnsiTheme="minorHAnsi" w:cstheme="minorHAnsi"/>
                <w:color w:val="000000"/>
                <w:sz w:val="20"/>
                <w:szCs w:val="20"/>
              </w:rPr>
              <w:t>(2.0)</w:t>
            </w:r>
          </w:p>
        </w:tc>
      </w:tr>
      <w:tr w:rsidR="0005454B" w:rsidRPr="00701439" w14:paraId="2C6A995E" w14:textId="77777777" w:rsidTr="0002541E">
        <w:trPr>
          <w:trHeight w:val="289"/>
        </w:trPr>
        <w:tc>
          <w:tcPr>
            <w:tcW w:w="2577" w:type="pct"/>
            <w:gridSpan w:val="3"/>
            <w:tcBorders>
              <w:left w:val="nil"/>
              <w:right w:val="nil"/>
            </w:tcBorders>
            <w:shd w:val="clear" w:color="auto" w:fill="auto"/>
            <w:noWrap/>
            <w:vAlign w:val="bottom"/>
            <w:hideMark/>
          </w:tcPr>
          <w:p w14:paraId="1C03A5A0" w14:textId="64031C55" w:rsidR="0005454B" w:rsidRPr="00701439" w:rsidRDefault="0005454B" w:rsidP="0005454B">
            <w:pPr>
              <w:rPr>
                <w:rFonts w:asciiTheme="minorHAnsi" w:hAnsiTheme="minorHAnsi" w:cstheme="minorHAnsi"/>
                <w:b/>
                <w:bCs/>
                <w:color w:val="000000"/>
                <w:sz w:val="20"/>
                <w:szCs w:val="20"/>
              </w:rPr>
            </w:pPr>
            <w:r w:rsidRPr="00701439">
              <w:rPr>
                <w:rFonts w:asciiTheme="minorHAnsi" w:hAnsiTheme="minorHAnsi" w:cstheme="minorHAnsi"/>
                <w:b/>
                <w:bCs/>
                <w:color w:val="000000"/>
                <w:sz w:val="20"/>
                <w:szCs w:val="20"/>
              </w:rPr>
              <w:t>Total post</w:t>
            </w:r>
            <w:r w:rsidR="009A6F56" w:rsidRPr="00701439">
              <w:rPr>
                <w:rFonts w:asciiTheme="minorHAnsi" w:hAnsiTheme="minorHAnsi" w:cstheme="minorHAnsi"/>
                <w:b/>
                <w:bCs/>
                <w:color w:val="000000"/>
                <w:sz w:val="20"/>
                <w:szCs w:val="20"/>
              </w:rPr>
              <w:t>-</w:t>
            </w:r>
            <w:r w:rsidRPr="00701439">
              <w:rPr>
                <w:rFonts w:asciiTheme="minorHAnsi" w:hAnsiTheme="minorHAnsi" w:cstheme="minorHAnsi"/>
                <w:b/>
                <w:bCs/>
                <w:color w:val="000000"/>
                <w:sz w:val="20"/>
                <w:szCs w:val="20"/>
              </w:rPr>
              <w:t>model overlays</w:t>
            </w:r>
          </w:p>
        </w:tc>
        <w:tc>
          <w:tcPr>
            <w:tcW w:w="808" w:type="pct"/>
            <w:tcBorders>
              <w:left w:val="nil"/>
              <w:right w:val="nil"/>
            </w:tcBorders>
            <w:shd w:val="clear" w:color="auto" w:fill="auto"/>
            <w:noWrap/>
            <w:vAlign w:val="bottom"/>
            <w:hideMark/>
          </w:tcPr>
          <w:p w14:paraId="52F5BDEC" w14:textId="77777777" w:rsidR="0005454B" w:rsidRPr="00701439" w:rsidRDefault="0005454B" w:rsidP="0005454B">
            <w:pPr>
              <w:rPr>
                <w:rFonts w:asciiTheme="minorHAnsi" w:hAnsiTheme="minorHAnsi" w:cstheme="minorHAnsi"/>
                <w:b/>
                <w:bCs/>
                <w:color w:val="000000"/>
                <w:sz w:val="20"/>
                <w:szCs w:val="20"/>
              </w:rPr>
            </w:pPr>
            <w:r w:rsidRPr="00701439">
              <w:rPr>
                <w:rFonts w:asciiTheme="minorHAnsi" w:hAnsiTheme="minorHAnsi" w:cstheme="minorHAnsi"/>
                <w:b/>
                <w:bCs/>
                <w:color w:val="000000"/>
                <w:sz w:val="20"/>
                <w:szCs w:val="20"/>
              </w:rPr>
              <w:t> </w:t>
            </w:r>
          </w:p>
        </w:tc>
        <w:tc>
          <w:tcPr>
            <w:tcW w:w="808" w:type="pct"/>
            <w:tcBorders>
              <w:top w:val="single" w:sz="4" w:space="0" w:color="auto"/>
              <w:left w:val="nil"/>
              <w:bottom w:val="single" w:sz="4" w:space="0" w:color="auto"/>
              <w:right w:val="nil"/>
            </w:tcBorders>
            <w:shd w:val="clear" w:color="auto" w:fill="auto"/>
            <w:noWrap/>
            <w:vAlign w:val="bottom"/>
            <w:hideMark/>
          </w:tcPr>
          <w:p w14:paraId="3883D58F" w14:textId="77777777" w:rsidR="0005454B" w:rsidRPr="00701439" w:rsidRDefault="0005454B" w:rsidP="0005454B">
            <w:pPr>
              <w:jc w:val="right"/>
              <w:rPr>
                <w:rFonts w:asciiTheme="minorHAnsi" w:hAnsiTheme="minorHAnsi" w:cstheme="minorHAnsi"/>
                <w:color w:val="000000"/>
                <w:sz w:val="20"/>
                <w:szCs w:val="20"/>
              </w:rPr>
            </w:pPr>
            <w:r w:rsidRPr="00701439">
              <w:rPr>
                <w:rFonts w:asciiTheme="minorHAnsi" w:hAnsiTheme="minorHAnsi" w:cstheme="minorHAnsi"/>
                <w:color w:val="000000"/>
                <w:sz w:val="20"/>
                <w:szCs w:val="20"/>
              </w:rPr>
              <w:t>(2.5)</w:t>
            </w:r>
          </w:p>
        </w:tc>
        <w:tc>
          <w:tcPr>
            <w:tcW w:w="807" w:type="pct"/>
            <w:tcBorders>
              <w:top w:val="single" w:sz="4" w:space="0" w:color="auto"/>
              <w:left w:val="nil"/>
              <w:bottom w:val="single" w:sz="4" w:space="0" w:color="auto"/>
              <w:right w:val="nil"/>
            </w:tcBorders>
            <w:shd w:val="clear" w:color="auto" w:fill="auto"/>
            <w:noWrap/>
            <w:vAlign w:val="bottom"/>
            <w:hideMark/>
          </w:tcPr>
          <w:p w14:paraId="34A4AC16" w14:textId="77777777" w:rsidR="0005454B" w:rsidRPr="00701439" w:rsidRDefault="0005454B" w:rsidP="0005454B">
            <w:pPr>
              <w:jc w:val="right"/>
              <w:rPr>
                <w:rFonts w:asciiTheme="minorHAnsi" w:hAnsiTheme="minorHAnsi" w:cstheme="minorHAnsi"/>
                <w:color w:val="000000"/>
                <w:sz w:val="20"/>
                <w:szCs w:val="20"/>
              </w:rPr>
            </w:pPr>
            <w:r w:rsidRPr="00701439">
              <w:rPr>
                <w:rFonts w:asciiTheme="minorHAnsi" w:hAnsiTheme="minorHAnsi" w:cstheme="minorHAnsi"/>
                <w:color w:val="000000"/>
                <w:sz w:val="20"/>
                <w:szCs w:val="20"/>
              </w:rPr>
              <w:t>(2.0)</w:t>
            </w:r>
          </w:p>
        </w:tc>
      </w:tr>
      <w:tr w:rsidR="0005454B" w:rsidRPr="00701439" w14:paraId="28C48E39" w14:textId="77777777" w:rsidTr="0002541E">
        <w:trPr>
          <w:trHeight w:val="289"/>
        </w:trPr>
        <w:tc>
          <w:tcPr>
            <w:tcW w:w="1585" w:type="pct"/>
            <w:tcBorders>
              <w:top w:val="nil"/>
              <w:left w:val="nil"/>
              <w:bottom w:val="nil"/>
              <w:right w:val="nil"/>
            </w:tcBorders>
            <w:shd w:val="clear" w:color="auto" w:fill="auto"/>
            <w:noWrap/>
            <w:vAlign w:val="bottom"/>
            <w:hideMark/>
          </w:tcPr>
          <w:p w14:paraId="108A68AB" w14:textId="77777777" w:rsidR="0005454B" w:rsidRPr="00701439" w:rsidRDefault="0005454B" w:rsidP="0005454B">
            <w:pPr>
              <w:jc w:val="right"/>
              <w:rPr>
                <w:rFonts w:asciiTheme="minorHAnsi" w:hAnsiTheme="minorHAnsi" w:cstheme="minorHAnsi"/>
                <w:b/>
                <w:bCs/>
                <w:color w:val="000000"/>
                <w:sz w:val="20"/>
                <w:szCs w:val="20"/>
              </w:rPr>
            </w:pPr>
          </w:p>
        </w:tc>
        <w:tc>
          <w:tcPr>
            <w:tcW w:w="184" w:type="pct"/>
            <w:tcBorders>
              <w:top w:val="nil"/>
              <w:left w:val="nil"/>
              <w:bottom w:val="nil"/>
              <w:right w:val="nil"/>
            </w:tcBorders>
            <w:shd w:val="clear" w:color="auto" w:fill="auto"/>
            <w:noWrap/>
            <w:vAlign w:val="bottom"/>
            <w:hideMark/>
          </w:tcPr>
          <w:p w14:paraId="28DE2078" w14:textId="77777777" w:rsidR="0005454B" w:rsidRPr="00701439" w:rsidRDefault="0005454B" w:rsidP="0005454B">
            <w:pPr>
              <w:rPr>
                <w:rFonts w:asciiTheme="minorHAnsi" w:hAnsiTheme="minorHAnsi" w:cstheme="minorHAnsi"/>
                <w:sz w:val="20"/>
                <w:szCs w:val="20"/>
              </w:rPr>
            </w:pPr>
          </w:p>
        </w:tc>
        <w:tc>
          <w:tcPr>
            <w:tcW w:w="808" w:type="pct"/>
            <w:tcBorders>
              <w:top w:val="nil"/>
              <w:left w:val="nil"/>
              <w:bottom w:val="nil"/>
              <w:right w:val="nil"/>
            </w:tcBorders>
            <w:shd w:val="clear" w:color="auto" w:fill="auto"/>
            <w:noWrap/>
            <w:vAlign w:val="bottom"/>
            <w:hideMark/>
          </w:tcPr>
          <w:p w14:paraId="6C9065D8" w14:textId="77777777" w:rsidR="0005454B" w:rsidRPr="00701439" w:rsidRDefault="0005454B" w:rsidP="0005454B">
            <w:pPr>
              <w:rPr>
                <w:rFonts w:asciiTheme="minorHAnsi" w:hAnsiTheme="minorHAnsi" w:cstheme="minorHAnsi"/>
                <w:sz w:val="20"/>
                <w:szCs w:val="20"/>
              </w:rPr>
            </w:pPr>
          </w:p>
        </w:tc>
        <w:tc>
          <w:tcPr>
            <w:tcW w:w="808" w:type="pct"/>
            <w:tcBorders>
              <w:top w:val="nil"/>
              <w:left w:val="nil"/>
              <w:bottom w:val="nil"/>
              <w:right w:val="nil"/>
            </w:tcBorders>
            <w:shd w:val="clear" w:color="auto" w:fill="auto"/>
            <w:noWrap/>
            <w:vAlign w:val="bottom"/>
            <w:hideMark/>
          </w:tcPr>
          <w:p w14:paraId="7AA00FE5" w14:textId="77777777" w:rsidR="0005454B" w:rsidRPr="00701439" w:rsidRDefault="0005454B" w:rsidP="0005454B">
            <w:pPr>
              <w:rPr>
                <w:rFonts w:asciiTheme="minorHAnsi" w:hAnsiTheme="minorHAnsi" w:cstheme="minorHAnsi"/>
                <w:sz w:val="20"/>
                <w:szCs w:val="20"/>
              </w:rPr>
            </w:pPr>
          </w:p>
        </w:tc>
        <w:tc>
          <w:tcPr>
            <w:tcW w:w="808" w:type="pct"/>
            <w:tcBorders>
              <w:top w:val="nil"/>
              <w:left w:val="nil"/>
              <w:bottom w:val="single" w:sz="4" w:space="0" w:color="auto"/>
              <w:right w:val="nil"/>
            </w:tcBorders>
            <w:shd w:val="clear" w:color="auto" w:fill="auto"/>
            <w:noWrap/>
            <w:vAlign w:val="bottom"/>
            <w:hideMark/>
          </w:tcPr>
          <w:p w14:paraId="698EAAEA" w14:textId="77777777" w:rsidR="0005454B" w:rsidRPr="00701439" w:rsidRDefault="0005454B" w:rsidP="0005454B">
            <w:pPr>
              <w:rPr>
                <w:rFonts w:asciiTheme="minorHAnsi" w:hAnsiTheme="minorHAnsi" w:cstheme="minorHAnsi"/>
                <w:sz w:val="20"/>
                <w:szCs w:val="20"/>
              </w:rPr>
            </w:pPr>
          </w:p>
        </w:tc>
        <w:tc>
          <w:tcPr>
            <w:tcW w:w="807" w:type="pct"/>
            <w:tcBorders>
              <w:top w:val="nil"/>
              <w:left w:val="nil"/>
              <w:bottom w:val="single" w:sz="4" w:space="0" w:color="auto"/>
              <w:right w:val="nil"/>
            </w:tcBorders>
            <w:shd w:val="clear" w:color="auto" w:fill="auto"/>
            <w:noWrap/>
            <w:vAlign w:val="bottom"/>
            <w:hideMark/>
          </w:tcPr>
          <w:p w14:paraId="213FD469" w14:textId="77777777" w:rsidR="0005454B" w:rsidRPr="00701439" w:rsidRDefault="0005454B" w:rsidP="0005454B">
            <w:pPr>
              <w:rPr>
                <w:rFonts w:asciiTheme="minorHAnsi" w:hAnsiTheme="minorHAnsi" w:cstheme="minorHAnsi"/>
                <w:sz w:val="20"/>
                <w:szCs w:val="20"/>
              </w:rPr>
            </w:pPr>
          </w:p>
        </w:tc>
      </w:tr>
      <w:tr w:rsidR="0005454B" w:rsidRPr="00701439" w14:paraId="385AB959" w14:textId="77777777" w:rsidTr="0002541E">
        <w:trPr>
          <w:trHeight w:val="289"/>
        </w:trPr>
        <w:tc>
          <w:tcPr>
            <w:tcW w:w="1770" w:type="pct"/>
            <w:gridSpan w:val="2"/>
            <w:tcBorders>
              <w:left w:val="nil"/>
              <w:right w:val="nil"/>
            </w:tcBorders>
            <w:shd w:val="clear" w:color="auto" w:fill="auto"/>
            <w:noWrap/>
            <w:vAlign w:val="bottom"/>
            <w:hideMark/>
          </w:tcPr>
          <w:p w14:paraId="1790DE87" w14:textId="6662E662" w:rsidR="0005454B" w:rsidRPr="00701439" w:rsidRDefault="0005454B" w:rsidP="0005454B">
            <w:pPr>
              <w:rPr>
                <w:rFonts w:asciiTheme="minorHAnsi" w:hAnsiTheme="minorHAnsi" w:cstheme="minorHAnsi"/>
                <w:b/>
                <w:bCs/>
                <w:color w:val="000000"/>
                <w:sz w:val="20"/>
                <w:szCs w:val="20"/>
              </w:rPr>
            </w:pPr>
            <w:r w:rsidRPr="00701439">
              <w:rPr>
                <w:rFonts w:asciiTheme="minorHAnsi" w:hAnsiTheme="minorHAnsi" w:cstheme="minorHAnsi"/>
                <w:b/>
                <w:bCs/>
                <w:color w:val="000000"/>
                <w:sz w:val="20"/>
                <w:szCs w:val="20"/>
              </w:rPr>
              <w:t xml:space="preserve">Total </w:t>
            </w:r>
            <w:r w:rsidR="0060351B" w:rsidRPr="00701439">
              <w:rPr>
                <w:rFonts w:asciiTheme="minorHAnsi" w:hAnsiTheme="minorHAnsi" w:cstheme="minorHAnsi"/>
                <w:b/>
                <w:bCs/>
                <w:color w:val="000000"/>
                <w:sz w:val="20"/>
                <w:szCs w:val="20"/>
              </w:rPr>
              <w:t>o</w:t>
            </w:r>
            <w:r w:rsidRPr="00701439">
              <w:rPr>
                <w:rFonts w:asciiTheme="minorHAnsi" w:hAnsiTheme="minorHAnsi" w:cstheme="minorHAnsi"/>
                <w:b/>
                <w:bCs/>
                <w:color w:val="000000"/>
                <w:sz w:val="20"/>
                <w:szCs w:val="20"/>
              </w:rPr>
              <w:t>verlays</w:t>
            </w:r>
          </w:p>
        </w:tc>
        <w:tc>
          <w:tcPr>
            <w:tcW w:w="808" w:type="pct"/>
            <w:tcBorders>
              <w:left w:val="nil"/>
              <w:right w:val="nil"/>
            </w:tcBorders>
            <w:shd w:val="clear" w:color="auto" w:fill="auto"/>
            <w:noWrap/>
            <w:vAlign w:val="bottom"/>
            <w:hideMark/>
          </w:tcPr>
          <w:p w14:paraId="2BB58EE7" w14:textId="77777777" w:rsidR="0005454B" w:rsidRPr="00701439" w:rsidRDefault="0005454B" w:rsidP="0005454B">
            <w:pPr>
              <w:rPr>
                <w:rFonts w:asciiTheme="minorHAnsi" w:hAnsiTheme="minorHAnsi" w:cstheme="minorHAnsi"/>
                <w:b/>
                <w:bCs/>
                <w:color w:val="000000"/>
                <w:sz w:val="20"/>
                <w:szCs w:val="20"/>
              </w:rPr>
            </w:pPr>
            <w:r w:rsidRPr="00701439">
              <w:rPr>
                <w:rFonts w:asciiTheme="minorHAnsi" w:hAnsiTheme="minorHAnsi" w:cstheme="minorHAnsi"/>
                <w:b/>
                <w:bCs/>
                <w:color w:val="000000"/>
                <w:sz w:val="20"/>
                <w:szCs w:val="20"/>
              </w:rPr>
              <w:t> </w:t>
            </w:r>
          </w:p>
        </w:tc>
        <w:tc>
          <w:tcPr>
            <w:tcW w:w="808" w:type="pct"/>
            <w:tcBorders>
              <w:left w:val="nil"/>
              <w:right w:val="nil"/>
            </w:tcBorders>
            <w:shd w:val="clear" w:color="auto" w:fill="auto"/>
            <w:noWrap/>
            <w:vAlign w:val="bottom"/>
            <w:hideMark/>
          </w:tcPr>
          <w:p w14:paraId="6F37EDAF" w14:textId="77777777" w:rsidR="0005454B" w:rsidRPr="00701439" w:rsidRDefault="0005454B" w:rsidP="0005454B">
            <w:pPr>
              <w:rPr>
                <w:rFonts w:asciiTheme="minorHAnsi" w:hAnsiTheme="minorHAnsi" w:cstheme="minorHAnsi"/>
                <w:b/>
                <w:bCs/>
                <w:color w:val="000000"/>
                <w:sz w:val="20"/>
                <w:szCs w:val="20"/>
              </w:rPr>
            </w:pPr>
            <w:r w:rsidRPr="00701439">
              <w:rPr>
                <w:rFonts w:asciiTheme="minorHAnsi" w:hAnsiTheme="minorHAnsi" w:cstheme="minorHAnsi"/>
                <w:b/>
                <w:bCs/>
                <w:color w:val="000000"/>
                <w:sz w:val="20"/>
                <w:szCs w:val="20"/>
              </w:rPr>
              <w:t> </w:t>
            </w:r>
          </w:p>
        </w:tc>
        <w:tc>
          <w:tcPr>
            <w:tcW w:w="808" w:type="pct"/>
            <w:tcBorders>
              <w:top w:val="single" w:sz="4" w:space="0" w:color="auto"/>
              <w:left w:val="nil"/>
              <w:bottom w:val="single" w:sz="12" w:space="0" w:color="auto"/>
              <w:right w:val="nil"/>
            </w:tcBorders>
            <w:shd w:val="clear" w:color="auto" w:fill="auto"/>
            <w:noWrap/>
            <w:vAlign w:val="bottom"/>
            <w:hideMark/>
          </w:tcPr>
          <w:p w14:paraId="4FA65480" w14:textId="77777777" w:rsidR="0005454B" w:rsidRPr="00701439" w:rsidRDefault="0005454B" w:rsidP="0005454B">
            <w:pPr>
              <w:jc w:val="right"/>
              <w:rPr>
                <w:rFonts w:asciiTheme="minorHAnsi" w:hAnsiTheme="minorHAnsi" w:cstheme="minorHAnsi"/>
                <w:color w:val="000000"/>
                <w:sz w:val="20"/>
                <w:szCs w:val="20"/>
              </w:rPr>
            </w:pPr>
            <w:r w:rsidRPr="00701439">
              <w:rPr>
                <w:rFonts w:asciiTheme="minorHAnsi" w:hAnsiTheme="minorHAnsi" w:cstheme="minorHAnsi"/>
                <w:color w:val="000000"/>
                <w:sz w:val="20"/>
                <w:szCs w:val="20"/>
              </w:rPr>
              <w:t>(2.5)</w:t>
            </w:r>
          </w:p>
        </w:tc>
        <w:tc>
          <w:tcPr>
            <w:tcW w:w="807" w:type="pct"/>
            <w:tcBorders>
              <w:top w:val="single" w:sz="4" w:space="0" w:color="auto"/>
              <w:left w:val="nil"/>
              <w:bottom w:val="single" w:sz="12" w:space="0" w:color="auto"/>
              <w:right w:val="nil"/>
            </w:tcBorders>
            <w:shd w:val="clear" w:color="auto" w:fill="auto"/>
            <w:noWrap/>
            <w:vAlign w:val="bottom"/>
            <w:hideMark/>
          </w:tcPr>
          <w:p w14:paraId="3B048B24" w14:textId="77777777" w:rsidR="0005454B" w:rsidRPr="00701439" w:rsidRDefault="0005454B" w:rsidP="0005454B">
            <w:pPr>
              <w:jc w:val="right"/>
              <w:rPr>
                <w:rFonts w:asciiTheme="minorHAnsi" w:hAnsiTheme="minorHAnsi" w:cstheme="minorHAnsi"/>
                <w:color w:val="000000"/>
                <w:sz w:val="20"/>
                <w:szCs w:val="20"/>
              </w:rPr>
            </w:pPr>
            <w:r w:rsidRPr="00701439">
              <w:rPr>
                <w:rFonts w:asciiTheme="minorHAnsi" w:hAnsiTheme="minorHAnsi" w:cstheme="minorHAnsi"/>
                <w:color w:val="000000"/>
                <w:sz w:val="20"/>
                <w:szCs w:val="20"/>
              </w:rPr>
              <w:t>(2.0)</w:t>
            </w:r>
          </w:p>
        </w:tc>
      </w:tr>
    </w:tbl>
    <w:p w14:paraId="16F301DC" w14:textId="77777777" w:rsidR="00961CC2" w:rsidRPr="00701439" w:rsidRDefault="00961CC2" w:rsidP="00A3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b/>
          <w:sz w:val="20"/>
          <w:szCs w:val="20"/>
        </w:rPr>
      </w:pPr>
    </w:p>
    <w:p w14:paraId="19982294" w14:textId="542EB115" w:rsidR="008C36F3" w:rsidRPr="00701439" w:rsidRDefault="008C36F3" w:rsidP="008C36F3">
      <w:pPr>
        <w:ind w:left="567" w:hanging="567"/>
        <w:rPr>
          <w:rFonts w:asciiTheme="minorHAnsi" w:hAnsiTheme="minorHAnsi" w:cs="Arial"/>
          <w:b/>
          <w:color w:val="4747FF"/>
          <w:sz w:val="22"/>
          <w:szCs w:val="22"/>
        </w:rPr>
      </w:pPr>
      <w:r w:rsidRPr="00701439">
        <w:rPr>
          <w:rFonts w:asciiTheme="minorHAnsi" w:hAnsiTheme="minorHAnsi" w:cs="Arial"/>
          <w:b/>
          <w:color w:val="4747FF"/>
          <w:sz w:val="22"/>
          <w:szCs w:val="22"/>
        </w:rPr>
        <w:lastRenderedPageBreak/>
        <w:t>8.</w:t>
      </w:r>
      <w:r w:rsidRPr="00701439">
        <w:rPr>
          <w:rFonts w:asciiTheme="minorHAnsi" w:hAnsiTheme="minorHAnsi" w:cs="Arial"/>
          <w:b/>
          <w:color w:val="4747FF"/>
          <w:sz w:val="22"/>
          <w:szCs w:val="22"/>
        </w:rPr>
        <w:tab/>
        <w:t>Amounts receivable from customers (continued)</w:t>
      </w:r>
    </w:p>
    <w:p w14:paraId="27B5283C" w14:textId="77777777" w:rsidR="008C36F3" w:rsidRPr="00701439" w:rsidRDefault="008C36F3" w:rsidP="00602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b/>
          <w:sz w:val="20"/>
          <w:szCs w:val="20"/>
        </w:rPr>
      </w:pPr>
    </w:p>
    <w:p w14:paraId="6A52468E" w14:textId="3D2AA2D2" w:rsidR="0060214B" w:rsidRPr="00701439" w:rsidRDefault="0060214B" w:rsidP="00602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b/>
          <w:sz w:val="20"/>
          <w:szCs w:val="20"/>
        </w:rPr>
      </w:pPr>
      <w:r w:rsidRPr="00701439">
        <w:rPr>
          <w:rFonts w:asciiTheme="minorHAnsi" w:hAnsiTheme="minorHAnsi" w:cs="Arial"/>
          <w:b/>
          <w:sz w:val="20"/>
          <w:szCs w:val="20"/>
        </w:rPr>
        <w:t>(a) Cost of living</w:t>
      </w:r>
    </w:p>
    <w:p w14:paraId="01DAEB9A" w14:textId="77777777" w:rsidR="00C64273" w:rsidRPr="00701439" w:rsidRDefault="00C64273" w:rsidP="00602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b/>
          <w:sz w:val="20"/>
          <w:szCs w:val="20"/>
        </w:rPr>
      </w:pPr>
    </w:p>
    <w:p w14:paraId="71699498" w14:textId="77777777" w:rsidR="0060214B" w:rsidRPr="00701439" w:rsidRDefault="0060214B" w:rsidP="00602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bCs/>
          <w:sz w:val="20"/>
          <w:szCs w:val="20"/>
        </w:rPr>
      </w:pPr>
      <w:r w:rsidRPr="00701439">
        <w:rPr>
          <w:rFonts w:asciiTheme="minorHAnsi" w:hAnsiTheme="minorHAnsi" w:cs="Arial"/>
          <w:bCs/>
          <w:sz w:val="20"/>
          <w:szCs w:val="20"/>
        </w:rPr>
        <w:t xml:space="preserve">Refer to credit cards cost of living overlays section for economic update. </w:t>
      </w:r>
    </w:p>
    <w:p w14:paraId="366C2D67" w14:textId="77777777" w:rsidR="00E609F2" w:rsidRPr="00701439" w:rsidRDefault="00E609F2" w:rsidP="00602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bCs/>
          <w:sz w:val="20"/>
          <w:szCs w:val="20"/>
        </w:rPr>
      </w:pPr>
    </w:p>
    <w:p w14:paraId="43FA97E9" w14:textId="302BD4CD" w:rsidR="0060214B" w:rsidRPr="00701439" w:rsidRDefault="0060214B" w:rsidP="00602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bCs/>
          <w:sz w:val="20"/>
          <w:szCs w:val="20"/>
        </w:rPr>
      </w:pPr>
      <w:r w:rsidRPr="00701439">
        <w:rPr>
          <w:rFonts w:asciiTheme="minorHAnsi" w:hAnsiTheme="minorHAnsi" w:cs="Arial"/>
          <w:bCs/>
          <w:sz w:val="20"/>
          <w:szCs w:val="20"/>
        </w:rPr>
        <w:t xml:space="preserve">The credit acquisition and affordability models were updated in early 2022 by a blended average of 8.75% reflecting the rise in inflation, energy prices and other bills compared to income. Vehicle finance implemented a new IFRS 9 suite of models with revised behavioural PDs during late 2021 and therefore a significant number of variables indicating financial distress are already incorporated within this model. </w:t>
      </w:r>
    </w:p>
    <w:p w14:paraId="6DFEE03C" w14:textId="77777777" w:rsidR="00E609F2" w:rsidRPr="00701439" w:rsidRDefault="00E609F2" w:rsidP="00602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bCs/>
          <w:sz w:val="20"/>
          <w:szCs w:val="20"/>
        </w:rPr>
      </w:pPr>
    </w:p>
    <w:p w14:paraId="1D9F2CF9" w14:textId="112725F1" w:rsidR="001D34E6" w:rsidRPr="00701439" w:rsidRDefault="0060214B" w:rsidP="00602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b/>
          <w:sz w:val="20"/>
          <w:szCs w:val="20"/>
        </w:rPr>
      </w:pPr>
      <w:r w:rsidRPr="00701439">
        <w:rPr>
          <w:rFonts w:asciiTheme="minorHAnsi" w:hAnsiTheme="minorHAnsi" w:cs="Arial"/>
          <w:bCs/>
          <w:sz w:val="20"/>
          <w:szCs w:val="20"/>
        </w:rPr>
        <w:t xml:space="preserve">However, considering the broader macro-economic environment and the observations made above, the management opinion is that a </w:t>
      </w:r>
      <w:proofErr w:type="gramStart"/>
      <w:r w:rsidRPr="00701439">
        <w:rPr>
          <w:rFonts w:asciiTheme="minorHAnsi" w:hAnsiTheme="minorHAnsi" w:cs="Arial"/>
          <w:bCs/>
          <w:sz w:val="20"/>
          <w:szCs w:val="20"/>
        </w:rPr>
        <w:t>cost of living</w:t>
      </w:r>
      <w:proofErr w:type="gramEnd"/>
      <w:r w:rsidRPr="00701439">
        <w:rPr>
          <w:rFonts w:asciiTheme="minorHAnsi" w:hAnsiTheme="minorHAnsi" w:cs="Arial"/>
          <w:bCs/>
          <w:sz w:val="20"/>
          <w:szCs w:val="20"/>
        </w:rPr>
        <w:t xml:space="preserve"> overlay of £0.5m should be </w:t>
      </w:r>
      <w:r w:rsidR="00434C2D" w:rsidRPr="00701439">
        <w:rPr>
          <w:rFonts w:asciiTheme="minorHAnsi" w:hAnsiTheme="minorHAnsi" w:cs="Arial"/>
          <w:bCs/>
          <w:sz w:val="20"/>
          <w:szCs w:val="20"/>
        </w:rPr>
        <w:t>recognised</w:t>
      </w:r>
      <w:r w:rsidRPr="00701439">
        <w:rPr>
          <w:rFonts w:asciiTheme="minorHAnsi" w:hAnsiTheme="minorHAnsi" w:cs="Arial"/>
          <w:bCs/>
          <w:sz w:val="20"/>
          <w:szCs w:val="20"/>
        </w:rPr>
        <w:t>. This was derived by taking the cohort of up-to-date accounts in stage 2 and modelling a higher probability of default to replicate a situation reflective of these falling into arrears.</w:t>
      </w:r>
    </w:p>
    <w:p w14:paraId="5C5453B5" w14:textId="77777777" w:rsidR="001D34E6" w:rsidRPr="00701439" w:rsidRDefault="001D34E6" w:rsidP="00602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b/>
          <w:sz w:val="20"/>
          <w:szCs w:val="20"/>
        </w:rPr>
      </w:pPr>
    </w:p>
    <w:p w14:paraId="36DBE316" w14:textId="7345EAF9" w:rsidR="0060214B" w:rsidRPr="00701439" w:rsidRDefault="0060214B" w:rsidP="00602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b/>
          <w:sz w:val="20"/>
          <w:szCs w:val="20"/>
        </w:rPr>
      </w:pPr>
      <w:r w:rsidRPr="00701439">
        <w:rPr>
          <w:rFonts w:asciiTheme="minorHAnsi" w:hAnsiTheme="minorHAnsi" w:cs="Arial"/>
          <w:b/>
          <w:sz w:val="20"/>
          <w:szCs w:val="20"/>
        </w:rPr>
        <w:t xml:space="preserve">(b) Fraud </w:t>
      </w:r>
    </w:p>
    <w:p w14:paraId="20FDD0E9" w14:textId="52DFDB47" w:rsidR="00A81FB1" w:rsidRPr="00701439" w:rsidRDefault="0060214B" w:rsidP="00602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bCs/>
          <w:sz w:val="20"/>
          <w:szCs w:val="20"/>
        </w:rPr>
      </w:pPr>
      <w:r w:rsidRPr="00701439">
        <w:rPr>
          <w:rFonts w:asciiTheme="minorHAnsi" w:hAnsiTheme="minorHAnsi" w:cs="Arial"/>
          <w:bCs/>
          <w:sz w:val="20"/>
          <w:szCs w:val="20"/>
        </w:rPr>
        <w:t>The fraud overlay represents the cohort of live accounts within the vehicle finance portfolio that have been identified as fraud customers.</w:t>
      </w:r>
      <w:r w:rsidR="00BC1737" w:rsidRPr="00701439">
        <w:rPr>
          <w:rFonts w:ascii="Segoe UI" w:hAnsi="Segoe UI" w:cs="Segoe UI"/>
          <w:color w:val="000000"/>
          <w:sz w:val="13"/>
          <w:szCs w:val="13"/>
        </w:rPr>
        <w:t xml:space="preserve"> </w:t>
      </w:r>
      <w:r w:rsidR="00BC1737" w:rsidRPr="00701439">
        <w:rPr>
          <w:rFonts w:asciiTheme="minorHAnsi" w:hAnsiTheme="minorHAnsi" w:cs="Arial"/>
          <w:bCs/>
          <w:sz w:val="20"/>
          <w:szCs w:val="20"/>
        </w:rPr>
        <w:t>There is a corresponding adjustment within gross receivables for these accounts.</w:t>
      </w:r>
    </w:p>
    <w:p w14:paraId="1C35D9B5" w14:textId="77777777" w:rsidR="00FA42F3" w:rsidRPr="00701439" w:rsidRDefault="00FA42F3" w:rsidP="00602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b/>
          <w:sz w:val="20"/>
          <w:szCs w:val="20"/>
        </w:rPr>
      </w:pPr>
    </w:p>
    <w:p w14:paraId="1548CD77" w14:textId="0C5E9C33" w:rsidR="00907A93" w:rsidRPr="00701439" w:rsidRDefault="00907A93" w:rsidP="0090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bCs/>
          <w:sz w:val="20"/>
          <w:szCs w:val="20"/>
        </w:rPr>
      </w:pPr>
      <w:r w:rsidRPr="00701439">
        <w:rPr>
          <w:rFonts w:asciiTheme="minorHAnsi" w:hAnsiTheme="minorHAnsi" w:cs="Arial"/>
          <w:bCs/>
          <w:sz w:val="20"/>
          <w:szCs w:val="20"/>
        </w:rPr>
        <w:t xml:space="preserve">A breakdown of the in-model and post-model </w:t>
      </w:r>
      <w:r w:rsidR="00610E0C" w:rsidRPr="00701439">
        <w:rPr>
          <w:rFonts w:asciiTheme="minorHAnsi" w:hAnsiTheme="minorHAnsi" w:cs="Arial"/>
          <w:bCs/>
          <w:sz w:val="20"/>
          <w:szCs w:val="20"/>
        </w:rPr>
        <w:t>overlays</w:t>
      </w:r>
      <w:r w:rsidRPr="00701439">
        <w:rPr>
          <w:rFonts w:asciiTheme="minorHAnsi" w:hAnsiTheme="minorHAnsi" w:cs="Arial"/>
          <w:bCs/>
          <w:sz w:val="20"/>
          <w:szCs w:val="20"/>
        </w:rPr>
        <w:t xml:space="preserve"> for personal loans is shown below:</w:t>
      </w:r>
    </w:p>
    <w:p w14:paraId="4098776C" w14:textId="77777777" w:rsidR="00FA42F3" w:rsidRPr="00701439" w:rsidRDefault="00FA42F3" w:rsidP="00602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b/>
          <w:sz w:val="20"/>
          <w:szCs w:val="20"/>
        </w:rPr>
      </w:pPr>
    </w:p>
    <w:p w14:paraId="055E7ECE" w14:textId="25E74D45" w:rsidR="00AA054A" w:rsidRPr="00701439" w:rsidRDefault="00AA054A" w:rsidP="00602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b/>
          <w:sz w:val="20"/>
          <w:szCs w:val="20"/>
        </w:rPr>
      </w:pPr>
    </w:p>
    <w:p w14:paraId="25108277" w14:textId="77777777" w:rsidR="00463246" w:rsidRPr="00701439" w:rsidRDefault="00463246" w:rsidP="00602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b/>
          <w:sz w:val="20"/>
          <w:szCs w:val="20"/>
        </w:rPr>
      </w:pPr>
    </w:p>
    <w:tbl>
      <w:tblPr>
        <w:tblW w:w="5000" w:type="pct"/>
        <w:tblLook w:val="04A0" w:firstRow="1" w:lastRow="0" w:firstColumn="1" w:lastColumn="0" w:noHBand="0" w:noVBand="1"/>
      </w:tblPr>
      <w:tblGrid>
        <w:gridCol w:w="4044"/>
        <w:gridCol w:w="1135"/>
        <w:gridCol w:w="1136"/>
        <w:gridCol w:w="1136"/>
        <w:gridCol w:w="1136"/>
        <w:gridCol w:w="1136"/>
      </w:tblGrid>
      <w:tr w:rsidR="007333B9" w:rsidRPr="00701439" w14:paraId="03FE8A45" w14:textId="77777777" w:rsidTr="0002541E">
        <w:trPr>
          <w:trHeight w:val="300"/>
        </w:trPr>
        <w:tc>
          <w:tcPr>
            <w:tcW w:w="2080" w:type="pct"/>
            <w:tcBorders>
              <w:top w:val="nil"/>
              <w:left w:val="nil"/>
              <w:right w:val="nil"/>
            </w:tcBorders>
            <w:shd w:val="clear" w:color="auto" w:fill="auto"/>
            <w:noWrap/>
            <w:vAlign w:val="bottom"/>
            <w:hideMark/>
          </w:tcPr>
          <w:p w14:paraId="4B5BDE24" w14:textId="04457856" w:rsidR="007333B9" w:rsidRPr="00701439" w:rsidRDefault="008B66DB" w:rsidP="007333B9">
            <w:pPr>
              <w:rPr>
                <w:rFonts w:asciiTheme="minorHAnsi" w:hAnsiTheme="minorHAnsi" w:cstheme="minorHAnsi"/>
                <w:b/>
                <w:bCs/>
                <w:color w:val="000000"/>
                <w:sz w:val="20"/>
                <w:szCs w:val="20"/>
              </w:rPr>
            </w:pPr>
            <w:r w:rsidRPr="00701439">
              <w:rPr>
                <w:rFonts w:asciiTheme="minorHAnsi" w:hAnsiTheme="minorHAnsi" w:cstheme="minorHAnsi"/>
                <w:b/>
                <w:bCs/>
                <w:color w:val="000000"/>
                <w:sz w:val="20"/>
                <w:szCs w:val="20"/>
              </w:rPr>
              <w:t>Personal loans</w:t>
            </w:r>
          </w:p>
        </w:tc>
        <w:tc>
          <w:tcPr>
            <w:tcW w:w="584" w:type="pct"/>
            <w:tcBorders>
              <w:top w:val="nil"/>
              <w:left w:val="nil"/>
              <w:right w:val="nil"/>
            </w:tcBorders>
            <w:shd w:val="clear" w:color="auto" w:fill="auto"/>
            <w:noWrap/>
            <w:vAlign w:val="bottom"/>
            <w:hideMark/>
          </w:tcPr>
          <w:p w14:paraId="1E65F794" w14:textId="77777777" w:rsidR="007333B9" w:rsidRPr="00701439" w:rsidRDefault="007333B9" w:rsidP="007333B9">
            <w:pPr>
              <w:rPr>
                <w:rFonts w:asciiTheme="minorHAnsi" w:hAnsiTheme="minorHAnsi" w:cstheme="minorHAnsi"/>
                <w:b/>
                <w:bCs/>
                <w:color w:val="000000"/>
                <w:sz w:val="20"/>
                <w:szCs w:val="20"/>
              </w:rPr>
            </w:pPr>
            <w:r w:rsidRPr="00701439">
              <w:rPr>
                <w:rFonts w:asciiTheme="minorHAnsi" w:hAnsiTheme="minorHAnsi" w:cstheme="minorHAnsi"/>
                <w:b/>
                <w:bCs/>
                <w:color w:val="000000"/>
                <w:sz w:val="20"/>
                <w:szCs w:val="20"/>
              </w:rPr>
              <w:t> </w:t>
            </w:r>
          </w:p>
        </w:tc>
        <w:tc>
          <w:tcPr>
            <w:tcW w:w="584" w:type="pct"/>
            <w:tcBorders>
              <w:top w:val="nil"/>
              <w:left w:val="nil"/>
              <w:right w:val="nil"/>
            </w:tcBorders>
            <w:shd w:val="clear" w:color="auto" w:fill="auto"/>
            <w:noWrap/>
            <w:vAlign w:val="bottom"/>
            <w:hideMark/>
          </w:tcPr>
          <w:p w14:paraId="48D79CD7" w14:textId="77777777" w:rsidR="007333B9" w:rsidRPr="00701439" w:rsidRDefault="007333B9" w:rsidP="007333B9">
            <w:pPr>
              <w:rPr>
                <w:rFonts w:asciiTheme="minorHAnsi" w:hAnsiTheme="minorHAnsi" w:cstheme="minorHAnsi"/>
                <w:b/>
                <w:bCs/>
                <w:color w:val="000000"/>
                <w:sz w:val="20"/>
                <w:szCs w:val="20"/>
              </w:rPr>
            </w:pPr>
            <w:r w:rsidRPr="00701439">
              <w:rPr>
                <w:rFonts w:asciiTheme="minorHAnsi" w:hAnsiTheme="minorHAnsi" w:cstheme="minorHAnsi"/>
                <w:b/>
                <w:bCs/>
                <w:color w:val="000000"/>
                <w:sz w:val="20"/>
                <w:szCs w:val="20"/>
              </w:rPr>
              <w:t> </w:t>
            </w:r>
          </w:p>
        </w:tc>
        <w:tc>
          <w:tcPr>
            <w:tcW w:w="584" w:type="pct"/>
            <w:tcBorders>
              <w:top w:val="nil"/>
              <w:left w:val="nil"/>
              <w:right w:val="nil"/>
            </w:tcBorders>
            <w:shd w:val="clear" w:color="auto" w:fill="auto"/>
            <w:noWrap/>
            <w:vAlign w:val="bottom"/>
            <w:hideMark/>
          </w:tcPr>
          <w:p w14:paraId="12A8C72A" w14:textId="77777777" w:rsidR="007333B9" w:rsidRPr="00701439" w:rsidRDefault="007333B9" w:rsidP="007333B9">
            <w:pPr>
              <w:rPr>
                <w:rFonts w:asciiTheme="minorHAnsi" w:hAnsiTheme="minorHAnsi" w:cstheme="minorHAnsi"/>
                <w:b/>
                <w:bCs/>
                <w:color w:val="000000"/>
                <w:sz w:val="20"/>
                <w:szCs w:val="20"/>
              </w:rPr>
            </w:pPr>
            <w:r w:rsidRPr="00701439">
              <w:rPr>
                <w:rFonts w:asciiTheme="minorHAnsi" w:hAnsiTheme="minorHAnsi" w:cstheme="minorHAnsi"/>
                <w:b/>
                <w:bCs/>
                <w:color w:val="000000"/>
                <w:sz w:val="20"/>
                <w:szCs w:val="20"/>
              </w:rPr>
              <w:t> </w:t>
            </w:r>
          </w:p>
        </w:tc>
        <w:tc>
          <w:tcPr>
            <w:tcW w:w="584" w:type="pct"/>
            <w:tcBorders>
              <w:top w:val="nil"/>
              <w:left w:val="nil"/>
              <w:bottom w:val="single" w:sz="4" w:space="0" w:color="auto"/>
              <w:right w:val="nil"/>
            </w:tcBorders>
            <w:shd w:val="clear" w:color="auto" w:fill="auto"/>
            <w:noWrap/>
            <w:vAlign w:val="bottom"/>
            <w:hideMark/>
          </w:tcPr>
          <w:p w14:paraId="6FBDD986" w14:textId="77777777" w:rsidR="007333B9" w:rsidRPr="00701439" w:rsidRDefault="007333B9" w:rsidP="007333B9">
            <w:pPr>
              <w:jc w:val="right"/>
              <w:rPr>
                <w:rFonts w:asciiTheme="minorHAnsi" w:hAnsiTheme="minorHAnsi" w:cstheme="minorHAnsi"/>
                <w:color w:val="000000"/>
                <w:sz w:val="20"/>
                <w:szCs w:val="20"/>
              </w:rPr>
            </w:pPr>
            <w:r w:rsidRPr="00701439">
              <w:rPr>
                <w:rFonts w:asciiTheme="minorHAnsi" w:hAnsiTheme="minorHAnsi" w:cstheme="minorHAnsi"/>
                <w:color w:val="000000"/>
                <w:sz w:val="20"/>
                <w:szCs w:val="20"/>
              </w:rPr>
              <w:t>2022</w:t>
            </w:r>
          </w:p>
          <w:p w14:paraId="6FED4EAD" w14:textId="358C04D1" w:rsidR="007333B9" w:rsidRPr="00701439" w:rsidRDefault="007333B9" w:rsidP="007333B9">
            <w:pPr>
              <w:jc w:val="right"/>
              <w:rPr>
                <w:rFonts w:asciiTheme="minorHAnsi" w:hAnsiTheme="minorHAnsi" w:cstheme="minorHAnsi"/>
                <w:color w:val="000000"/>
                <w:sz w:val="20"/>
                <w:szCs w:val="20"/>
              </w:rPr>
            </w:pPr>
            <w:r w:rsidRPr="00701439">
              <w:rPr>
                <w:rFonts w:asciiTheme="minorHAnsi" w:hAnsiTheme="minorHAnsi" w:cs="Arial"/>
                <w:sz w:val="20"/>
                <w:szCs w:val="20"/>
              </w:rPr>
              <w:t>£m </w:t>
            </w:r>
          </w:p>
        </w:tc>
        <w:tc>
          <w:tcPr>
            <w:tcW w:w="584" w:type="pct"/>
            <w:tcBorders>
              <w:top w:val="nil"/>
              <w:left w:val="nil"/>
              <w:bottom w:val="single" w:sz="4" w:space="0" w:color="auto"/>
              <w:right w:val="nil"/>
            </w:tcBorders>
            <w:shd w:val="clear" w:color="auto" w:fill="auto"/>
            <w:noWrap/>
            <w:vAlign w:val="bottom"/>
            <w:hideMark/>
          </w:tcPr>
          <w:p w14:paraId="34AFD38B" w14:textId="77777777" w:rsidR="007333B9" w:rsidRPr="00701439" w:rsidRDefault="007333B9" w:rsidP="007333B9">
            <w:pPr>
              <w:jc w:val="right"/>
              <w:rPr>
                <w:rFonts w:asciiTheme="minorHAnsi" w:hAnsiTheme="minorHAnsi" w:cstheme="minorHAnsi"/>
                <w:color w:val="000000"/>
                <w:sz w:val="20"/>
                <w:szCs w:val="20"/>
              </w:rPr>
            </w:pPr>
            <w:r w:rsidRPr="00701439">
              <w:rPr>
                <w:rFonts w:asciiTheme="minorHAnsi" w:hAnsiTheme="minorHAnsi" w:cstheme="minorHAnsi"/>
                <w:color w:val="000000"/>
                <w:sz w:val="20"/>
                <w:szCs w:val="20"/>
              </w:rPr>
              <w:t>2021</w:t>
            </w:r>
          </w:p>
          <w:p w14:paraId="7DF03A6E" w14:textId="57A19AF8" w:rsidR="007333B9" w:rsidRPr="00701439" w:rsidRDefault="007333B9" w:rsidP="007333B9">
            <w:pPr>
              <w:jc w:val="right"/>
              <w:rPr>
                <w:rFonts w:asciiTheme="minorHAnsi" w:hAnsiTheme="minorHAnsi" w:cstheme="minorHAnsi"/>
                <w:color w:val="000000"/>
                <w:sz w:val="20"/>
                <w:szCs w:val="20"/>
              </w:rPr>
            </w:pPr>
            <w:r w:rsidRPr="00701439">
              <w:rPr>
                <w:rFonts w:asciiTheme="minorHAnsi" w:hAnsiTheme="minorHAnsi" w:cs="Arial"/>
                <w:sz w:val="20"/>
                <w:szCs w:val="20"/>
              </w:rPr>
              <w:t>£m</w:t>
            </w:r>
          </w:p>
        </w:tc>
      </w:tr>
      <w:tr w:rsidR="007333B9" w:rsidRPr="00701439" w14:paraId="46966D01" w14:textId="77777777" w:rsidTr="0002541E">
        <w:trPr>
          <w:trHeight w:val="300"/>
        </w:trPr>
        <w:tc>
          <w:tcPr>
            <w:tcW w:w="2080" w:type="pct"/>
            <w:tcBorders>
              <w:top w:val="nil"/>
              <w:left w:val="nil"/>
              <w:bottom w:val="nil"/>
              <w:right w:val="nil"/>
            </w:tcBorders>
            <w:shd w:val="clear" w:color="auto" w:fill="auto"/>
            <w:noWrap/>
            <w:vAlign w:val="bottom"/>
            <w:hideMark/>
          </w:tcPr>
          <w:p w14:paraId="570B39BA" w14:textId="6DC2FC26" w:rsidR="007333B9" w:rsidRPr="00701439" w:rsidRDefault="007333B9" w:rsidP="007333B9">
            <w:pPr>
              <w:rPr>
                <w:rFonts w:asciiTheme="minorHAnsi" w:hAnsiTheme="minorHAnsi" w:cstheme="minorHAnsi"/>
                <w:color w:val="000000"/>
                <w:sz w:val="20"/>
                <w:szCs w:val="20"/>
              </w:rPr>
            </w:pPr>
            <w:r w:rsidRPr="00701439">
              <w:rPr>
                <w:rFonts w:asciiTheme="minorHAnsi" w:hAnsiTheme="minorHAnsi" w:cstheme="minorHAnsi"/>
                <w:color w:val="000000"/>
                <w:sz w:val="20"/>
                <w:szCs w:val="20"/>
              </w:rPr>
              <w:t xml:space="preserve">Core </w:t>
            </w:r>
            <w:r w:rsidR="008B66DB" w:rsidRPr="00701439">
              <w:rPr>
                <w:rFonts w:asciiTheme="minorHAnsi" w:hAnsiTheme="minorHAnsi" w:cstheme="minorHAnsi"/>
                <w:color w:val="000000"/>
                <w:sz w:val="20"/>
                <w:szCs w:val="20"/>
              </w:rPr>
              <w:t>m</w:t>
            </w:r>
            <w:r w:rsidRPr="00701439">
              <w:rPr>
                <w:rFonts w:asciiTheme="minorHAnsi" w:hAnsiTheme="minorHAnsi" w:cstheme="minorHAnsi"/>
                <w:color w:val="000000"/>
                <w:sz w:val="20"/>
                <w:szCs w:val="20"/>
              </w:rPr>
              <w:t>odel</w:t>
            </w:r>
          </w:p>
        </w:tc>
        <w:tc>
          <w:tcPr>
            <w:tcW w:w="584" w:type="pct"/>
            <w:tcBorders>
              <w:top w:val="nil"/>
              <w:left w:val="nil"/>
              <w:bottom w:val="nil"/>
              <w:right w:val="nil"/>
            </w:tcBorders>
            <w:shd w:val="clear" w:color="auto" w:fill="auto"/>
            <w:noWrap/>
            <w:vAlign w:val="bottom"/>
            <w:hideMark/>
          </w:tcPr>
          <w:p w14:paraId="64B28B68" w14:textId="77777777" w:rsidR="007333B9" w:rsidRPr="00701439" w:rsidRDefault="007333B9" w:rsidP="007333B9">
            <w:pPr>
              <w:rPr>
                <w:rFonts w:asciiTheme="minorHAnsi" w:hAnsiTheme="minorHAnsi" w:cstheme="minorHAnsi"/>
                <w:color w:val="000000"/>
                <w:sz w:val="20"/>
                <w:szCs w:val="20"/>
              </w:rPr>
            </w:pPr>
          </w:p>
        </w:tc>
        <w:tc>
          <w:tcPr>
            <w:tcW w:w="584" w:type="pct"/>
            <w:tcBorders>
              <w:top w:val="nil"/>
              <w:left w:val="nil"/>
              <w:bottom w:val="nil"/>
              <w:right w:val="nil"/>
            </w:tcBorders>
            <w:shd w:val="clear" w:color="auto" w:fill="auto"/>
            <w:noWrap/>
            <w:vAlign w:val="bottom"/>
            <w:hideMark/>
          </w:tcPr>
          <w:p w14:paraId="309AF1C5" w14:textId="77777777" w:rsidR="007333B9" w:rsidRPr="00701439" w:rsidRDefault="007333B9" w:rsidP="007333B9">
            <w:pPr>
              <w:rPr>
                <w:rFonts w:asciiTheme="minorHAnsi" w:hAnsiTheme="minorHAnsi" w:cstheme="minorHAnsi"/>
                <w:sz w:val="20"/>
                <w:szCs w:val="20"/>
              </w:rPr>
            </w:pPr>
          </w:p>
        </w:tc>
        <w:tc>
          <w:tcPr>
            <w:tcW w:w="584" w:type="pct"/>
            <w:tcBorders>
              <w:top w:val="nil"/>
              <w:left w:val="nil"/>
              <w:bottom w:val="nil"/>
              <w:right w:val="nil"/>
            </w:tcBorders>
            <w:shd w:val="clear" w:color="auto" w:fill="auto"/>
            <w:noWrap/>
            <w:vAlign w:val="bottom"/>
            <w:hideMark/>
          </w:tcPr>
          <w:p w14:paraId="4339D601" w14:textId="77777777" w:rsidR="007333B9" w:rsidRPr="00701439" w:rsidRDefault="007333B9" w:rsidP="007333B9">
            <w:pPr>
              <w:rPr>
                <w:rFonts w:asciiTheme="minorHAnsi" w:hAnsiTheme="minorHAnsi" w:cstheme="minorHAnsi"/>
                <w:sz w:val="20"/>
                <w:szCs w:val="20"/>
              </w:rPr>
            </w:pPr>
          </w:p>
        </w:tc>
        <w:tc>
          <w:tcPr>
            <w:tcW w:w="584" w:type="pct"/>
            <w:tcBorders>
              <w:top w:val="single" w:sz="4" w:space="0" w:color="auto"/>
              <w:left w:val="nil"/>
              <w:bottom w:val="nil"/>
              <w:right w:val="nil"/>
            </w:tcBorders>
            <w:shd w:val="clear" w:color="auto" w:fill="auto"/>
            <w:noWrap/>
            <w:vAlign w:val="bottom"/>
            <w:hideMark/>
          </w:tcPr>
          <w:p w14:paraId="1CD3AA20" w14:textId="6C5038C2" w:rsidR="007333B9" w:rsidRPr="00701439" w:rsidRDefault="007333B9" w:rsidP="007333B9">
            <w:pPr>
              <w:jc w:val="right"/>
              <w:rPr>
                <w:rFonts w:asciiTheme="minorHAnsi" w:hAnsiTheme="minorHAnsi" w:cstheme="minorHAnsi"/>
                <w:color w:val="000000"/>
                <w:sz w:val="20"/>
                <w:szCs w:val="20"/>
              </w:rPr>
            </w:pPr>
            <w:r w:rsidRPr="00701439">
              <w:rPr>
                <w:rFonts w:asciiTheme="minorHAnsi" w:hAnsiTheme="minorHAnsi" w:cstheme="minorHAnsi"/>
                <w:color w:val="000000"/>
                <w:sz w:val="20"/>
                <w:szCs w:val="20"/>
              </w:rPr>
              <w:t>8.6</w:t>
            </w:r>
          </w:p>
        </w:tc>
        <w:tc>
          <w:tcPr>
            <w:tcW w:w="584" w:type="pct"/>
            <w:tcBorders>
              <w:top w:val="single" w:sz="4" w:space="0" w:color="auto"/>
              <w:left w:val="nil"/>
              <w:bottom w:val="nil"/>
              <w:right w:val="nil"/>
            </w:tcBorders>
            <w:shd w:val="clear" w:color="auto" w:fill="auto"/>
            <w:noWrap/>
            <w:vAlign w:val="bottom"/>
            <w:hideMark/>
          </w:tcPr>
          <w:p w14:paraId="7F324538" w14:textId="77777777" w:rsidR="007333B9" w:rsidRPr="00701439" w:rsidRDefault="007333B9" w:rsidP="007333B9">
            <w:pPr>
              <w:jc w:val="right"/>
              <w:rPr>
                <w:rFonts w:asciiTheme="minorHAnsi" w:hAnsiTheme="minorHAnsi" w:cstheme="minorHAnsi"/>
                <w:color w:val="000000"/>
                <w:sz w:val="20"/>
                <w:szCs w:val="20"/>
              </w:rPr>
            </w:pPr>
            <w:r w:rsidRPr="00701439">
              <w:rPr>
                <w:rFonts w:asciiTheme="minorHAnsi" w:hAnsiTheme="minorHAnsi" w:cstheme="minorHAnsi"/>
                <w:color w:val="000000"/>
                <w:sz w:val="20"/>
                <w:szCs w:val="20"/>
              </w:rPr>
              <w:t>3.9</w:t>
            </w:r>
          </w:p>
        </w:tc>
      </w:tr>
      <w:tr w:rsidR="007333B9" w:rsidRPr="00701439" w14:paraId="52AAA4C1" w14:textId="77777777" w:rsidTr="00C771AE">
        <w:trPr>
          <w:trHeight w:val="288"/>
        </w:trPr>
        <w:tc>
          <w:tcPr>
            <w:tcW w:w="2080" w:type="pct"/>
            <w:tcBorders>
              <w:top w:val="nil"/>
              <w:left w:val="nil"/>
              <w:bottom w:val="nil"/>
              <w:right w:val="nil"/>
            </w:tcBorders>
            <w:shd w:val="clear" w:color="auto" w:fill="auto"/>
            <w:noWrap/>
            <w:vAlign w:val="bottom"/>
            <w:hideMark/>
          </w:tcPr>
          <w:p w14:paraId="13E09C5A" w14:textId="5F415D35" w:rsidR="007333B9" w:rsidRPr="00701439" w:rsidRDefault="007333B9" w:rsidP="007333B9">
            <w:pPr>
              <w:rPr>
                <w:rFonts w:asciiTheme="minorHAnsi" w:hAnsiTheme="minorHAnsi" w:cstheme="minorHAnsi"/>
                <w:color w:val="000000"/>
                <w:sz w:val="20"/>
                <w:szCs w:val="20"/>
              </w:rPr>
            </w:pPr>
            <w:r w:rsidRPr="00701439">
              <w:rPr>
                <w:rFonts w:asciiTheme="minorHAnsi" w:hAnsiTheme="minorHAnsi" w:cstheme="minorHAnsi"/>
                <w:color w:val="000000"/>
                <w:sz w:val="20"/>
                <w:szCs w:val="20"/>
              </w:rPr>
              <w:t>In-</w:t>
            </w:r>
            <w:r w:rsidR="008B66DB" w:rsidRPr="00701439">
              <w:rPr>
                <w:rFonts w:asciiTheme="minorHAnsi" w:hAnsiTheme="minorHAnsi" w:cstheme="minorHAnsi"/>
                <w:color w:val="000000"/>
                <w:sz w:val="20"/>
                <w:szCs w:val="20"/>
              </w:rPr>
              <w:t>m</w:t>
            </w:r>
            <w:r w:rsidRPr="00701439">
              <w:rPr>
                <w:rFonts w:asciiTheme="minorHAnsi" w:hAnsiTheme="minorHAnsi" w:cstheme="minorHAnsi"/>
                <w:color w:val="000000"/>
                <w:sz w:val="20"/>
                <w:szCs w:val="20"/>
              </w:rPr>
              <w:t xml:space="preserve">odel </w:t>
            </w:r>
            <w:r w:rsidR="00610E0C" w:rsidRPr="00701439">
              <w:rPr>
                <w:rFonts w:asciiTheme="minorHAnsi" w:hAnsiTheme="minorHAnsi" w:cstheme="minorHAnsi"/>
                <w:color w:val="000000"/>
                <w:sz w:val="20"/>
                <w:szCs w:val="20"/>
              </w:rPr>
              <w:t>overlays</w:t>
            </w:r>
          </w:p>
        </w:tc>
        <w:tc>
          <w:tcPr>
            <w:tcW w:w="584" w:type="pct"/>
            <w:tcBorders>
              <w:top w:val="nil"/>
              <w:left w:val="nil"/>
              <w:bottom w:val="nil"/>
              <w:right w:val="nil"/>
            </w:tcBorders>
            <w:shd w:val="clear" w:color="auto" w:fill="auto"/>
            <w:noWrap/>
            <w:vAlign w:val="bottom"/>
            <w:hideMark/>
          </w:tcPr>
          <w:p w14:paraId="2ADAEC22" w14:textId="77777777" w:rsidR="007333B9" w:rsidRPr="00701439" w:rsidRDefault="007333B9" w:rsidP="007333B9">
            <w:pPr>
              <w:rPr>
                <w:rFonts w:asciiTheme="minorHAnsi" w:hAnsiTheme="minorHAnsi" w:cstheme="minorHAnsi"/>
                <w:color w:val="000000"/>
                <w:sz w:val="20"/>
                <w:szCs w:val="20"/>
              </w:rPr>
            </w:pPr>
          </w:p>
        </w:tc>
        <w:tc>
          <w:tcPr>
            <w:tcW w:w="584" w:type="pct"/>
            <w:tcBorders>
              <w:top w:val="nil"/>
              <w:left w:val="nil"/>
              <w:bottom w:val="nil"/>
              <w:right w:val="nil"/>
            </w:tcBorders>
            <w:shd w:val="clear" w:color="auto" w:fill="auto"/>
            <w:noWrap/>
            <w:vAlign w:val="bottom"/>
            <w:hideMark/>
          </w:tcPr>
          <w:p w14:paraId="2BA19A1D" w14:textId="77777777" w:rsidR="007333B9" w:rsidRPr="00701439" w:rsidRDefault="007333B9" w:rsidP="007333B9">
            <w:pPr>
              <w:rPr>
                <w:rFonts w:asciiTheme="minorHAnsi" w:hAnsiTheme="minorHAnsi" w:cstheme="minorHAnsi"/>
                <w:sz w:val="20"/>
                <w:szCs w:val="20"/>
              </w:rPr>
            </w:pPr>
          </w:p>
        </w:tc>
        <w:tc>
          <w:tcPr>
            <w:tcW w:w="584" w:type="pct"/>
            <w:tcBorders>
              <w:top w:val="nil"/>
              <w:left w:val="nil"/>
              <w:bottom w:val="nil"/>
              <w:right w:val="nil"/>
            </w:tcBorders>
            <w:shd w:val="clear" w:color="auto" w:fill="auto"/>
            <w:noWrap/>
            <w:vAlign w:val="bottom"/>
            <w:hideMark/>
          </w:tcPr>
          <w:p w14:paraId="71A20221" w14:textId="77777777" w:rsidR="007333B9" w:rsidRPr="00701439" w:rsidRDefault="007333B9" w:rsidP="007333B9">
            <w:pPr>
              <w:rPr>
                <w:rFonts w:asciiTheme="minorHAnsi" w:hAnsiTheme="minorHAnsi" w:cstheme="minorHAnsi"/>
                <w:sz w:val="20"/>
                <w:szCs w:val="20"/>
              </w:rPr>
            </w:pPr>
          </w:p>
        </w:tc>
        <w:tc>
          <w:tcPr>
            <w:tcW w:w="584" w:type="pct"/>
            <w:tcBorders>
              <w:top w:val="nil"/>
              <w:left w:val="nil"/>
              <w:bottom w:val="nil"/>
              <w:right w:val="nil"/>
            </w:tcBorders>
            <w:shd w:val="clear" w:color="auto" w:fill="auto"/>
            <w:noWrap/>
            <w:vAlign w:val="bottom"/>
            <w:hideMark/>
          </w:tcPr>
          <w:p w14:paraId="6F38A3A5" w14:textId="519B8BAA" w:rsidR="007333B9" w:rsidRPr="00701439" w:rsidRDefault="007333B9" w:rsidP="007333B9">
            <w:pPr>
              <w:jc w:val="right"/>
              <w:rPr>
                <w:rFonts w:asciiTheme="minorHAnsi" w:hAnsiTheme="minorHAnsi" w:cstheme="minorHAnsi"/>
                <w:color w:val="000000"/>
                <w:sz w:val="20"/>
                <w:szCs w:val="20"/>
              </w:rPr>
            </w:pPr>
            <w:r w:rsidRPr="00701439">
              <w:rPr>
                <w:rFonts w:asciiTheme="minorHAnsi" w:hAnsiTheme="minorHAnsi" w:cstheme="minorHAnsi"/>
                <w:color w:val="000000"/>
                <w:sz w:val="20"/>
                <w:szCs w:val="20"/>
              </w:rPr>
              <w:t>-</w:t>
            </w:r>
          </w:p>
        </w:tc>
        <w:tc>
          <w:tcPr>
            <w:tcW w:w="584" w:type="pct"/>
            <w:tcBorders>
              <w:top w:val="nil"/>
              <w:left w:val="nil"/>
              <w:bottom w:val="nil"/>
              <w:right w:val="nil"/>
            </w:tcBorders>
            <w:shd w:val="clear" w:color="auto" w:fill="auto"/>
            <w:noWrap/>
            <w:vAlign w:val="bottom"/>
            <w:hideMark/>
          </w:tcPr>
          <w:p w14:paraId="6AEAF44A" w14:textId="4940254D" w:rsidR="007333B9" w:rsidRPr="00701439" w:rsidRDefault="007333B9" w:rsidP="007333B9">
            <w:pPr>
              <w:jc w:val="right"/>
              <w:rPr>
                <w:rFonts w:asciiTheme="minorHAnsi" w:hAnsiTheme="minorHAnsi" w:cstheme="minorHAnsi"/>
                <w:color w:val="000000"/>
                <w:sz w:val="20"/>
                <w:szCs w:val="20"/>
              </w:rPr>
            </w:pPr>
            <w:r w:rsidRPr="00701439">
              <w:rPr>
                <w:rFonts w:asciiTheme="minorHAnsi" w:hAnsiTheme="minorHAnsi" w:cstheme="minorHAnsi"/>
                <w:color w:val="000000"/>
                <w:sz w:val="20"/>
                <w:szCs w:val="20"/>
              </w:rPr>
              <w:t>-</w:t>
            </w:r>
          </w:p>
        </w:tc>
      </w:tr>
      <w:tr w:rsidR="007333B9" w:rsidRPr="00701439" w14:paraId="00CF157D" w14:textId="77777777" w:rsidTr="00C771AE">
        <w:trPr>
          <w:trHeight w:val="288"/>
        </w:trPr>
        <w:tc>
          <w:tcPr>
            <w:tcW w:w="2080" w:type="pct"/>
            <w:tcBorders>
              <w:top w:val="nil"/>
              <w:left w:val="nil"/>
              <w:bottom w:val="nil"/>
              <w:right w:val="nil"/>
            </w:tcBorders>
            <w:shd w:val="clear" w:color="auto" w:fill="auto"/>
            <w:noWrap/>
            <w:vAlign w:val="bottom"/>
            <w:hideMark/>
          </w:tcPr>
          <w:p w14:paraId="777F7346" w14:textId="2A45EAC9" w:rsidR="007333B9" w:rsidRPr="00701439" w:rsidRDefault="007333B9" w:rsidP="007333B9">
            <w:pPr>
              <w:rPr>
                <w:rFonts w:asciiTheme="minorHAnsi" w:hAnsiTheme="minorHAnsi" w:cstheme="minorHAnsi"/>
                <w:color w:val="000000"/>
                <w:sz w:val="20"/>
                <w:szCs w:val="20"/>
              </w:rPr>
            </w:pPr>
            <w:r w:rsidRPr="00701439">
              <w:rPr>
                <w:rFonts w:asciiTheme="minorHAnsi" w:hAnsiTheme="minorHAnsi" w:cstheme="minorHAnsi"/>
                <w:color w:val="000000"/>
                <w:sz w:val="20"/>
                <w:szCs w:val="20"/>
              </w:rPr>
              <w:t>Post</w:t>
            </w:r>
            <w:r w:rsidR="002C0640" w:rsidRPr="00701439">
              <w:rPr>
                <w:rFonts w:asciiTheme="minorHAnsi" w:hAnsiTheme="minorHAnsi" w:cstheme="minorHAnsi"/>
                <w:color w:val="000000"/>
                <w:sz w:val="20"/>
                <w:szCs w:val="20"/>
              </w:rPr>
              <w:t>-m</w:t>
            </w:r>
            <w:r w:rsidRPr="00701439">
              <w:rPr>
                <w:rFonts w:asciiTheme="minorHAnsi" w:hAnsiTheme="minorHAnsi" w:cstheme="minorHAnsi"/>
                <w:color w:val="000000"/>
                <w:sz w:val="20"/>
                <w:szCs w:val="20"/>
              </w:rPr>
              <w:t xml:space="preserve">odel </w:t>
            </w:r>
            <w:r w:rsidR="00610E0C" w:rsidRPr="00701439">
              <w:rPr>
                <w:rFonts w:asciiTheme="minorHAnsi" w:hAnsiTheme="minorHAnsi" w:cstheme="minorHAnsi"/>
                <w:color w:val="000000"/>
                <w:sz w:val="20"/>
                <w:szCs w:val="20"/>
              </w:rPr>
              <w:t>overlays</w:t>
            </w:r>
          </w:p>
        </w:tc>
        <w:tc>
          <w:tcPr>
            <w:tcW w:w="584" w:type="pct"/>
            <w:tcBorders>
              <w:top w:val="nil"/>
              <w:left w:val="nil"/>
              <w:bottom w:val="nil"/>
              <w:right w:val="nil"/>
            </w:tcBorders>
            <w:shd w:val="clear" w:color="auto" w:fill="auto"/>
            <w:noWrap/>
            <w:vAlign w:val="bottom"/>
            <w:hideMark/>
          </w:tcPr>
          <w:p w14:paraId="6F764B99" w14:textId="77777777" w:rsidR="007333B9" w:rsidRPr="00701439" w:rsidRDefault="007333B9" w:rsidP="007333B9">
            <w:pPr>
              <w:rPr>
                <w:rFonts w:asciiTheme="minorHAnsi" w:hAnsiTheme="minorHAnsi" w:cstheme="minorHAnsi"/>
                <w:color w:val="000000"/>
                <w:sz w:val="20"/>
                <w:szCs w:val="20"/>
              </w:rPr>
            </w:pPr>
          </w:p>
        </w:tc>
        <w:tc>
          <w:tcPr>
            <w:tcW w:w="584" w:type="pct"/>
            <w:tcBorders>
              <w:top w:val="nil"/>
              <w:left w:val="nil"/>
              <w:bottom w:val="nil"/>
              <w:right w:val="nil"/>
            </w:tcBorders>
            <w:shd w:val="clear" w:color="auto" w:fill="auto"/>
            <w:noWrap/>
            <w:vAlign w:val="bottom"/>
            <w:hideMark/>
          </w:tcPr>
          <w:p w14:paraId="283F207F" w14:textId="77777777" w:rsidR="007333B9" w:rsidRPr="00701439" w:rsidRDefault="007333B9" w:rsidP="007333B9">
            <w:pPr>
              <w:rPr>
                <w:rFonts w:asciiTheme="minorHAnsi" w:hAnsiTheme="minorHAnsi" w:cstheme="minorHAnsi"/>
                <w:sz w:val="20"/>
                <w:szCs w:val="20"/>
              </w:rPr>
            </w:pPr>
          </w:p>
        </w:tc>
        <w:tc>
          <w:tcPr>
            <w:tcW w:w="584" w:type="pct"/>
            <w:tcBorders>
              <w:top w:val="nil"/>
              <w:left w:val="nil"/>
              <w:bottom w:val="nil"/>
              <w:right w:val="nil"/>
            </w:tcBorders>
            <w:shd w:val="clear" w:color="auto" w:fill="auto"/>
            <w:noWrap/>
            <w:vAlign w:val="bottom"/>
            <w:hideMark/>
          </w:tcPr>
          <w:p w14:paraId="18CE81FA" w14:textId="77777777" w:rsidR="007333B9" w:rsidRPr="00701439" w:rsidRDefault="007333B9" w:rsidP="007333B9">
            <w:pPr>
              <w:rPr>
                <w:rFonts w:asciiTheme="minorHAnsi" w:hAnsiTheme="minorHAnsi" w:cstheme="minorHAnsi"/>
                <w:sz w:val="20"/>
                <w:szCs w:val="20"/>
              </w:rPr>
            </w:pPr>
          </w:p>
        </w:tc>
        <w:tc>
          <w:tcPr>
            <w:tcW w:w="584" w:type="pct"/>
            <w:tcBorders>
              <w:top w:val="nil"/>
              <w:left w:val="nil"/>
              <w:bottom w:val="nil"/>
              <w:right w:val="nil"/>
            </w:tcBorders>
            <w:shd w:val="clear" w:color="auto" w:fill="auto"/>
            <w:noWrap/>
            <w:vAlign w:val="bottom"/>
            <w:hideMark/>
          </w:tcPr>
          <w:p w14:paraId="455D257E" w14:textId="77777777" w:rsidR="007333B9" w:rsidRPr="00701439" w:rsidRDefault="007333B9" w:rsidP="007333B9">
            <w:pPr>
              <w:jc w:val="right"/>
              <w:rPr>
                <w:rFonts w:asciiTheme="minorHAnsi" w:hAnsiTheme="minorHAnsi" w:cstheme="minorHAnsi"/>
                <w:color w:val="000000"/>
                <w:sz w:val="20"/>
                <w:szCs w:val="20"/>
              </w:rPr>
            </w:pPr>
            <w:r w:rsidRPr="00701439">
              <w:rPr>
                <w:rFonts w:asciiTheme="minorHAnsi" w:hAnsiTheme="minorHAnsi" w:cstheme="minorHAnsi"/>
                <w:color w:val="000000"/>
                <w:sz w:val="20"/>
                <w:szCs w:val="20"/>
              </w:rPr>
              <w:t>0.6</w:t>
            </w:r>
          </w:p>
        </w:tc>
        <w:tc>
          <w:tcPr>
            <w:tcW w:w="584" w:type="pct"/>
            <w:tcBorders>
              <w:top w:val="nil"/>
              <w:left w:val="nil"/>
              <w:bottom w:val="nil"/>
              <w:right w:val="nil"/>
            </w:tcBorders>
            <w:shd w:val="clear" w:color="auto" w:fill="auto"/>
            <w:noWrap/>
            <w:vAlign w:val="bottom"/>
            <w:hideMark/>
          </w:tcPr>
          <w:p w14:paraId="21742C2A" w14:textId="77777777" w:rsidR="007333B9" w:rsidRPr="00701439" w:rsidRDefault="007333B9" w:rsidP="007333B9">
            <w:pPr>
              <w:jc w:val="right"/>
              <w:rPr>
                <w:rFonts w:asciiTheme="minorHAnsi" w:hAnsiTheme="minorHAnsi" w:cstheme="minorHAnsi"/>
                <w:color w:val="000000"/>
                <w:sz w:val="20"/>
                <w:szCs w:val="20"/>
              </w:rPr>
            </w:pPr>
            <w:r w:rsidRPr="00701439">
              <w:rPr>
                <w:rFonts w:asciiTheme="minorHAnsi" w:hAnsiTheme="minorHAnsi" w:cstheme="minorHAnsi"/>
                <w:color w:val="000000"/>
                <w:sz w:val="20"/>
                <w:szCs w:val="20"/>
              </w:rPr>
              <w:t>1.7</w:t>
            </w:r>
          </w:p>
        </w:tc>
      </w:tr>
      <w:tr w:rsidR="007333B9" w:rsidRPr="00701439" w14:paraId="2C3E339F" w14:textId="77777777" w:rsidTr="0002541E">
        <w:trPr>
          <w:trHeight w:val="288"/>
        </w:trPr>
        <w:tc>
          <w:tcPr>
            <w:tcW w:w="2080" w:type="pct"/>
            <w:tcBorders>
              <w:left w:val="nil"/>
              <w:right w:val="nil"/>
            </w:tcBorders>
            <w:shd w:val="clear" w:color="auto" w:fill="auto"/>
            <w:noWrap/>
            <w:vAlign w:val="bottom"/>
            <w:hideMark/>
          </w:tcPr>
          <w:p w14:paraId="237801CD" w14:textId="3B134BB4" w:rsidR="007333B9" w:rsidRPr="00701439" w:rsidRDefault="007333B9" w:rsidP="007333B9">
            <w:pPr>
              <w:rPr>
                <w:rFonts w:asciiTheme="minorHAnsi" w:hAnsiTheme="minorHAnsi" w:cstheme="minorHAnsi"/>
                <w:b/>
                <w:bCs/>
                <w:color w:val="000000"/>
                <w:sz w:val="20"/>
                <w:szCs w:val="20"/>
              </w:rPr>
            </w:pPr>
            <w:r w:rsidRPr="00701439">
              <w:rPr>
                <w:rFonts w:asciiTheme="minorHAnsi" w:hAnsiTheme="minorHAnsi" w:cstheme="minorHAnsi"/>
                <w:b/>
                <w:bCs/>
                <w:color w:val="000000"/>
                <w:sz w:val="20"/>
                <w:szCs w:val="20"/>
              </w:rPr>
              <w:t xml:space="preserve">Total </w:t>
            </w:r>
            <w:r w:rsidR="005352E0" w:rsidRPr="00701439">
              <w:rPr>
                <w:rFonts w:asciiTheme="minorHAnsi" w:hAnsiTheme="minorHAnsi" w:cstheme="minorHAnsi"/>
                <w:b/>
                <w:bCs/>
                <w:color w:val="000000"/>
                <w:sz w:val="20"/>
                <w:szCs w:val="20"/>
              </w:rPr>
              <w:t>a</w:t>
            </w:r>
            <w:r w:rsidRPr="00701439">
              <w:rPr>
                <w:rFonts w:asciiTheme="minorHAnsi" w:hAnsiTheme="minorHAnsi" w:cstheme="minorHAnsi"/>
                <w:b/>
                <w:bCs/>
                <w:color w:val="000000"/>
                <w:sz w:val="20"/>
                <w:szCs w:val="20"/>
              </w:rPr>
              <w:t xml:space="preserve">llowance </w:t>
            </w:r>
            <w:r w:rsidR="005352E0" w:rsidRPr="00701439">
              <w:rPr>
                <w:rFonts w:asciiTheme="minorHAnsi" w:hAnsiTheme="minorHAnsi" w:cstheme="minorHAnsi"/>
                <w:b/>
                <w:bCs/>
                <w:color w:val="000000"/>
                <w:sz w:val="20"/>
                <w:szCs w:val="20"/>
              </w:rPr>
              <w:t>a</w:t>
            </w:r>
            <w:r w:rsidRPr="00701439">
              <w:rPr>
                <w:rFonts w:asciiTheme="minorHAnsi" w:hAnsiTheme="minorHAnsi" w:cstheme="minorHAnsi"/>
                <w:b/>
                <w:bCs/>
                <w:color w:val="000000"/>
                <w:sz w:val="20"/>
                <w:szCs w:val="20"/>
              </w:rPr>
              <w:t>ccount</w:t>
            </w:r>
          </w:p>
        </w:tc>
        <w:tc>
          <w:tcPr>
            <w:tcW w:w="584" w:type="pct"/>
            <w:tcBorders>
              <w:left w:val="nil"/>
              <w:right w:val="nil"/>
            </w:tcBorders>
            <w:shd w:val="clear" w:color="auto" w:fill="auto"/>
            <w:noWrap/>
            <w:vAlign w:val="bottom"/>
            <w:hideMark/>
          </w:tcPr>
          <w:p w14:paraId="4DE9E173" w14:textId="77777777" w:rsidR="007333B9" w:rsidRPr="00701439" w:rsidRDefault="007333B9" w:rsidP="007333B9">
            <w:pPr>
              <w:rPr>
                <w:rFonts w:asciiTheme="minorHAnsi" w:hAnsiTheme="minorHAnsi" w:cstheme="minorHAnsi"/>
                <w:b/>
                <w:bCs/>
                <w:color w:val="000000"/>
                <w:sz w:val="20"/>
                <w:szCs w:val="20"/>
              </w:rPr>
            </w:pPr>
            <w:r w:rsidRPr="00701439">
              <w:rPr>
                <w:rFonts w:asciiTheme="minorHAnsi" w:hAnsiTheme="minorHAnsi" w:cstheme="minorHAnsi"/>
                <w:b/>
                <w:bCs/>
                <w:color w:val="000000"/>
                <w:sz w:val="20"/>
                <w:szCs w:val="20"/>
              </w:rPr>
              <w:t> </w:t>
            </w:r>
          </w:p>
        </w:tc>
        <w:tc>
          <w:tcPr>
            <w:tcW w:w="584" w:type="pct"/>
            <w:tcBorders>
              <w:left w:val="nil"/>
              <w:right w:val="nil"/>
            </w:tcBorders>
            <w:shd w:val="clear" w:color="auto" w:fill="auto"/>
            <w:noWrap/>
            <w:vAlign w:val="bottom"/>
            <w:hideMark/>
          </w:tcPr>
          <w:p w14:paraId="207AE52A" w14:textId="77777777" w:rsidR="007333B9" w:rsidRPr="00701439" w:rsidRDefault="007333B9" w:rsidP="007333B9">
            <w:pPr>
              <w:rPr>
                <w:rFonts w:asciiTheme="minorHAnsi" w:hAnsiTheme="minorHAnsi" w:cstheme="minorHAnsi"/>
                <w:b/>
                <w:bCs/>
                <w:color w:val="000000"/>
                <w:sz w:val="20"/>
                <w:szCs w:val="20"/>
              </w:rPr>
            </w:pPr>
            <w:r w:rsidRPr="00701439">
              <w:rPr>
                <w:rFonts w:asciiTheme="minorHAnsi" w:hAnsiTheme="minorHAnsi" w:cstheme="minorHAnsi"/>
                <w:b/>
                <w:bCs/>
                <w:color w:val="000000"/>
                <w:sz w:val="20"/>
                <w:szCs w:val="20"/>
              </w:rPr>
              <w:t> </w:t>
            </w:r>
          </w:p>
        </w:tc>
        <w:tc>
          <w:tcPr>
            <w:tcW w:w="584" w:type="pct"/>
            <w:tcBorders>
              <w:left w:val="nil"/>
              <w:right w:val="nil"/>
            </w:tcBorders>
            <w:shd w:val="clear" w:color="auto" w:fill="auto"/>
            <w:noWrap/>
            <w:vAlign w:val="bottom"/>
            <w:hideMark/>
          </w:tcPr>
          <w:p w14:paraId="25B6391A" w14:textId="77777777" w:rsidR="007333B9" w:rsidRPr="00701439" w:rsidRDefault="007333B9" w:rsidP="007333B9">
            <w:pPr>
              <w:rPr>
                <w:rFonts w:asciiTheme="minorHAnsi" w:hAnsiTheme="minorHAnsi" w:cstheme="minorHAnsi"/>
                <w:b/>
                <w:bCs/>
                <w:color w:val="000000"/>
                <w:sz w:val="20"/>
                <w:szCs w:val="20"/>
              </w:rPr>
            </w:pPr>
            <w:r w:rsidRPr="00701439">
              <w:rPr>
                <w:rFonts w:asciiTheme="minorHAnsi" w:hAnsiTheme="minorHAnsi" w:cstheme="minorHAnsi"/>
                <w:b/>
                <w:bCs/>
                <w:color w:val="000000"/>
                <w:sz w:val="20"/>
                <w:szCs w:val="20"/>
              </w:rPr>
              <w:t> </w:t>
            </w:r>
          </w:p>
        </w:tc>
        <w:tc>
          <w:tcPr>
            <w:tcW w:w="584" w:type="pct"/>
            <w:tcBorders>
              <w:top w:val="single" w:sz="4" w:space="0" w:color="auto"/>
              <w:left w:val="nil"/>
              <w:bottom w:val="single" w:sz="4" w:space="0" w:color="auto"/>
              <w:right w:val="nil"/>
            </w:tcBorders>
            <w:shd w:val="clear" w:color="auto" w:fill="auto"/>
            <w:noWrap/>
            <w:vAlign w:val="bottom"/>
            <w:hideMark/>
          </w:tcPr>
          <w:p w14:paraId="5AB960CD" w14:textId="6E4C1047" w:rsidR="007333B9" w:rsidRPr="00701439" w:rsidRDefault="007333B9" w:rsidP="007333B9">
            <w:pPr>
              <w:jc w:val="right"/>
              <w:rPr>
                <w:rFonts w:asciiTheme="minorHAnsi" w:hAnsiTheme="minorHAnsi" w:cstheme="minorHAnsi"/>
                <w:color w:val="000000"/>
                <w:sz w:val="20"/>
                <w:szCs w:val="20"/>
              </w:rPr>
            </w:pPr>
            <w:r w:rsidRPr="00701439">
              <w:rPr>
                <w:rFonts w:asciiTheme="minorHAnsi" w:hAnsiTheme="minorHAnsi" w:cstheme="minorHAnsi"/>
                <w:color w:val="000000"/>
                <w:sz w:val="20"/>
                <w:szCs w:val="20"/>
              </w:rPr>
              <w:t>9.2</w:t>
            </w:r>
          </w:p>
        </w:tc>
        <w:tc>
          <w:tcPr>
            <w:tcW w:w="584" w:type="pct"/>
            <w:tcBorders>
              <w:top w:val="single" w:sz="4" w:space="0" w:color="auto"/>
              <w:left w:val="nil"/>
              <w:bottom w:val="single" w:sz="4" w:space="0" w:color="auto"/>
              <w:right w:val="nil"/>
            </w:tcBorders>
            <w:shd w:val="clear" w:color="auto" w:fill="auto"/>
            <w:noWrap/>
            <w:vAlign w:val="bottom"/>
            <w:hideMark/>
          </w:tcPr>
          <w:p w14:paraId="14C387D2" w14:textId="77777777" w:rsidR="007333B9" w:rsidRPr="00701439" w:rsidRDefault="007333B9" w:rsidP="007333B9">
            <w:pPr>
              <w:jc w:val="right"/>
              <w:rPr>
                <w:rFonts w:asciiTheme="minorHAnsi" w:hAnsiTheme="minorHAnsi" w:cstheme="minorHAnsi"/>
                <w:color w:val="000000"/>
                <w:sz w:val="20"/>
                <w:szCs w:val="20"/>
              </w:rPr>
            </w:pPr>
            <w:r w:rsidRPr="00701439">
              <w:rPr>
                <w:rFonts w:asciiTheme="minorHAnsi" w:hAnsiTheme="minorHAnsi" w:cstheme="minorHAnsi"/>
                <w:color w:val="000000"/>
                <w:sz w:val="20"/>
                <w:szCs w:val="20"/>
              </w:rPr>
              <w:t>5.6</w:t>
            </w:r>
          </w:p>
        </w:tc>
      </w:tr>
      <w:tr w:rsidR="007333B9" w:rsidRPr="00701439" w14:paraId="235EC8B7" w14:textId="77777777" w:rsidTr="0002541E">
        <w:trPr>
          <w:trHeight w:val="288"/>
        </w:trPr>
        <w:tc>
          <w:tcPr>
            <w:tcW w:w="2080" w:type="pct"/>
            <w:tcBorders>
              <w:left w:val="nil"/>
              <w:bottom w:val="nil"/>
              <w:right w:val="nil"/>
            </w:tcBorders>
            <w:shd w:val="clear" w:color="auto" w:fill="auto"/>
            <w:noWrap/>
            <w:vAlign w:val="bottom"/>
            <w:hideMark/>
          </w:tcPr>
          <w:p w14:paraId="694F144E" w14:textId="77777777" w:rsidR="007333B9" w:rsidRPr="00701439" w:rsidRDefault="007333B9" w:rsidP="007333B9">
            <w:pPr>
              <w:jc w:val="right"/>
              <w:rPr>
                <w:rFonts w:asciiTheme="minorHAnsi" w:hAnsiTheme="minorHAnsi" w:cstheme="minorHAnsi"/>
                <w:b/>
                <w:bCs/>
                <w:color w:val="000000"/>
                <w:sz w:val="20"/>
                <w:szCs w:val="20"/>
              </w:rPr>
            </w:pPr>
          </w:p>
        </w:tc>
        <w:tc>
          <w:tcPr>
            <w:tcW w:w="584" w:type="pct"/>
            <w:tcBorders>
              <w:left w:val="nil"/>
              <w:bottom w:val="nil"/>
              <w:right w:val="nil"/>
            </w:tcBorders>
            <w:shd w:val="clear" w:color="auto" w:fill="auto"/>
            <w:noWrap/>
            <w:vAlign w:val="bottom"/>
            <w:hideMark/>
          </w:tcPr>
          <w:p w14:paraId="19CAE15C" w14:textId="77777777" w:rsidR="007333B9" w:rsidRPr="00701439" w:rsidRDefault="007333B9" w:rsidP="007333B9">
            <w:pPr>
              <w:rPr>
                <w:rFonts w:asciiTheme="minorHAnsi" w:hAnsiTheme="minorHAnsi" w:cstheme="minorHAnsi"/>
                <w:sz w:val="20"/>
                <w:szCs w:val="20"/>
              </w:rPr>
            </w:pPr>
          </w:p>
        </w:tc>
        <w:tc>
          <w:tcPr>
            <w:tcW w:w="584" w:type="pct"/>
            <w:tcBorders>
              <w:left w:val="nil"/>
              <w:bottom w:val="nil"/>
              <w:right w:val="nil"/>
            </w:tcBorders>
            <w:shd w:val="clear" w:color="auto" w:fill="auto"/>
            <w:noWrap/>
            <w:vAlign w:val="bottom"/>
            <w:hideMark/>
          </w:tcPr>
          <w:p w14:paraId="173444EA" w14:textId="77777777" w:rsidR="007333B9" w:rsidRPr="00701439" w:rsidRDefault="007333B9" w:rsidP="007333B9">
            <w:pPr>
              <w:rPr>
                <w:rFonts w:asciiTheme="minorHAnsi" w:hAnsiTheme="minorHAnsi" w:cstheme="minorHAnsi"/>
                <w:sz w:val="20"/>
                <w:szCs w:val="20"/>
              </w:rPr>
            </w:pPr>
          </w:p>
        </w:tc>
        <w:tc>
          <w:tcPr>
            <w:tcW w:w="584" w:type="pct"/>
            <w:tcBorders>
              <w:left w:val="nil"/>
              <w:bottom w:val="nil"/>
              <w:right w:val="nil"/>
            </w:tcBorders>
            <w:shd w:val="clear" w:color="auto" w:fill="auto"/>
            <w:noWrap/>
            <w:vAlign w:val="bottom"/>
            <w:hideMark/>
          </w:tcPr>
          <w:p w14:paraId="4B448B37" w14:textId="77777777" w:rsidR="007333B9" w:rsidRPr="00701439" w:rsidRDefault="007333B9" w:rsidP="007333B9">
            <w:pPr>
              <w:rPr>
                <w:rFonts w:asciiTheme="minorHAnsi" w:hAnsiTheme="minorHAnsi" w:cstheme="minorHAnsi"/>
                <w:sz w:val="20"/>
                <w:szCs w:val="20"/>
              </w:rPr>
            </w:pPr>
          </w:p>
        </w:tc>
        <w:tc>
          <w:tcPr>
            <w:tcW w:w="584" w:type="pct"/>
            <w:tcBorders>
              <w:top w:val="nil"/>
              <w:left w:val="nil"/>
              <w:bottom w:val="nil"/>
              <w:right w:val="nil"/>
            </w:tcBorders>
            <w:shd w:val="clear" w:color="auto" w:fill="auto"/>
            <w:noWrap/>
            <w:vAlign w:val="bottom"/>
          </w:tcPr>
          <w:p w14:paraId="1F9D9E64" w14:textId="1AD6EA77" w:rsidR="007333B9" w:rsidRPr="00701439" w:rsidRDefault="007333B9" w:rsidP="007333B9">
            <w:pPr>
              <w:jc w:val="right"/>
              <w:rPr>
                <w:rFonts w:asciiTheme="minorHAnsi" w:hAnsiTheme="minorHAnsi" w:cstheme="minorHAnsi"/>
                <w:color w:val="000000"/>
                <w:sz w:val="20"/>
                <w:szCs w:val="20"/>
              </w:rPr>
            </w:pPr>
          </w:p>
        </w:tc>
        <w:tc>
          <w:tcPr>
            <w:tcW w:w="584" w:type="pct"/>
            <w:tcBorders>
              <w:top w:val="nil"/>
              <w:left w:val="nil"/>
              <w:bottom w:val="nil"/>
              <w:right w:val="nil"/>
            </w:tcBorders>
            <w:shd w:val="clear" w:color="auto" w:fill="auto"/>
            <w:noWrap/>
            <w:vAlign w:val="bottom"/>
          </w:tcPr>
          <w:p w14:paraId="7CD21AE5" w14:textId="790047FF" w:rsidR="007333B9" w:rsidRPr="00701439" w:rsidRDefault="007333B9" w:rsidP="007333B9">
            <w:pPr>
              <w:jc w:val="right"/>
              <w:rPr>
                <w:rFonts w:asciiTheme="minorHAnsi" w:hAnsiTheme="minorHAnsi" w:cstheme="minorHAnsi"/>
                <w:color w:val="000000"/>
                <w:sz w:val="20"/>
                <w:szCs w:val="20"/>
              </w:rPr>
            </w:pPr>
          </w:p>
        </w:tc>
      </w:tr>
      <w:tr w:rsidR="007333B9" w:rsidRPr="00701439" w14:paraId="2604D58B" w14:textId="77777777" w:rsidTr="0002541E">
        <w:trPr>
          <w:trHeight w:val="288"/>
        </w:trPr>
        <w:tc>
          <w:tcPr>
            <w:tcW w:w="2080" w:type="pct"/>
            <w:tcBorders>
              <w:top w:val="nil"/>
              <w:left w:val="nil"/>
              <w:right w:val="nil"/>
            </w:tcBorders>
            <w:shd w:val="clear" w:color="auto" w:fill="auto"/>
            <w:noWrap/>
            <w:vAlign w:val="bottom"/>
            <w:hideMark/>
          </w:tcPr>
          <w:p w14:paraId="0646E256" w14:textId="77777777" w:rsidR="007333B9" w:rsidRPr="00701439" w:rsidRDefault="007333B9" w:rsidP="007333B9">
            <w:pPr>
              <w:jc w:val="right"/>
              <w:rPr>
                <w:rFonts w:asciiTheme="minorHAnsi" w:hAnsiTheme="minorHAnsi" w:cstheme="minorHAnsi"/>
                <w:color w:val="000000"/>
                <w:sz w:val="20"/>
                <w:szCs w:val="20"/>
              </w:rPr>
            </w:pPr>
          </w:p>
        </w:tc>
        <w:tc>
          <w:tcPr>
            <w:tcW w:w="584" w:type="pct"/>
            <w:tcBorders>
              <w:top w:val="nil"/>
              <w:left w:val="nil"/>
              <w:right w:val="nil"/>
            </w:tcBorders>
            <w:shd w:val="clear" w:color="auto" w:fill="auto"/>
            <w:noWrap/>
            <w:vAlign w:val="bottom"/>
            <w:hideMark/>
          </w:tcPr>
          <w:p w14:paraId="6865A627" w14:textId="77777777" w:rsidR="007333B9" w:rsidRPr="00701439" w:rsidRDefault="007333B9" w:rsidP="007333B9">
            <w:pPr>
              <w:rPr>
                <w:rFonts w:asciiTheme="minorHAnsi" w:hAnsiTheme="minorHAnsi" w:cstheme="minorHAnsi"/>
                <w:sz w:val="20"/>
                <w:szCs w:val="20"/>
              </w:rPr>
            </w:pPr>
          </w:p>
        </w:tc>
        <w:tc>
          <w:tcPr>
            <w:tcW w:w="584" w:type="pct"/>
            <w:tcBorders>
              <w:top w:val="nil"/>
              <w:left w:val="nil"/>
              <w:right w:val="nil"/>
            </w:tcBorders>
            <w:shd w:val="clear" w:color="auto" w:fill="auto"/>
            <w:noWrap/>
            <w:vAlign w:val="bottom"/>
            <w:hideMark/>
          </w:tcPr>
          <w:p w14:paraId="1EA406C1" w14:textId="77777777" w:rsidR="007333B9" w:rsidRPr="00701439" w:rsidRDefault="007333B9" w:rsidP="007333B9">
            <w:pPr>
              <w:rPr>
                <w:rFonts w:asciiTheme="minorHAnsi" w:hAnsiTheme="minorHAnsi" w:cstheme="minorHAnsi"/>
                <w:sz w:val="20"/>
                <w:szCs w:val="20"/>
              </w:rPr>
            </w:pPr>
          </w:p>
        </w:tc>
        <w:tc>
          <w:tcPr>
            <w:tcW w:w="584" w:type="pct"/>
            <w:tcBorders>
              <w:top w:val="nil"/>
              <w:left w:val="nil"/>
              <w:right w:val="nil"/>
            </w:tcBorders>
            <w:shd w:val="clear" w:color="auto" w:fill="auto"/>
            <w:noWrap/>
            <w:vAlign w:val="bottom"/>
            <w:hideMark/>
          </w:tcPr>
          <w:p w14:paraId="15A3D2C3" w14:textId="77777777" w:rsidR="007333B9" w:rsidRPr="00701439" w:rsidRDefault="007333B9" w:rsidP="007333B9">
            <w:pPr>
              <w:rPr>
                <w:rFonts w:asciiTheme="minorHAnsi" w:hAnsiTheme="minorHAnsi" w:cstheme="minorHAnsi"/>
                <w:sz w:val="20"/>
                <w:szCs w:val="20"/>
              </w:rPr>
            </w:pPr>
          </w:p>
        </w:tc>
        <w:tc>
          <w:tcPr>
            <w:tcW w:w="584" w:type="pct"/>
            <w:tcBorders>
              <w:top w:val="nil"/>
              <w:left w:val="nil"/>
              <w:right w:val="nil"/>
            </w:tcBorders>
            <w:shd w:val="clear" w:color="auto" w:fill="auto"/>
            <w:noWrap/>
            <w:vAlign w:val="bottom"/>
            <w:hideMark/>
          </w:tcPr>
          <w:p w14:paraId="48D9429B" w14:textId="77777777" w:rsidR="007333B9" w:rsidRPr="00701439" w:rsidRDefault="007333B9" w:rsidP="007333B9">
            <w:pPr>
              <w:rPr>
                <w:rFonts w:asciiTheme="minorHAnsi" w:hAnsiTheme="minorHAnsi" w:cstheme="minorHAnsi"/>
                <w:sz w:val="20"/>
                <w:szCs w:val="20"/>
              </w:rPr>
            </w:pPr>
          </w:p>
        </w:tc>
        <w:tc>
          <w:tcPr>
            <w:tcW w:w="584" w:type="pct"/>
            <w:tcBorders>
              <w:top w:val="nil"/>
              <w:left w:val="nil"/>
              <w:right w:val="nil"/>
            </w:tcBorders>
            <w:shd w:val="clear" w:color="auto" w:fill="auto"/>
            <w:noWrap/>
            <w:vAlign w:val="bottom"/>
            <w:hideMark/>
          </w:tcPr>
          <w:p w14:paraId="51DCFDE3" w14:textId="77777777" w:rsidR="007333B9" w:rsidRPr="00701439" w:rsidRDefault="007333B9" w:rsidP="007333B9">
            <w:pPr>
              <w:rPr>
                <w:rFonts w:asciiTheme="minorHAnsi" w:hAnsiTheme="minorHAnsi" w:cstheme="minorHAnsi"/>
                <w:sz w:val="20"/>
                <w:szCs w:val="20"/>
              </w:rPr>
            </w:pPr>
          </w:p>
        </w:tc>
      </w:tr>
      <w:tr w:rsidR="00F350EE" w:rsidRPr="00701439" w14:paraId="4C77F032" w14:textId="77777777" w:rsidTr="0002541E">
        <w:trPr>
          <w:trHeight w:val="288"/>
        </w:trPr>
        <w:tc>
          <w:tcPr>
            <w:tcW w:w="2080" w:type="pct"/>
            <w:tcBorders>
              <w:top w:val="nil"/>
              <w:left w:val="nil"/>
              <w:right w:val="nil"/>
            </w:tcBorders>
            <w:shd w:val="clear" w:color="auto" w:fill="auto"/>
            <w:noWrap/>
            <w:vAlign w:val="bottom"/>
            <w:hideMark/>
          </w:tcPr>
          <w:p w14:paraId="2280F470" w14:textId="77777777" w:rsidR="00F350EE" w:rsidRPr="00701439" w:rsidRDefault="00F350EE" w:rsidP="00F350EE">
            <w:pPr>
              <w:rPr>
                <w:rFonts w:asciiTheme="minorHAnsi" w:hAnsiTheme="minorHAnsi" w:cstheme="minorHAnsi"/>
                <w:b/>
                <w:bCs/>
                <w:color w:val="000000"/>
                <w:sz w:val="20"/>
                <w:szCs w:val="20"/>
              </w:rPr>
            </w:pPr>
            <w:r w:rsidRPr="00701439">
              <w:rPr>
                <w:rFonts w:asciiTheme="minorHAnsi" w:hAnsiTheme="minorHAnsi" w:cstheme="minorHAnsi"/>
                <w:b/>
                <w:bCs/>
                <w:color w:val="000000"/>
                <w:sz w:val="20"/>
                <w:szCs w:val="20"/>
              </w:rPr>
              <w:t>Description</w:t>
            </w:r>
          </w:p>
        </w:tc>
        <w:tc>
          <w:tcPr>
            <w:tcW w:w="584" w:type="pct"/>
            <w:tcBorders>
              <w:top w:val="nil"/>
              <w:left w:val="nil"/>
              <w:right w:val="nil"/>
            </w:tcBorders>
            <w:shd w:val="clear" w:color="auto" w:fill="auto"/>
            <w:noWrap/>
            <w:vAlign w:val="bottom"/>
            <w:hideMark/>
          </w:tcPr>
          <w:p w14:paraId="482E3658" w14:textId="77777777" w:rsidR="00F350EE" w:rsidRPr="00701439" w:rsidRDefault="00F350EE" w:rsidP="00F350EE">
            <w:pPr>
              <w:rPr>
                <w:rFonts w:asciiTheme="minorHAnsi" w:hAnsiTheme="minorHAnsi" w:cstheme="minorHAnsi"/>
                <w:color w:val="000000"/>
                <w:sz w:val="20"/>
                <w:szCs w:val="20"/>
              </w:rPr>
            </w:pPr>
            <w:r w:rsidRPr="00701439">
              <w:rPr>
                <w:rFonts w:asciiTheme="minorHAnsi" w:hAnsiTheme="minorHAnsi" w:cstheme="minorHAnsi"/>
                <w:color w:val="000000"/>
                <w:sz w:val="20"/>
                <w:szCs w:val="20"/>
              </w:rPr>
              <w:t> </w:t>
            </w:r>
          </w:p>
        </w:tc>
        <w:tc>
          <w:tcPr>
            <w:tcW w:w="584" w:type="pct"/>
            <w:tcBorders>
              <w:top w:val="nil"/>
              <w:left w:val="nil"/>
              <w:right w:val="nil"/>
            </w:tcBorders>
            <w:shd w:val="clear" w:color="auto" w:fill="auto"/>
            <w:noWrap/>
            <w:vAlign w:val="bottom"/>
            <w:hideMark/>
          </w:tcPr>
          <w:p w14:paraId="2FE796A7" w14:textId="77777777" w:rsidR="00F350EE" w:rsidRPr="00701439" w:rsidRDefault="00F350EE" w:rsidP="00F350EE">
            <w:pPr>
              <w:rPr>
                <w:rFonts w:asciiTheme="minorHAnsi" w:hAnsiTheme="minorHAnsi" w:cstheme="minorHAnsi"/>
                <w:color w:val="000000"/>
                <w:sz w:val="20"/>
                <w:szCs w:val="20"/>
              </w:rPr>
            </w:pPr>
            <w:r w:rsidRPr="00701439">
              <w:rPr>
                <w:rFonts w:asciiTheme="minorHAnsi" w:hAnsiTheme="minorHAnsi" w:cstheme="minorHAnsi"/>
                <w:color w:val="000000"/>
                <w:sz w:val="20"/>
                <w:szCs w:val="20"/>
              </w:rPr>
              <w:t> </w:t>
            </w:r>
          </w:p>
        </w:tc>
        <w:tc>
          <w:tcPr>
            <w:tcW w:w="584" w:type="pct"/>
            <w:tcBorders>
              <w:top w:val="nil"/>
              <w:left w:val="nil"/>
              <w:right w:val="nil"/>
            </w:tcBorders>
            <w:shd w:val="clear" w:color="auto" w:fill="auto"/>
            <w:noWrap/>
            <w:vAlign w:val="bottom"/>
            <w:hideMark/>
          </w:tcPr>
          <w:p w14:paraId="628B3F7C" w14:textId="77777777" w:rsidR="00F350EE" w:rsidRPr="00701439" w:rsidRDefault="00F350EE" w:rsidP="00F350EE">
            <w:pPr>
              <w:rPr>
                <w:rFonts w:asciiTheme="minorHAnsi" w:hAnsiTheme="minorHAnsi" w:cstheme="minorHAnsi"/>
                <w:color w:val="000000"/>
                <w:sz w:val="20"/>
                <w:szCs w:val="20"/>
              </w:rPr>
            </w:pPr>
            <w:r w:rsidRPr="00701439">
              <w:rPr>
                <w:rFonts w:asciiTheme="minorHAnsi" w:hAnsiTheme="minorHAnsi" w:cstheme="minorHAnsi"/>
                <w:color w:val="000000"/>
                <w:sz w:val="20"/>
                <w:szCs w:val="20"/>
              </w:rPr>
              <w:t> </w:t>
            </w:r>
          </w:p>
        </w:tc>
        <w:tc>
          <w:tcPr>
            <w:tcW w:w="584" w:type="pct"/>
            <w:tcBorders>
              <w:top w:val="nil"/>
              <w:left w:val="nil"/>
              <w:bottom w:val="single" w:sz="4" w:space="0" w:color="auto"/>
              <w:right w:val="nil"/>
            </w:tcBorders>
            <w:shd w:val="clear" w:color="auto" w:fill="auto"/>
            <w:noWrap/>
            <w:vAlign w:val="bottom"/>
            <w:hideMark/>
          </w:tcPr>
          <w:p w14:paraId="2881EE79" w14:textId="77777777" w:rsidR="00F350EE" w:rsidRPr="00701439" w:rsidRDefault="00F350EE" w:rsidP="00F350EE">
            <w:pPr>
              <w:jc w:val="right"/>
              <w:rPr>
                <w:rFonts w:asciiTheme="minorHAnsi" w:hAnsiTheme="minorHAnsi" w:cstheme="minorHAnsi"/>
                <w:color w:val="000000"/>
                <w:sz w:val="20"/>
                <w:szCs w:val="20"/>
              </w:rPr>
            </w:pPr>
            <w:r w:rsidRPr="00701439">
              <w:rPr>
                <w:rFonts w:asciiTheme="minorHAnsi" w:hAnsiTheme="minorHAnsi" w:cstheme="minorHAnsi"/>
                <w:color w:val="000000"/>
                <w:sz w:val="20"/>
                <w:szCs w:val="20"/>
              </w:rPr>
              <w:t>2022</w:t>
            </w:r>
          </w:p>
          <w:p w14:paraId="130F6871" w14:textId="26E2AB0B" w:rsidR="00F350EE" w:rsidRPr="00701439" w:rsidRDefault="00F350EE" w:rsidP="00F350EE">
            <w:pPr>
              <w:jc w:val="right"/>
              <w:rPr>
                <w:rFonts w:asciiTheme="minorHAnsi" w:hAnsiTheme="minorHAnsi" w:cstheme="minorHAnsi"/>
                <w:color w:val="000000"/>
                <w:sz w:val="20"/>
                <w:szCs w:val="20"/>
              </w:rPr>
            </w:pPr>
            <w:r w:rsidRPr="00701439">
              <w:rPr>
                <w:rFonts w:asciiTheme="minorHAnsi" w:hAnsiTheme="minorHAnsi" w:cs="Arial"/>
                <w:sz w:val="20"/>
                <w:szCs w:val="20"/>
              </w:rPr>
              <w:t>£m </w:t>
            </w:r>
          </w:p>
        </w:tc>
        <w:tc>
          <w:tcPr>
            <w:tcW w:w="584" w:type="pct"/>
            <w:tcBorders>
              <w:top w:val="nil"/>
              <w:left w:val="nil"/>
              <w:bottom w:val="single" w:sz="4" w:space="0" w:color="auto"/>
              <w:right w:val="nil"/>
            </w:tcBorders>
            <w:shd w:val="clear" w:color="auto" w:fill="auto"/>
            <w:noWrap/>
            <w:vAlign w:val="bottom"/>
            <w:hideMark/>
          </w:tcPr>
          <w:p w14:paraId="6EED289A" w14:textId="77777777" w:rsidR="00F350EE" w:rsidRPr="00701439" w:rsidRDefault="00F350EE" w:rsidP="00F350EE">
            <w:pPr>
              <w:jc w:val="right"/>
              <w:rPr>
                <w:rFonts w:asciiTheme="minorHAnsi" w:hAnsiTheme="minorHAnsi" w:cstheme="minorHAnsi"/>
                <w:color w:val="000000"/>
                <w:sz w:val="20"/>
                <w:szCs w:val="20"/>
              </w:rPr>
            </w:pPr>
            <w:r w:rsidRPr="00701439">
              <w:rPr>
                <w:rFonts w:asciiTheme="minorHAnsi" w:hAnsiTheme="minorHAnsi" w:cstheme="minorHAnsi"/>
                <w:color w:val="000000"/>
                <w:sz w:val="20"/>
                <w:szCs w:val="20"/>
              </w:rPr>
              <w:t>2021</w:t>
            </w:r>
          </w:p>
          <w:p w14:paraId="51267C35" w14:textId="0851EE25" w:rsidR="00F350EE" w:rsidRPr="00701439" w:rsidRDefault="00F350EE" w:rsidP="00F350EE">
            <w:pPr>
              <w:jc w:val="right"/>
              <w:rPr>
                <w:rFonts w:asciiTheme="minorHAnsi" w:hAnsiTheme="minorHAnsi" w:cstheme="minorHAnsi"/>
                <w:color w:val="000000"/>
                <w:sz w:val="20"/>
                <w:szCs w:val="20"/>
              </w:rPr>
            </w:pPr>
            <w:r w:rsidRPr="00701439">
              <w:rPr>
                <w:rFonts w:asciiTheme="minorHAnsi" w:hAnsiTheme="minorHAnsi" w:cs="Arial"/>
                <w:sz w:val="20"/>
                <w:szCs w:val="20"/>
              </w:rPr>
              <w:t>£m</w:t>
            </w:r>
          </w:p>
        </w:tc>
      </w:tr>
      <w:tr w:rsidR="00F350EE" w:rsidRPr="00701439" w14:paraId="38A8839D" w14:textId="77777777" w:rsidTr="0002541E">
        <w:trPr>
          <w:trHeight w:val="288"/>
        </w:trPr>
        <w:tc>
          <w:tcPr>
            <w:tcW w:w="2080" w:type="pct"/>
            <w:tcBorders>
              <w:top w:val="nil"/>
              <w:left w:val="nil"/>
              <w:bottom w:val="nil"/>
              <w:right w:val="nil"/>
            </w:tcBorders>
            <w:shd w:val="clear" w:color="auto" w:fill="auto"/>
            <w:noWrap/>
            <w:vAlign w:val="bottom"/>
            <w:hideMark/>
          </w:tcPr>
          <w:p w14:paraId="30467A11" w14:textId="6F4BECFB" w:rsidR="00F350EE" w:rsidRPr="00701439" w:rsidRDefault="00F350EE" w:rsidP="00F350EE">
            <w:pPr>
              <w:rPr>
                <w:rFonts w:asciiTheme="minorHAnsi" w:hAnsiTheme="minorHAnsi" w:cstheme="minorHAnsi"/>
                <w:color w:val="000000"/>
                <w:sz w:val="20"/>
                <w:szCs w:val="20"/>
              </w:rPr>
            </w:pPr>
            <w:r w:rsidRPr="00701439">
              <w:rPr>
                <w:rFonts w:asciiTheme="minorHAnsi" w:hAnsiTheme="minorHAnsi" w:cstheme="minorHAnsi"/>
                <w:color w:val="000000"/>
                <w:sz w:val="20"/>
                <w:szCs w:val="20"/>
              </w:rPr>
              <w:t>In-model overlays</w:t>
            </w:r>
            <w:r w:rsidR="005352E0" w:rsidRPr="00701439">
              <w:rPr>
                <w:rFonts w:asciiTheme="minorHAnsi" w:hAnsiTheme="minorHAnsi" w:cstheme="minorHAnsi"/>
                <w:color w:val="000000"/>
                <w:sz w:val="20"/>
                <w:szCs w:val="20"/>
              </w:rPr>
              <w:t>:</w:t>
            </w:r>
          </w:p>
        </w:tc>
        <w:tc>
          <w:tcPr>
            <w:tcW w:w="584" w:type="pct"/>
            <w:tcBorders>
              <w:top w:val="nil"/>
              <w:left w:val="nil"/>
              <w:bottom w:val="nil"/>
              <w:right w:val="nil"/>
            </w:tcBorders>
            <w:shd w:val="clear" w:color="auto" w:fill="auto"/>
            <w:noWrap/>
            <w:vAlign w:val="bottom"/>
            <w:hideMark/>
          </w:tcPr>
          <w:p w14:paraId="1AC5B818" w14:textId="77777777" w:rsidR="00F350EE" w:rsidRPr="00701439" w:rsidRDefault="00F350EE" w:rsidP="00F350EE">
            <w:pPr>
              <w:rPr>
                <w:rFonts w:asciiTheme="minorHAnsi" w:hAnsiTheme="minorHAnsi" w:cstheme="minorHAnsi"/>
                <w:color w:val="000000"/>
                <w:sz w:val="20"/>
                <w:szCs w:val="20"/>
              </w:rPr>
            </w:pPr>
          </w:p>
        </w:tc>
        <w:tc>
          <w:tcPr>
            <w:tcW w:w="584" w:type="pct"/>
            <w:tcBorders>
              <w:top w:val="nil"/>
              <w:left w:val="nil"/>
              <w:bottom w:val="nil"/>
              <w:right w:val="nil"/>
            </w:tcBorders>
            <w:shd w:val="clear" w:color="auto" w:fill="auto"/>
            <w:noWrap/>
            <w:vAlign w:val="bottom"/>
            <w:hideMark/>
          </w:tcPr>
          <w:p w14:paraId="2E3422FF" w14:textId="77777777" w:rsidR="00F350EE" w:rsidRPr="00701439" w:rsidRDefault="00F350EE" w:rsidP="00F350EE">
            <w:pPr>
              <w:rPr>
                <w:rFonts w:asciiTheme="minorHAnsi" w:hAnsiTheme="minorHAnsi" w:cstheme="minorHAnsi"/>
                <w:sz w:val="20"/>
                <w:szCs w:val="20"/>
              </w:rPr>
            </w:pPr>
          </w:p>
        </w:tc>
        <w:tc>
          <w:tcPr>
            <w:tcW w:w="584" w:type="pct"/>
            <w:tcBorders>
              <w:top w:val="nil"/>
              <w:left w:val="nil"/>
              <w:bottom w:val="nil"/>
              <w:right w:val="nil"/>
            </w:tcBorders>
            <w:shd w:val="clear" w:color="auto" w:fill="auto"/>
            <w:noWrap/>
            <w:vAlign w:val="bottom"/>
            <w:hideMark/>
          </w:tcPr>
          <w:p w14:paraId="212F65E8" w14:textId="77777777" w:rsidR="00F350EE" w:rsidRPr="00701439" w:rsidRDefault="00F350EE" w:rsidP="00F350EE">
            <w:pPr>
              <w:rPr>
                <w:rFonts w:asciiTheme="minorHAnsi" w:hAnsiTheme="minorHAnsi" w:cstheme="minorHAnsi"/>
                <w:sz w:val="20"/>
                <w:szCs w:val="20"/>
              </w:rPr>
            </w:pPr>
          </w:p>
        </w:tc>
        <w:tc>
          <w:tcPr>
            <w:tcW w:w="584" w:type="pct"/>
            <w:tcBorders>
              <w:top w:val="single" w:sz="4" w:space="0" w:color="auto"/>
              <w:left w:val="nil"/>
              <w:right w:val="nil"/>
            </w:tcBorders>
            <w:shd w:val="clear" w:color="auto" w:fill="auto"/>
            <w:noWrap/>
            <w:vAlign w:val="bottom"/>
            <w:hideMark/>
          </w:tcPr>
          <w:p w14:paraId="326543E2" w14:textId="77777777" w:rsidR="00F350EE" w:rsidRPr="00701439" w:rsidRDefault="00F350EE" w:rsidP="00F350EE">
            <w:pPr>
              <w:rPr>
                <w:rFonts w:asciiTheme="minorHAnsi" w:hAnsiTheme="minorHAnsi" w:cstheme="minorHAnsi"/>
                <w:sz w:val="20"/>
                <w:szCs w:val="20"/>
              </w:rPr>
            </w:pPr>
          </w:p>
        </w:tc>
        <w:tc>
          <w:tcPr>
            <w:tcW w:w="584" w:type="pct"/>
            <w:tcBorders>
              <w:top w:val="single" w:sz="4" w:space="0" w:color="auto"/>
              <w:left w:val="nil"/>
              <w:right w:val="nil"/>
            </w:tcBorders>
            <w:shd w:val="clear" w:color="auto" w:fill="auto"/>
            <w:noWrap/>
            <w:vAlign w:val="bottom"/>
            <w:hideMark/>
          </w:tcPr>
          <w:p w14:paraId="71E9FD54" w14:textId="77777777" w:rsidR="00F350EE" w:rsidRPr="00701439" w:rsidRDefault="00F350EE" w:rsidP="00F350EE">
            <w:pPr>
              <w:rPr>
                <w:rFonts w:asciiTheme="minorHAnsi" w:hAnsiTheme="minorHAnsi" w:cstheme="minorHAnsi"/>
                <w:sz w:val="20"/>
                <w:szCs w:val="20"/>
              </w:rPr>
            </w:pPr>
          </w:p>
        </w:tc>
      </w:tr>
      <w:tr w:rsidR="00F350EE" w:rsidRPr="00701439" w14:paraId="3D555265" w14:textId="77777777" w:rsidTr="0002541E">
        <w:trPr>
          <w:trHeight w:val="288"/>
        </w:trPr>
        <w:tc>
          <w:tcPr>
            <w:tcW w:w="2080" w:type="pct"/>
            <w:tcBorders>
              <w:left w:val="nil"/>
              <w:right w:val="nil"/>
            </w:tcBorders>
            <w:shd w:val="clear" w:color="auto" w:fill="auto"/>
            <w:noWrap/>
            <w:vAlign w:val="bottom"/>
            <w:hideMark/>
          </w:tcPr>
          <w:p w14:paraId="62ED58BE" w14:textId="4A29C7F3" w:rsidR="00F350EE" w:rsidRPr="00701439" w:rsidRDefault="00F350EE" w:rsidP="00F350EE">
            <w:pPr>
              <w:rPr>
                <w:rFonts w:asciiTheme="minorHAnsi" w:hAnsiTheme="minorHAnsi" w:cstheme="minorHAnsi"/>
                <w:b/>
                <w:bCs/>
                <w:color w:val="000000"/>
                <w:sz w:val="20"/>
                <w:szCs w:val="20"/>
              </w:rPr>
            </w:pPr>
            <w:r w:rsidRPr="00701439">
              <w:rPr>
                <w:rFonts w:asciiTheme="minorHAnsi" w:hAnsiTheme="minorHAnsi" w:cstheme="minorHAnsi"/>
                <w:b/>
                <w:bCs/>
                <w:color w:val="000000"/>
                <w:sz w:val="20"/>
                <w:szCs w:val="20"/>
              </w:rPr>
              <w:t xml:space="preserve">Total </w:t>
            </w:r>
            <w:r w:rsidR="005352E0" w:rsidRPr="00701439">
              <w:rPr>
                <w:rFonts w:asciiTheme="minorHAnsi" w:hAnsiTheme="minorHAnsi" w:cstheme="minorHAnsi"/>
                <w:b/>
                <w:bCs/>
                <w:color w:val="000000"/>
                <w:sz w:val="20"/>
                <w:szCs w:val="20"/>
              </w:rPr>
              <w:t>i</w:t>
            </w:r>
            <w:r w:rsidRPr="00701439">
              <w:rPr>
                <w:rFonts w:asciiTheme="minorHAnsi" w:hAnsiTheme="minorHAnsi" w:cstheme="minorHAnsi"/>
                <w:b/>
                <w:bCs/>
                <w:color w:val="000000"/>
                <w:sz w:val="20"/>
                <w:szCs w:val="20"/>
              </w:rPr>
              <w:t>n-model overlays</w:t>
            </w:r>
          </w:p>
        </w:tc>
        <w:tc>
          <w:tcPr>
            <w:tcW w:w="584" w:type="pct"/>
            <w:tcBorders>
              <w:left w:val="nil"/>
              <w:right w:val="nil"/>
            </w:tcBorders>
            <w:shd w:val="clear" w:color="auto" w:fill="auto"/>
            <w:noWrap/>
            <w:vAlign w:val="bottom"/>
            <w:hideMark/>
          </w:tcPr>
          <w:p w14:paraId="46724E3C" w14:textId="77777777" w:rsidR="00F350EE" w:rsidRPr="00701439" w:rsidRDefault="00F350EE" w:rsidP="00F350EE">
            <w:pPr>
              <w:rPr>
                <w:rFonts w:asciiTheme="minorHAnsi" w:hAnsiTheme="minorHAnsi" w:cstheme="minorHAnsi"/>
                <w:b/>
                <w:bCs/>
                <w:color w:val="000000"/>
                <w:sz w:val="20"/>
                <w:szCs w:val="20"/>
              </w:rPr>
            </w:pPr>
            <w:r w:rsidRPr="00701439">
              <w:rPr>
                <w:rFonts w:asciiTheme="minorHAnsi" w:hAnsiTheme="minorHAnsi" w:cstheme="minorHAnsi"/>
                <w:b/>
                <w:bCs/>
                <w:color w:val="000000"/>
                <w:sz w:val="20"/>
                <w:szCs w:val="20"/>
              </w:rPr>
              <w:t> </w:t>
            </w:r>
          </w:p>
        </w:tc>
        <w:tc>
          <w:tcPr>
            <w:tcW w:w="584" w:type="pct"/>
            <w:tcBorders>
              <w:left w:val="nil"/>
              <w:right w:val="nil"/>
            </w:tcBorders>
            <w:shd w:val="clear" w:color="auto" w:fill="auto"/>
            <w:noWrap/>
            <w:vAlign w:val="bottom"/>
            <w:hideMark/>
          </w:tcPr>
          <w:p w14:paraId="2A302C24" w14:textId="77777777" w:rsidR="00F350EE" w:rsidRPr="00701439" w:rsidRDefault="00F350EE" w:rsidP="00F350EE">
            <w:pPr>
              <w:rPr>
                <w:rFonts w:asciiTheme="minorHAnsi" w:hAnsiTheme="minorHAnsi" w:cstheme="minorHAnsi"/>
                <w:b/>
                <w:bCs/>
                <w:color w:val="000000"/>
                <w:sz w:val="20"/>
                <w:szCs w:val="20"/>
              </w:rPr>
            </w:pPr>
            <w:r w:rsidRPr="00701439">
              <w:rPr>
                <w:rFonts w:asciiTheme="minorHAnsi" w:hAnsiTheme="minorHAnsi" w:cstheme="minorHAnsi"/>
                <w:b/>
                <w:bCs/>
                <w:color w:val="000000"/>
                <w:sz w:val="20"/>
                <w:szCs w:val="20"/>
              </w:rPr>
              <w:t> </w:t>
            </w:r>
          </w:p>
        </w:tc>
        <w:tc>
          <w:tcPr>
            <w:tcW w:w="584" w:type="pct"/>
            <w:tcBorders>
              <w:left w:val="nil"/>
              <w:right w:val="nil"/>
            </w:tcBorders>
            <w:shd w:val="clear" w:color="auto" w:fill="auto"/>
            <w:noWrap/>
            <w:vAlign w:val="bottom"/>
            <w:hideMark/>
          </w:tcPr>
          <w:p w14:paraId="151A1A7A" w14:textId="77777777" w:rsidR="00F350EE" w:rsidRPr="00701439" w:rsidRDefault="00F350EE" w:rsidP="00F350EE">
            <w:pPr>
              <w:rPr>
                <w:rFonts w:asciiTheme="minorHAnsi" w:hAnsiTheme="minorHAnsi" w:cstheme="minorHAnsi"/>
                <w:b/>
                <w:bCs/>
                <w:color w:val="000000"/>
                <w:sz w:val="20"/>
                <w:szCs w:val="20"/>
              </w:rPr>
            </w:pPr>
            <w:r w:rsidRPr="00701439">
              <w:rPr>
                <w:rFonts w:asciiTheme="minorHAnsi" w:hAnsiTheme="minorHAnsi" w:cstheme="minorHAnsi"/>
                <w:b/>
                <w:bCs/>
                <w:color w:val="000000"/>
                <w:sz w:val="20"/>
                <w:szCs w:val="20"/>
              </w:rPr>
              <w:t> </w:t>
            </w:r>
          </w:p>
        </w:tc>
        <w:tc>
          <w:tcPr>
            <w:tcW w:w="584" w:type="pct"/>
            <w:tcBorders>
              <w:left w:val="nil"/>
              <w:bottom w:val="single" w:sz="4" w:space="0" w:color="auto"/>
              <w:right w:val="nil"/>
            </w:tcBorders>
            <w:shd w:val="clear" w:color="auto" w:fill="auto"/>
            <w:noWrap/>
            <w:vAlign w:val="bottom"/>
            <w:hideMark/>
          </w:tcPr>
          <w:p w14:paraId="2576730B" w14:textId="0C1FF8F6" w:rsidR="00F350EE" w:rsidRPr="00701439" w:rsidRDefault="00F350EE" w:rsidP="00F350EE">
            <w:pPr>
              <w:jc w:val="right"/>
              <w:rPr>
                <w:rFonts w:asciiTheme="minorHAnsi" w:hAnsiTheme="minorHAnsi" w:cstheme="minorHAnsi"/>
                <w:b/>
                <w:bCs/>
                <w:color w:val="000000"/>
                <w:sz w:val="20"/>
                <w:szCs w:val="20"/>
              </w:rPr>
            </w:pPr>
            <w:r w:rsidRPr="00701439">
              <w:rPr>
                <w:rFonts w:asciiTheme="minorHAnsi" w:hAnsiTheme="minorHAnsi" w:cstheme="minorHAnsi"/>
                <w:b/>
                <w:bCs/>
                <w:color w:val="000000"/>
                <w:sz w:val="20"/>
                <w:szCs w:val="20"/>
              </w:rPr>
              <w:t>-</w:t>
            </w:r>
          </w:p>
        </w:tc>
        <w:tc>
          <w:tcPr>
            <w:tcW w:w="584" w:type="pct"/>
            <w:tcBorders>
              <w:left w:val="nil"/>
              <w:bottom w:val="single" w:sz="4" w:space="0" w:color="auto"/>
              <w:right w:val="nil"/>
            </w:tcBorders>
            <w:shd w:val="clear" w:color="auto" w:fill="auto"/>
            <w:noWrap/>
            <w:vAlign w:val="bottom"/>
            <w:hideMark/>
          </w:tcPr>
          <w:p w14:paraId="4C2833BA" w14:textId="7F66F0A3" w:rsidR="00F350EE" w:rsidRPr="00701439" w:rsidRDefault="00F350EE" w:rsidP="00F350EE">
            <w:pPr>
              <w:jc w:val="right"/>
              <w:rPr>
                <w:rFonts w:asciiTheme="minorHAnsi" w:hAnsiTheme="minorHAnsi" w:cstheme="minorHAnsi"/>
                <w:b/>
                <w:bCs/>
                <w:color w:val="000000"/>
                <w:sz w:val="20"/>
                <w:szCs w:val="20"/>
              </w:rPr>
            </w:pPr>
            <w:r w:rsidRPr="00701439">
              <w:rPr>
                <w:rFonts w:asciiTheme="minorHAnsi" w:hAnsiTheme="minorHAnsi" w:cstheme="minorHAnsi"/>
                <w:b/>
                <w:bCs/>
                <w:color w:val="000000"/>
                <w:sz w:val="20"/>
                <w:szCs w:val="20"/>
              </w:rPr>
              <w:t>-</w:t>
            </w:r>
          </w:p>
        </w:tc>
      </w:tr>
      <w:tr w:rsidR="00F350EE" w:rsidRPr="00701439" w14:paraId="1500FA91" w14:textId="77777777" w:rsidTr="0002541E">
        <w:trPr>
          <w:trHeight w:val="288"/>
        </w:trPr>
        <w:tc>
          <w:tcPr>
            <w:tcW w:w="2080" w:type="pct"/>
            <w:tcBorders>
              <w:left w:val="nil"/>
              <w:right w:val="nil"/>
            </w:tcBorders>
            <w:shd w:val="clear" w:color="auto" w:fill="auto"/>
            <w:noWrap/>
            <w:vAlign w:val="bottom"/>
            <w:hideMark/>
          </w:tcPr>
          <w:p w14:paraId="0D46AEC8" w14:textId="77777777" w:rsidR="00F350EE" w:rsidRPr="00701439" w:rsidRDefault="00F350EE" w:rsidP="00F350EE">
            <w:pPr>
              <w:jc w:val="right"/>
              <w:rPr>
                <w:rFonts w:asciiTheme="minorHAnsi" w:hAnsiTheme="minorHAnsi" w:cstheme="minorHAnsi"/>
                <w:b/>
                <w:bCs/>
                <w:color w:val="000000"/>
                <w:sz w:val="20"/>
                <w:szCs w:val="20"/>
              </w:rPr>
            </w:pPr>
          </w:p>
        </w:tc>
        <w:tc>
          <w:tcPr>
            <w:tcW w:w="584" w:type="pct"/>
            <w:tcBorders>
              <w:left w:val="nil"/>
              <w:right w:val="nil"/>
            </w:tcBorders>
            <w:shd w:val="clear" w:color="auto" w:fill="auto"/>
            <w:noWrap/>
            <w:vAlign w:val="bottom"/>
            <w:hideMark/>
          </w:tcPr>
          <w:p w14:paraId="6BABEA12" w14:textId="77777777" w:rsidR="00F350EE" w:rsidRPr="00701439" w:rsidRDefault="00F350EE" w:rsidP="00F350EE">
            <w:pPr>
              <w:rPr>
                <w:rFonts w:asciiTheme="minorHAnsi" w:hAnsiTheme="minorHAnsi" w:cstheme="minorHAnsi"/>
                <w:sz w:val="20"/>
                <w:szCs w:val="20"/>
              </w:rPr>
            </w:pPr>
          </w:p>
        </w:tc>
        <w:tc>
          <w:tcPr>
            <w:tcW w:w="584" w:type="pct"/>
            <w:tcBorders>
              <w:left w:val="nil"/>
              <w:right w:val="nil"/>
            </w:tcBorders>
            <w:shd w:val="clear" w:color="auto" w:fill="auto"/>
            <w:noWrap/>
            <w:vAlign w:val="bottom"/>
            <w:hideMark/>
          </w:tcPr>
          <w:p w14:paraId="3D3FB651" w14:textId="77777777" w:rsidR="00F350EE" w:rsidRPr="00701439" w:rsidRDefault="00F350EE" w:rsidP="00F350EE">
            <w:pPr>
              <w:rPr>
                <w:rFonts w:asciiTheme="minorHAnsi" w:hAnsiTheme="minorHAnsi" w:cstheme="minorHAnsi"/>
                <w:sz w:val="20"/>
                <w:szCs w:val="20"/>
              </w:rPr>
            </w:pPr>
          </w:p>
        </w:tc>
        <w:tc>
          <w:tcPr>
            <w:tcW w:w="584" w:type="pct"/>
            <w:tcBorders>
              <w:left w:val="nil"/>
              <w:right w:val="nil"/>
            </w:tcBorders>
            <w:shd w:val="clear" w:color="auto" w:fill="auto"/>
            <w:noWrap/>
            <w:vAlign w:val="bottom"/>
            <w:hideMark/>
          </w:tcPr>
          <w:p w14:paraId="50420BFB" w14:textId="77777777" w:rsidR="00F350EE" w:rsidRPr="00701439" w:rsidRDefault="00F350EE" w:rsidP="00F350EE">
            <w:pPr>
              <w:rPr>
                <w:rFonts w:asciiTheme="minorHAnsi" w:hAnsiTheme="minorHAnsi" w:cstheme="minorHAnsi"/>
                <w:sz w:val="20"/>
                <w:szCs w:val="20"/>
              </w:rPr>
            </w:pPr>
          </w:p>
        </w:tc>
        <w:tc>
          <w:tcPr>
            <w:tcW w:w="584" w:type="pct"/>
            <w:tcBorders>
              <w:top w:val="single" w:sz="4" w:space="0" w:color="auto"/>
              <w:left w:val="nil"/>
              <w:bottom w:val="nil"/>
              <w:right w:val="nil"/>
            </w:tcBorders>
            <w:shd w:val="clear" w:color="auto" w:fill="auto"/>
            <w:noWrap/>
            <w:vAlign w:val="bottom"/>
            <w:hideMark/>
          </w:tcPr>
          <w:p w14:paraId="10D26BC3" w14:textId="77777777" w:rsidR="00F350EE" w:rsidRPr="00701439" w:rsidRDefault="00F350EE" w:rsidP="00F350EE">
            <w:pPr>
              <w:rPr>
                <w:rFonts w:asciiTheme="minorHAnsi" w:hAnsiTheme="minorHAnsi" w:cstheme="minorHAnsi"/>
                <w:sz w:val="20"/>
                <w:szCs w:val="20"/>
              </w:rPr>
            </w:pPr>
          </w:p>
        </w:tc>
        <w:tc>
          <w:tcPr>
            <w:tcW w:w="584" w:type="pct"/>
            <w:tcBorders>
              <w:top w:val="single" w:sz="4" w:space="0" w:color="auto"/>
              <w:left w:val="nil"/>
              <w:bottom w:val="nil"/>
              <w:right w:val="nil"/>
            </w:tcBorders>
            <w:shd w:val="clear" w:color="auto" w:fill="auto"/>
            <w:noWrap/>
            <w:vAlign w:val="bottom"/>
            <w:hideMark/>
          </w:tcPr>
          <w:p w14:paraId="737CC791" w14:textId="77777777" w:rsidR="00F350EE" w:rsidRPr="00701439" w:rsidRDefault="00F350EE" w:rsidP="00F350EE">
            <w:pPr>
              <w:rPr>
                <w:rFonts w:asciiTheme="minorHAnsi" w:hAnsiTheme="minorHAnsi" w:cstheme="minorHAnsi"/>
                <w:sz w:val="20"/>
                <w:szCs w:val="20"/>
              </w:rPr>
            </w:pPr>
          </w:p>
        </w:tc>
      </w:tr>
      <w:tr w:rsidR="00F350EE" w:rsidRPr="00701439" w14:paraId="171718A0" w14:textId="77777777" w:rsidTr="0002541E">
        <w:trPr>
          <w:trHeight w:val="288"/>
        </w:trPr>
        <w:tc>
          <w:tcPr>
            <w:tcW w:w="2080" w:type="pct"/>
            <w:tcBorders>
              <w:top w:val="nil"/>
              <w:left w:val="nil"/>
              <w:right w:val="nil"/>
            </w:tcBorders>
            <w:shd w:val="clear" w:color="auto" w:fill="auto"/>
            <w:noWrap/>
            <w:vAlign w:val="bottom"/>
            <w:hideMark/>
          </w:tcPr>
          <w:p w14:paraId="61994DF0" w14:textId="3FE88C32" w:rsidR="00F350EE" w:rsidRPr="00701439" w:rsidRDefault="00F350EE" w:rsidP="00F350EE">
            <w:pPr>
              <w:rPr>
                <w:rFonts w:asciiTheme="minorHAnsi" w:hAnsiTheme="minorHAnsi" w:cstheme="minorHAnsi"/>
                <w:b/>
                <w:bCs/>
                <w:color w:val="000000"/>
                <w:sz w:val="20"/>
                <w:szCs w:val="20"/>
              </w:rPr>
            </w:pPr>
            <w:r w:rsidRPr="00701439">
              <w:rPr>
                <w:rFonts w:asciiTheme="minorHAnsi" w:hAnsiTheme="minorHAnsi" w:cstheme="minorHAnsi"/>
                <w:b/>
                <w:bCs/>
                <w:color w:val="000000"/>
                <w:sz w:val="20"/>
                <w:szCs w:val="20"/>
              </w:rPr>
              <w:t>Post</w:t>
            </w:r>
            <w:r w:rsidR="008A0736" w:rsidRPr="00701439">
              <w:rPr>
                <w:rFonts w:asciiTheme="minorHAnsi" w:hAnsiTheme="minorHAnsi" w:cstheme="minorHAnsi"/>
                <w:b/>
                <w:bCs/>
                <w:color w:val="000000"/>
                <w:sz w:val="20"/>
                <w:szCs w:val="20"/>
              </w:rPr>
              <w:t>-</w:t>
            </w:r>
            <w:r w:rsidRPr="00701439">
              <w:rPr>
                <w:rFonts w:asciiTheme="minorHAnsi" w:hAnsiTheme="minorHAnsi" w:cstheme="minorHAnsi"/>
                <w:b/>
                <w:bCs/>
                <w:color w:val="000000"/>
                <w:sz w:val="20"/>
                <w:szCs w:val="20"/>
              </w:rPr>
              <w:t>model overlays</w:t>
            </w:r>
            <w:r w:rsidR="00C55642" w:rsidRPr="00701439">
              <w:rPr>
                <w:rFonts w:asciiTheme="minorHAnsi" w:hAnsiTheme="minorHAnsi" w:cstheme="minorHAnsi"/>
                <w:b/>
                <w:bCs/>
                <w:color w:val="000000"/>
                <w:sz w:val="20"/>
                <w:szCs w:val="20"/>
              </w:rPr>
              <w:t>:</w:t>
            </w:r>
          </w:p>
        </w:tc>
        <w:tc>
          <w:tcPr>
            <w:tcW w:w="584" w:type="pct"/>
            <w:tcBorders>
              <w:top w:val="nil"/>
              <w:left w:val="nil"/>
              <w:right w:val="nil"/>
            </w:tcBorders>
            <w:shd w:val="clear" w:color="auto" w:fill="auto"/>
            <w:noWrap/>
            <w:vAlign w:val="bottom"/>
            <w:hideMark/>
          </w:tcPr>
          <w:p w14:paraId="514FD20B" w14:textId="77777777" w:rsidR="00F350EE" w:rsidRPr="00701439" w:rsidRDefault="00F350EE" w:rsidP="00F350EE">
            <w:pPr>
              <w:rPr>
                <w:rFonts w:asciiTheme="minorHAnsi" w:hAnsiTheme="minorHAnsi" w:cstheme="minorHAnsi"/>
                <w:color w:val="000000"/>
                <w:sz w:val="20"/>
                <w:szCs w:val="20"/>
              </w:rPr>
            </w:pPr>
            <w:r w:rsidRPr="00701439">
              <w:rPr>
                <w:rFonts w:asciiTheme="minorHAnsi" w:hAnsiTheme="minorHAnsi" w:cstheme="minorHAnsi"/>
                <w:color w:val="000000"/>
                <w:sz w:val="20"/>
                <w:szCs w:val="20"/>
              </w:rPr>
              <w:t> </w:t>
            </w:r>
          </w:p>
        </w:tc>
        <w:tc>
          <w:tcPr>
            <w:tcW w:w="584" w:type="pct"/>
            <w:tcBorders>
              <w:top w:val="nil"/>
              <w:left w:val="nil"/>
              <w:right w:val="nil"/>
            </w:tcBorders>
            <w:shd w:val="clear" w:color="auto" w:fill="auto"/>
            <w:noWrap/>
            <w:vAlign w:val="bottom"/>
            <w:hideMark/>
          </w:tcPr>
          <w:p w14:paraId="7E39D260" w14:textId="77777777" w:rsidR="00F350EE" w:rsidRPr="00701439" w:rsidRDefault="00F350EE" w:rsidP="00F350EE">
            <w:pPr>
              <w:rPr>
                <w:rFonts w:asciiTheme="minorHAnsi" w:hAnsiTheme="minorHAnsi" w:cstheme="minorHAnsi"/>
                <w:color w:val="000000"/>
                <w:sz w:val="20"/>
                <w:szCs w:val="20"/>
              </w:rPr>
            </w:pPr>
            <w:r w:rsidRPr="00701439">
              <w:rPr>
                <w:rFonts w:asciiTheme="minorHAnsi" w:hAnsiTheme="minorHAnsi" w:cstheme="minorHAnsi"/>
                <w:color w:val="000000"/>
                <w:sz w:val="20"/>
                <w:szCs w:val="20"/>
              </w:rPr>
              <w:t> </w:t>
            </w:r>
          </w:p>
        </w:tc>
        <w:tc>
          <w:tcPr>
            <w:tcW w:w="584" w:type="pct"/>
            <w:tcBorders>
              <w:top w:val="nil"/>
              <w:left w:val="nil"/>
              <w:right w:val="nil"/>
            </w:tcBorders>
            <w:shd w:val="clear" w:color="auto" w:fill="auto"/>
            <w:noWrap/>
            <w:vAlign w:val="bottom"/>
            <w:hideMark/>
          </w:tcPr>
          <w:p w14:paraId="0B4899AD" w14:textId="77777777" w:rsidR="00F350EE" w:rsidRPr="00701439" w:rsidRDefault="00F350EE" w:rsidP="00F350EE">
            <w:pPr>
              <w:rPr>
                <w:rFonts w:asciiTheme="minorHAnsi" w:hAnsiTheme="minorHAnsi" w:cstheme="minorHAnsi"/>
                <w:color w:val="000000"/>
                <w:sz w:val="20"/>
                <w:szCs w:val="20"/>
              </w:rPr>
            </w:pPr>
            <w:r w:rsidRPr="00701439">
              <w:rPr>
                <w:rFonts w:asciiTheme="minorHAnsi" w:hAnsiTheme="minorHAnsi" w:cstheme="minorHAnsi"/>
                <w:color w:val="000000"/>
                <w:sz w:val="20"/>
                <w:szCs w:val="20"/>
              </w:rPr>
              <w:t> </w:t>
            </w:r>
          </w:p>
        </w:tc>
        <w:tc>
          <w:tcPr>
            <w:tcW w:w="584" w:type="pct"/>
            <w:tcBorders>
              <w:top w:val="nil"/>
              <w:left w:val="nil"/>
              <w:bottom w:val="single" w:sz="4" w:space="0" w:color="auto"/>
              <w:right w:val="nil"/>
            </w:tcBorders>
            <w:shd w:val="clear" w:color="auto" w:fill="auto"/>
            <w:noWrap/>
            <w:vAlign w:val="bottom"/>
            <w:hideMark/>
          </w:tcPr>
          <w:p w14:paraId="7B3C2B6E" w14:textId="77777777" w:rsidR="00F350EE" w:rsidRPr="00701439" w:rsidRDefault="00F350EE" w:rsidP="00F350EE">
            <w:pPr>
              <w:rPr>
                <w:rFonts w:asciiTheme="minorHAnsi" w:hAnsiTheme="minorHAnsi" w:cstheme="minorHAnsi"/>
                <w:color w:val="000000"/>
                <w:sz w:val="20"/>
                <w:szCs w:val="20"/>
              </w:rPr>
            </w:pPr>
            <w:r w:rsidRPr="00701439">
              <w:rPr>
                <w:rFonts w:asciiTheme="minorHAnsi" w:hAnsiTheme="minorHAnsi" w:cstheme="minorHAnsi"/>
                <w:color w:val="000000"/>
                <w:sz w:val="20"/>
                <w:szCs w:val="20"/>
              </w:rPr>
              <w:t> </w:t>
            </w:r>
          </w:p>
        </w:tc>
        <w:tc>
          <w:tcPr>
            <w:tcW w:w="584" w:type="pct"/>
            <w:tcBorders>
              <w:top w:val="nil"/>
              <w:left w:val="nil"/>
              <w:bottom w:val="single" w:sz="4" w:space="0" w:color="auto"/>
              <w:right w:val="nil"/>
            </w:tcBorders>
            <w:shd w:val="clear" w:color="auto" w:fill="auto"/>
            <w:noWrap/>
            <w:vAlign w:val="bottom"/>
            <w:hideMark/>
          </w:tcPr>
          <w:p w14:paraId="4E5B13E5" w14:textId="77777777" w:rsidR="00F350EE" w:rsidRPr="00701439" w:rsidRDefault="00F350EE" w:rsidP="00F350EE">
            <w:pPr>
              <w:rPr>
                <w:rFonts w:asciiTheme="minorHAnsi" w:hAnsiTheme="minorHAnsi" w:cstheme="minorHAnsi"/>
                <w:color w:val="000000"/>
                <w:sz w:val="20"/>
                <w:szCs w:val="20"/>
              </w:rPr>
            </w:pPr>
            <w:r w:rsidRPr="00701439">
              <w:rPr>
                <w:rFonts w:asciiTheme="minorHAnsi" w:hAnsiTheme="minorHAnsi" w:cstheme="minorHAnsi"/>
                <w:color w:val="000000"/>
                <w:sz w:val="20"/>
                <w:szCs w:val="20"/>
              </w:rPr>
              <w:t> </w:t>
            </w:r>
          </w:p>
        </w:tc>
      </w:tr>
      <w:tr w:rsidR="00F350EE" w:rsidRPr="00701439" w14:paraId="7D6968A9" w14:textId="77777777" w:rsidTr="00C771AE">
        <w:trPr>
          <w:trHeight w:val="288"/>
        </w:trPr>
        <w:tc>
          <w:tcPr>
            <w:tcW w:w="2080" w:type="pct"/>
            <w:tcBorders>
              <w:top w:val="nil"/>
              <w:left w:val="nil"/>
              <w:bottom w:val="nil"/>
              <w:right w:val="nil"/>
            </w:tcBorders>
            <w:shd w:val="clear" w:color="auto" w:fill="auto"/>
            <w:noWrap/>
            <w:vAlign w:val="bottom"/>
            <w:hideMark/>
          </w:tcPr>
          <w:p w14:paraId="6C188332" w14:textId="0FE8B83A" w:rsidR="00F350EE" w:rsidRPr="00701439" w:rsidRDefault="00F350EE" w:rsidP="00F350EE">
            <w:pPr>
              <w:rPr>
                <w:rFonts w:asciiTheme="minorHAnsi" w:hAnsiTheme="minorHAnsi" w:cstheme="minorHAnsi"/>
                <w:color w:val="000000"/>
                <w:sz w:val="20"/>
                <w:szCs w:val="20"/>
              </w:rPr>
            </w:pPr>
            <w:r w:rsidRPr="00701439">
              <w:rPr>
                <w:rFonts w:asciiTheme="minorHAnsi" w:hAnsiTheme="minorHAnsi" w:cstheme="minorHAnsi"/>
                <w:color w:val="000000"/>
                <w:sz w:val="20"/>
                <w:szCs w:val="20"/>
              </w:rPr>
              <w:t>Cost of living (note (a))</w:t>
            </w:r>
          </w:p>
        </w:tc>
        <w:tc>
          <w:tcPr>
            <w:tcW w:w="584" w:type="pct"/>
            <w:tcBorders>
              <w:top w:val="nil"/>
              <w:left w:val="nil"/>
              <w:bottom w:val="nil"/>
              <w:right w:val="nil"/>
            </w:tcBorders>
            <w:shd w:val="clear" w:color="auto" w:fill="auto"/>
            <w:noWrap/>
            <w:vAlign w:val="bottom"/>
            <w:hideMark/>
          </w:tcPr>
          <w:p w14:paraId="036E038A" w14:textId="77777777" w:rsidR="00F350EE" w:rsidRPr="00701439" w:rsidRDefault="00F350EE" w:rsidP="00F350EE">
            <w:pPr>
              <w:rPr>
                <w:rFonts w:asciiTheme="minorHAnsi" w:hAnsiTheme="minorHAnsi" w:cstheme="minorHAnsi"/>
                <w:color w:val="000000"/>
                <w:sz w:val="20"/>
                <w:szCs w:val="20"/>
              </w:rPr>
            </w:pPr>
          </w:p>
        </w:tc>
        <w:tc>
          <w:tcPr>
            <w:tcW w:w="584" w:type="pct"/>
            <w:tcBorders>
              <w:top w:val="nil"/>
              <w:left w:val="nil"/>
              <w:bottom w:val="nil"/>
              <w:right w:val="nil"/>
            </w:tcBorders>
            <w:shd w:val="clear" w:color="auto" w:fill="auto"/>
            <w:noWrap/>
            <w:vAlign w:val="bottom"/>
            <w:hideMark/>
          </w:tcPr>
          <w:p w14:paraId="2E8A67AD" w14:textId="77777777" w:rsidR="00F350EE" w:rsidRPr="00701439" w:rsidRDefault="00F350EE" w:rsidP="00F350EE">
            <w:pPr>
              <w:rPr>
                <w:rFonts w:asciiTheme="minorHAnsi" w:hAnsiTheme="minorHAnsi" w:cstheme="minorHAnsi"/>
                <w:sz w:val="20"/>
                <w:szCs w:val="20"/>
              </w:rPr>
            </w:pPr>
          </w:p>
        </w:tc>
        <w:tc>
          <w:tcPr>
            <w:tcW w:w="584" w:type="pct"/>
            <w:tcBorders>
              <w:top w:val="nil"/>
              <w:left w:val="nil"/>
              <w:bottom w:val="nil"/>
              <w:right w:val="nil"/>
            </w:tcBorders>
            <w:shd w:val="clear" w:color="auto" w:fill="auto"/>
            <w:noWrap/>
            <w:vAlign w:val="bottom"/>
            <w:hideMark/>
          </w:tcPr>
          <w:p w14:paraId="0EB82793" w14:textId="77777777" w:rsidR="00F350EE" w:rsidRPr="00701439" w:rsidRDefault="00F350EE" w:rsidP="00F350EE">
            <w:pPr>
              <w:rPr>
                <w:rFonts w:asciiTheme="minorHAnsi" w:hAnsiTheme="minorHAnsi" w:cstheme="minorHAnsi"/>
                <w:sz w:val="20"/>
                <w:szCs w:val="20"/>
              </w:rPr>
            </w:pPr>
          </w:p>
        </w:tc>
        <w:tc>
          <w:tcPr>
            <w:tcW w:w="584" w:type="pct"/>
            <w:tcBorders>
              <w:top w:val="nil"/>
              <w:left w:val="nil"/>
              <w:bottom w:val="nil"/>
              <w:right w:val="nil"/>
            </w:tcBorders>
            <w:shd w:val="clear" w:color="auto" w:fill="auto"/>
            <w:noWrap/>
            <w:vAlign w:val="bottom"/>
            <w:hideMark/>
          </w:tcPr>
          <w:p w14:paraId="49D2F011" w14:textId="77777777" w:rsidR="00F350EE" w:rsidRPr="00701439" w:rsidRDefault="00F350EE" w:rsidP="00F350EE">
            <w:pPr>
              <w:jc w:val="right"/>
              <w:rPr>
                <w:rFonts w:asciiTheme="minorHAnsi" w:hAnsiTheme="minorHAnsi" w:cstheme="minorHAnsi"/>
                <w:color w:val="000000"/>
                <w:sz w:val="20"/>
                <w:szCs w:val="20"/>
              </w:rPr>
            </w:pPr>
            <w:r w:rsidRPr="00701439">
              <w:rPr>
                <w:rFonts w:asciiTheme="minorHAnsi" w:hAnsiTheme="minorHAnsi" w:cstheme="minorHAnsi"/>
                <w:color w:val="000000"/>
                <w:sz w:val="20"/>
                <w:szCs w:val="20"/>
              </w:rPr>
              <w:t>0.3</w:t>
            </w:r>
          </w:p>
        </w:tc>
        <w:tc>
          <w:tcPr>
            <w:tcW w:w="584" w:type="pct"/>
            <w:tcBorders>
              <w:top w:val="nil"/>
              <w:left w:val="nil"/>
              <w:bottom w:val="nil"/>
              <w:right w:val="nil"/>
            </w:tcBorders>
            <w:shd w:val="clear" w:color="auto" w:fill="auto"/>
            <w:noWrap/>
            <w:vAlign w:val="bottom"/>
            <w:hideMark/>
          </w:tcPr>
          <w:p w14:paraId="3C50A8D3" w14:textId="17655E3B" w:rsidR="00F350EE" w:rsidRPr="00701439" w:rsidRDefault="00F350EE" w:rsidP="00F350EE">
            <w:pPr>
              <w:jc w:val="right"/>
              <w:rPr>
                <w:rFonts w:asciiTheme="minorHAnsi" w:hAnsiTheme="minorHAnsi" w:cstheme="minorHAnsi"/>
                <w:color w:val="000000"/>
                <w:sz w:val="20"/>
                <w:szCs w:val="20"/>
              </w:rPr>
            </w:pPr>
            <w:r w:rsidRPr="00701439">
              <w:rPr>
                <w:rFonts w:asciiTheme="minorHAnsi" w:hAnsiTheme="minorHAnsi" w:cstheme="minorHAnsi"/>
                <w:color w:val="000000"/>
                <w:sz w:val="20"/>
                <w:szCs w:val="20"/>
              </w:rPr>
              <w:t>-</w:t>
            </w:r>
          </w:p>
        </w:tc>
      </w:tr>
      <w:tr w:rsidR="00F350EE" w:rsidRPr="00701439" w14:paraId="500C3616" w14:textId="77777777" w:rsidTr="00C771AE">
        <w:trPr>
          <w:trHeight w:val="288"/>
        </w:trPr>
        <w:tc>
          <w:tcPr>
            <w:tcW w:w="2080" w:type="pct"/>
            <w:tcBorders>
              <w:top w:val="nil"/>
              <w:left w:val="nil"/>
              <w:bottom w:val="nil"/>
              <w:right w:val="nil"/>
            </w:tcBorders>
            <w:shd w:val="clear" w:color="auto" w:fill="auto"/>
            <w:noWrap/>
            <w:vAlign w:val="bottom"/>
            <w:hideMark/>
          </w:tcPr>
          <w:p w14:paraId="4FE11C92" w14:textId="6A288948" w:rsidR="00F350EE" w:rsidRPr="00701439" w:rsidRDefault="00F350EE" w:rsidP="00F350EE">
            <w:pPr>
              <w:rPr>
                <w:rFonts w:asciiTheme="minorHAnsi" w:hAnsiTheme="minorHAnsi" w:cstheme="minorHAnsi"/>
                <w:color w:val="000000"/>
                <w:sz w:val="20"/>
                <w:szCs w:val="20"/>
              </w:rPr>
            </w:pPr>
            <w:r w:rsidRPr="00701439">
              <w:rPr>
                <w:rFonts w:asciiTheme="minorHAnsi" w:hAnsiTheme="minorHAnsi" w:cstheme="minorHAnsi"/>
                <w:color w:val="000000"/>
                <w:sz w:val="20"/>
                <w:szCs w:val="20"/>
              </w:rPr>
              <w:t>Covid-19 overlay (note (b))</w:t>
            </w:r>
          </w:p>
        </w:tc>
        <w:tc>
          <w:tcPr>
            <w:tcW w:w="584" w:type="pct"/>
            <w:tcBorders>
              <w:top w:val="nil"/>
              <w:left w:val="nil"/>
              <w:bottom w:val="nil"/>
              <w:right w:val="nil"/>
            </w:tcBorders>
            <w:shd w:val="clear" w:color="auto" w:fill="auto"/>
            <w:noWrap/>
            <w:vAlign w:val="bottom"/>
            <w:hideMark/>
          </w:tcPr>
          <w:p w14:paraId="0A11EC94" w14:textId="77777777" w:rsidR="00F350EE" w:rsidRPr="00701439" w:rsidRDefault="00F350EE" w:rsidP="00F350EE">
            <w:pPr>
              <w:rPr>
                <w:rFonts w:asciiTheme="minorHAnsi" w:hAnsiTheme="minorHAnsi" w:cstheme="minorHAnsi"/>
                <w:color w:val="000000"/>
                <w:sz w:val="20"/>
                <w:szCs w:val="20"/>
              </w:rPr>
            </w:pPr>
          </w:p>
        </w:tc>
        <w:tc>
          <w:tcPr>
            <w:tcW w:w="584" w:type="pct"/>
            <w:tcBorders>
              <w:top w:val="nil"/>
              <w:left w:val="nil"/>
              <w:bottom w:val="nil"/>
              <w:right w:val="nil"/>
            </w:tcBorders>
            <w:shd w:val="clear" w:color="auto" w:fill="auto"/>
            <w:noWrap/>
            <w:vAlign w:val="bottom"/>
            <w:hideMark/>
          </w:tcPr>
          <w:p w14:paraId="6CAD8D94" w14:textId="77777777" w:rsidR="00F350EE" w:rsidRPr="00701439" w:rsidRDefault="00F350EE" w:rsidP="00F350EE">
            <w:pPr>
              <w:rPr>
                <w:rFonts w:asciiTheme="minorHAnsi" w:hAnsiTheme="minorHAnsi" w:cstheme="minorHAnsi"/>
                <w:sz w:val="20"/>
                <w:szCs w:val="20"/>
              </w:rPr>
            </w:pPr>
          </w:p>
        </w:tc>
        <w:tc>
          <w:tcPr>
            <w:tcW w:w="584" w:type="pct"/>
            <w:tcBorders>
              <w:top w:val="nil"/>
              <w:left w:val="nil"/>
              <w:bottom w:val="nil"/>
              <w:right w:val="nil"/>
            </w:tcBorders>
            <w:shd w:val="clear" w:color="auto" w:fill="auto"/>
            <w:noWrap/>
            <w:vAlign w:val="bottom"/>
            <w:hideMark/>
          </w:tcPr>
          <w:p w14:paraId="591D6039" w14:textId="77777777" w:rsidR="00F350EE" w:rsidRPr="00701439" w:rsidRDefault="00F350EE" w:rsidP="00F350EE">
            <w:pPr>
              <w:rPr>
                <w:rFonts w:asciiTheme="minorHAnsi" w:hAnsiTheme="minorHAnsi" w:cstheme="minorHAnsi"/>
                <w:sz w:val="20"/>
                <w:szCs w:val="20"/>
              </w:rPr>
            </w:pPr>
          </w:p>
        </w:tc>
        <w:tc>
          <w:tcPr>
            <w:tcW w:w="584" w:type="pct"/>
            <w:tcBorders>
              <w:top w:val="nil"/>
              <w:left w:val="nil"/>
              <w:bottom w:val="nil"/>
              <w:right w:val="nil"/>
            </w:tcBorders>
            <w:shd w:val="clear" w:color="auto" w:fill="auto"/>
            <w:noWrap/>
            <w:vAlign w:val="bottom"/>
            <w:hideMark/>
          </w:tcPr>
          <w:p w14:paraId="5701557B" w14:textId="68B23BDC" w:rsidR="00F350EE" w:rsidRPr="00701439" w:rsidRDefault="00F350EE" w:rsidP="00F350EE">
            <w:pPr>
              <w:jc w:val="right"/>
              <w:rPr>
                <w:rFonts w:asciiTheme="minorHAnsi" w:hAnsiTheme="minorHAnsi" w:cstheme="minorHAnsi"/>
                <w:color w:val="000000"/>
                <w:sz w:val="20"/>
                <w:szCs w:val="20"/>
              </w:rPr>
            </w:pPr>
            <w:r w:rsidRPr="00701439">
              <w:rPr>
                <w:rFonts w:asciiTheme="minorHAnsi" w:hAnsiTheme="minorHAnsi" w:cstheme="minorHAnsi"/>
                <w:color w:val="000000"/>
                <w:sz w:val="20"/>
                <w:szCs w:val="20"/>
              </w:rPr>
              <w:t>-</w:t>
            </w:r>
          </w:p>
        </w:tc>
        <w:tc>
          <w:tcPr>
            <w:tcW w:w="584" w:type="pct"/>
            <w:tcBorders>
              <w:top w:val="nil"/>
              <w:left w:val="nil"/>
              <w:bottom w:val="nil"/>
              <w:right w:val="nil"/>
            </w:tcBorders>
            <w:shd w:val="clear" w:color="auto" w:fill="auto"/>
            <w:noWrap/>
            <w:vAlign w:val="bottom"/>
            <w:hideMark/>
          </w:tcPr>
          <w:p w14:paraId="6939234D" w14:textId="77777777" w:rsidR="00F350EE" w:rsidRPr="00701439" w:rsidRDefault="00F350EE" w:rsidP="00F350EE">
            <w:pPr>
              <w:jc w:val="right"/>
              <w:rPr>
                <w:rFonts w:asciiTheme="minorHAnsi" w:hAnsiTheme="minorHAnsi" w:cstheme="minorHAnsi"/>
                <w:color w:val="000000"/>
                <w:sz w:val="20"/>
                <w:szCs w:val="20"/>
              </w:rPr>
            </w:pPr>
            <w:r w:rsidRPr="00701439">
              <w:rPr>
                <w:rFonts w:asciiTheme="minorHAnsi" w:hAnsiTheme="minorHAnsi" w:cstheme="minorHAnsi"/>
                <w:color w:val="000000"/>
                <w:sz w:val="20"/>
                <w:szCs w:val="20"/>
              </w:rPr>
              <w:t>1.7</w:t>
            </w:r>
          </w:p>
        </w:tc>
      </w:tr>
      <w:tr w:rsidR="00F350EE" w:rsidRPr="00701439" w14:paraId="4C292DA7" w14:textId="77777777" w:rsidTr="00C771AE">
        <w:trPr>
          <w:trHeight w:val="288"/>
        </w:trPr>
        <w:tc>
          <w:tcPr>
            <w:tcW w:w="2080" w:type="pct"/>
            <w:tcBorders>
              <w:top w:val="nil"/>
              <w:left w:val="nil"/>
              <w:bottom w:val="nil"/>
              <w:right w:val="nil"/>
            </w:tcBorders>
            <w:shd w:val="clear" w:color="auto" w:fill="auto"/>
            <w:noWrap/>
            <w:vAlign w:val="bottom"/>
            <w:hideMark/>
          </w:tcPr>
          <w:p w14:paraId="666BF1CB" w14:textId="77777777" w:rsidR="00F350EE" w:rsidRPr="00701439" w:rsidRDefault="00F350EE" w:rsidP="00F350EE">
            <w:pPr>
              <w:rPr>
                <w:rFonts w:asciiTheme="minorHAnsi" w:hAnsiTheme="minorHAnsi" w:cstheme="minorHAnsi"/>
                <w:color w:val="000000"/>
                <w:sz w:val="20"/>
                <w:szCs w:val="20"/>
              </w:rPr>
            </w:pPr>
            <w:r w:rsidRPr="00701439">
              <w:rPr>
                <w:rFonts w:asciiTheme="minorHAnsi" w:hAnsiTheme="minorHAnsi" w:cstheme="minorHAnsi"/>
                <w:color w:val="000000"/>
                <w:sz w:val="20"/>
                <w:szCs w:val="20"/>
              </w:rPr>
              <w:t>Other</w:t>
            </w:r>
          </w:p>
        </w:tc>
        <w:tc>
          <w:tcPr>
            <w:tcW w:w="584" w:type="pct"/>
            <w:tcBorders>
              <w:top w:val="nil"/>
              <w:left w:val="nil"/>
              <w:bottom w:val="nil"/>
              <w:right w:val="nil"/>
            </w:tcBorders>
            <w:shd w:val="clear" w:color="auto" w:fill="auto"/>
            <w:noWrap/>
            <w:vAlign w:val="bottom"/>
            <w:hideMark/>
          </w:tcPr>
          <w:p w14:paraId="5627F799" w14:textId="77777777" w:rsidR="00F350EE" w:rsidRPr="00701439" w:rsidRDefault="00F350EE" w:rsidP="00F350EE">
            <w:pPr>
              <w:rPr>
                <w:rFonts w:asciiTheme="minorHAnsi" w:hAnsiTheme="minorHAnsi" w:cstheme="minorHAnsi"/>
                <w:color w:val="000000"/>
                <w:sz w:val="20"/>
                <w:szCs w:val="20"/>
              </w:rPr>
            </w:pPr>
          </w:p>
        </w:tc>
        <w:tc>
          <w:tcPr>
            <w:tcW w:w="584" w:type="pct"/>
            <w:tcBorders>
              <w:top w:val="nil"/>
              <w:left w:val="nil"/>
              <w:bottom w:val="nil"/>
              <w:right w:val="nil"/>
            </w:tcBorders>
            <w:shd w:val="clear" w:color="auto" w:fill="auto"/>
            <w:noWrap/>
            <w:vAlign w:val="bottom"/>
            <w:hideMark/>
          </w:tcPr>
          <w:p w14:paraId="56529647" w14:textId="77777777" w:rsidR="00F350EE" w:rsidRPr="00701439" w:rsidRDefault="00F350EE" w:rsidP="00F350EE">
            <w:pPr>
              <w:rPr>
                <w:rFonts w:asciiTheme="minorHAnsi" w:hAnsiTheme="minorHAnsi" w:cstheme="minorHAnsi"/>
                <w:sz w:val="20"/>
                <w:szCs w:val="20"/>
              </w:rPr>
            </w:pPr>
          </w:p>
        </w:tc>
        <w:tc>
          <w:tcPr>
            <w:tcW w:w="584" w:type="pct"/>
            <w:tcBorders>
              <w:top w:val="nil"/>
              <w:left w:val="nil"/>
              <w:bottom w:val="nil"/>
              <w:right w:val="nil"/>
            </w:tcBorders>
            <w:shd w:val="clear" w:color="auto" w:fill="auto"/>
            <w:noWrap/>
            <w:vAlign w:val="bottom"/>
            <w:hideMark/>
          </w:tcPr>
          <w:p w14:paraId="395BF8A3" w14:textId="77777777" w:rsidR="00F350EE" w:rsidRPr="00701439" w:rsidRDefault="00F350EE" w:rsidP="00F350EE">
            <w:pPr>
              <w:rPr>
                <w:rFonts w:asciiTheme="minorHAnsi" w:hAnsiTheme="minorHAnsi" w:cstheme="minorHAnsi"/>
                <w:sz w:val="20"/>
                <w:szCs w:val="20"/>
              </w:rPr>
            </w:pPr>
          </w:p>
        </w:tc>
        <w:tc>
          <w:tcPr>
            <w:tcW w:w="584" w:type="pct"/>
            <w:tcBorders>
              <w:top w:val="nil"/>
              <w:left w:val="nil"/>
              <w:bottom w:val="nil"/>
              <w:right w:val="nil"/>
            </w:tcBorders>
            <w:shd w:val="clear" w:color="auto" w:fill="auto"/>
            <w:noWrap/>
            <w:vAlign w:val="bottom"/>
            <w:hideMark/>
          </w:tcPr>
          <w:p w14:paraId="185E4CB3" w14:textId="77777777" w:rsidR="00F350EE" w:rsidRPr="00701439" w:rsidRDefault="00F350EE" w:rsidP="00F350EE">
            <w:pPr>
              <w:jc w:val="right"/>
              <w:rPr>
                <w:rFonts w:asciiTheme="minorHAnsi" w:hAnsiTheme="minorHAnsi" w:cstheme="minorHAnsi"/>
                <w:color w:val="000000"/>
                <w:sz w:val="20"/>
                <w:szCs w:val="20"/>
              </w:rPr>
            </w:pPr>
            <w:r w:rsidRPr="00701439">
              <w:rPr>
                <w:rFonts w:asciiTheme="minorHAnsi" w:hAnsiTheme="minorHAnsi" w:cstheme="minorHAnsi"/>
                <w:color w:val="000000"/>
                <w:sz w:val="20"/>
                <w:szCs w:val="20"/>
              </w:rPr>
              <w:t>0.3</w:t>
            </w:r>
          </w:p>
        </w:tc>
        <w:tc>
          <w:tcPr>
            <w:tcW w:w="584" w:type="pct"/>
            <w:tcBorders>
              <w:top w:val="nil"/>
              <w:left w:val="nil"/>
              <w:bottom w:val="nil"/>
              <w:right w:val="nil"/>
            </w:tcBorders>
            <w:shd w:val="clear" w:color="auto" w:fill="auto"/>
            <w:noWrap/>
            <w:vAlign w:val="bottom"/>
            <w:hideMark/>
          </w:tcPr>
          <w:p w14:paraId="74B12D71" w14:textId="7A3C9AAB" w:rsidR="00F350EE" w:rsidRPr="00701439" w:rsidRDefault="00F350EE" w:rsidP="00F350EE">
            <w:pPr>
              <w:jc w:val="right"/>
              <w:rPr>
                <w:rFonts w:asciiTheme="minorHAnsi" w:hAnsiTheme="minorHAnsi" w:cstheme="minorHAnsi"/>
                <w:color w:val="000000"/>
                <w:sz w:val="20"/>
                <w:szCs w:val="20"/>
              </w:rPr>
            </w:pPr>
            <w:r w:rsidRPr="00701439">
              <w:rPr>
                <w:rFonts w:asciiTheme="minorHAnsi" w:hAnsiTheme="minorHAnsi" w:cstheme="minorHAnsi"/>
                <w:color w:val="000000"/>
                <w:sz w:val="20"/>
                <w:szCs w:val="20"/>
              </w:rPr>
              <w:t>-</w:t>
            </w:r>
          </w:p>
        </w:tc>
      </w:tr>
      <w:tr w:rsidR="00F350EE" w:rsidRPr="00701439" w14:paraId="49653DE8" w14:textId="77777777" w:rsidTr="0002541E">
        <w:trPr>
          <w:trHeight w:val="288"/>
        </w:trPr>
        <w:tc>
          <w:tcPr>
            <w:tcW w:w="2080" w:type="pct"/>
            <w:tcBorders>
              <w:left w:val="nil"/>
              <w:right w:val="nil"/>
            </w:tcBorders>
            <w:shd w:val="clear" w:color="auto" w:fill="auto"/>
            <w:noWrap/>
            <w:vAlign w:val="bottom"/>
            <w:hideMark/>
          </w:tcPr>
          <w:p w14:paraId="62C94532" w14:textId="5757289D" w:rsidR="00F350EE" w:rsidRPr="00701439" w:rsidRDefault="00F350EE" w:rsidP="00F350EE">
            <w:pPr>
              <w:rPr>
                <w:rFonts w:asciiTheme="minorHAnsi" w:hAnsiTheme="minorHAnsi" w:cstheme="minorHAnsi"/>
                <w:b/>
                <w:bCs/>
                <w:color w:val="000000"/>
                <w:sz w:val="20"/>
                <w:szCs w:val="20"/>
              </w:rPr>
            </w:pPr>
            <w:r w:rsidRPr="00701439">
              <w:rPr>
                <w:rFonts w:asciiTheme="minorHAnsi" w:hAnsiTheme="minorHAnsi" w:cstheme="minorHAnsi"/>
                <w:b/>
                <w:bCs/>
                <w:color w:val="000000"/>
                <w:sz w:val="20"/>
                <w:szCs w:val="20"/>
              </w:rPr>
              <w:t>Total post</w:t>
            </w:r>
            <w:r w:rsidR="008A0736" w:rsidRPr="00701439">
              <w:rPr>
                <w:rFonts w:asciiTheme="minorHAnsi" w:hAnsiTheme="minorHAnsi" w:cstheme="minorHAnsi"/>
                <w:b/>
                <w:bCs/>
                <w:color w:val="000000"/>
                <w:sz w:val="20"/>
                <w:szCs w:val="20"/>
              </w:rPr>
              <w:t>-</w:t>
            </w:r>
            <w:r w:rsidRPr="00701439">
              <w:rPr>
                <w:rFonts w:asciiTheme="minorHAnsi" w:hAnsiTheme="minorHAnsi" w:cstheme="minorHAnsi"/>
                <w:b/>
                <w:bCs/>
                <w:color w:val="000000"/>
                <w:sz w:val="20"/>
                <w:szCs w:val="20"/>
              </w:rPr>
              <w:t>model overlays</w:t>
            </w:r>
          </w:p>
        </w:tc>
        <w:tc>
          <w:tcPr>
            <w:tcW w:w="584" w:type="pct"/>
            <w:tcBorders>
              <w:left w:val="nil"/>
              <w:right w:val="nil"/>
            </w:tcBorders>
            <w:shd w:val="clear" w:color="auto" w:fill="auto"/>
            <w:noWrap/>
            <w:vAlign w:val="bottom"/>
            <w:hideMark/>
          </w:tcPr>
          <w:p w14:paraId="5E706DB9" w14:textId="77777777" w:rsidR="00F350EE" w:rsidRPr="00701439" w:rsidRDefault="00F350EE" w:rsidP="00F350EE">
            <w:pPr>
              <w:rPr>
                <w:rFonts w:asciiTheme="minorHAnsi" w:hAnsiTheme="minorHAnsi" w:cstheme="minorHAnsi"/>
                <w:b/>
                <w:bCs/>
                <w:color w:val="000000"/>
                <w:sz w:val="20"/>
                <w:szCs w:val="20"/>
              </w:rPr>
            </w:pPr>
            <w:r w:rsidRPr="00701439">
              <w:rPr>
                <w:rFonts w:asciiTheme="minorHAnsi" w:hAnsiTheme="minorHAnsi" w:cstheme="minorHAnsi"/>
                <w:b/>
                <w:bCs/>
                <w:color w:val="000000"/>
                <w:sz w:val="20"/>
                <w:szCs w:val="20"/>
              </w:rPr>
              <w:t> </w:t>
            </w:r>
          </w:p>
        </w:tc>
        <w:tc>
          <w:tcPr>
            <w:tcW w:w="584" w:type="pct"/>
            <w:tcBorders>
              <w:left w:val="nil"/>
              <w:right w:val="nil"/>
            </w:tcBorders>
            <w:shd w:val="clear" w:color="auto" w:fill="auto"/>
            <w:noWrap/>
            <w:vAlign w:val="bottom"/>
            <w:hideMark/>
          </w:tcPr>
          <w:p w14:paraId="1A2E34E4" w14:textId="77777777" w:rsidR="00F350EE" w:rsidRPr="00701439" w:rsidRDefault="00F350EE" w:rsidP="00F350EE">
            <w:pPr>
              <w:rPr>
                <w:rFonts w:asciiTheme="minorHAnsi" w:hAnsiTheme="minorHAnsi" w:cstheme="minorHAnsi"/>
                <w:b/>
                <w:bCs/>
                <w:color w:val="000000"/>
                <w:sz w:val="20"/>
                <w:szCs w:val="20"/>
              </w:rPr>
            </w:pPr>
            <w:r w:rsidRPr="00701439">
              <w:rPr>
                <w:rFonts w:asciiTheme="minorHAnsi" w:hAnsiTheme="minorHAnsi" w:cstheme="minorHAnsi"/>
                <w:b/>
                <w:bCs/>
                <w:color w:val="000000"/>
                <w:sz w:val="20"/>
                <w:szCs w:val="20"/>
              </w:rPr>
              <w:t> </w:t>
            </w:r>
          </w:p>
        </w:tc>
        <w:tc>
          <w:tcPr>
            <w:tcW w:w="584" w:type="pct"/>
            <w:tcBorders>
              <w:left w:val="nil"/>
              <w:right w:val="nil"/>
            </w:tcBorders>
            <w:shd w:val="clear" w:color="auto" w:fill="auto"/>
            <w:noWrap/>
            <w:vAlign w:val="bottom"/>
            <w:hideMark/>
          </w:tcPr>
          <w:p w14:paraId="79AFCAC4" w14:textId="77777777" w:rsidR="00F350EE" w:rsidRPr="00701439" w:rsidRDefault="00F350EE" w:rsidP="00F350EE">
            <w:pPr>
              <w:rPr>
                <w:rFonts w:asciiTheme="minorHAnsi" w:hAnsiTheme="minorHAnsi" w:cstheme="minorHAnsi"/>
                <w:b/>
                <w:bCs/>
                <w:color w:val="000000"/>
                <w:sz w:val="20"/>
                <w:szCs w:val="20"/>
              </w:rPr>
            </w:pPr>
            <w:r w:rsidRPr="00701439">
              <w:rPr>
                <w:rFonts w:asciiTheme="minorHAnsi" w:hAnsiTheme="minorHAnsi" w:cstheme="minorHAnsi"/>
                <w:b/>
                <w:bCs/>
                <w:color w:val="000000"/>
                <w:sz w:val="20"/>
                <w:szCs w:val="20"/>
              </w:rPr>
              <w:t> </w:t>
            </w:r>
          </w:p>
        </w:tc>
        <w:tc>
          <w:tcPr>
            <w:tcW w:w="584" w:type="pct"/>
            <w:tcBorders>
              <w:top w:val="single" w:sz="4" w:space="0" w:color="auto"/>
              <w:left w:val="nil"/>
              <w:bottom w:val="single" w:sz="4" w:space="0" w:color="auto"/>
              <w:right w:val="nil"/>
            </w:tcBorders>
            <w:shd w:val="clear" w:color="auto" w:fill="auto"/>
            <w:noWrap/>
            <w:vAlign w:val="bottom"/>
            <w:hideMark/>
          </w:tcPr>
          <w:p w14:paraId="6802CD64" w14:textId="77777777" w:rsidR="00F350EE" w:rsidRPr="00701439" w:rsidRDefault="00F350EE" w:rsidP="00F350EE">
            <w:pPr>
              <w:jc w:val="right"/>
              <w:rPr>
                <w:rFonts w:asciiTheme="minorHAnsi" w:hAnsiTheme="minorHAnsi" w:cstheme="minorHAnsi"/>
                <w:color w:val="000000"/>
                <w:sz w:val="20"/>
                <w:szCs w:val="20"/>
              </w:rPr>
            </w:pPr>
            <w:r w:rsidRPr="00701439">
              <w:rPr>
                <w:rFonts w:asciiTheme="minorHAnsi" w:hAnsiTheme="minorHAnsi" w:cstheme="minorHAnsi"/>
                <w:color w:val="000000"/>
                <w:sz w:val="20"/>
                <w:szCs w:val="20"/>
              </w:rPr>
              <w:t>0.6</w:t>
            </w:r>
          </w:p>
        </w:tc>
        <w:tc>
          <w:tcPr>
            <w:tcW w:w="584" w:type="pct"/>
            <w:tcBorders>
              <w:top w:val="single" w:sz="4" w:space="0" w:color="auto"/>
              <w:left w:val="nil"/>
              <w:bottom w:val="single" w:sz="4" w:space="0" w:color="auto"/>
              <w:right w:val="nil"/>
            </w:tcBorders>
            <w:shd w:val="clear" w:color="auto" w:fill="auto"/>
            <w:noWrap/>
            <w:vAlign w:val="bottom"/>
            <w:hideMark/>
          </w:tcPr>
          <w:p w14:paraId="4E8E6FD6" w14:textId="77777777" w:rsidR="00F350EE" w:rsidRPr="00701439" w:rsidRDefault="00F350EE" w:rsidP="00F350EE">
            <w:pPr>
              <w:jc w:val="right"/>
              <w:rPr>
                <w:rFonts w:asciiTheme="minorHAnsi" w:hAnsiTheme="minorHAnsi" w:cstheme="minorHAnsi"/>
                <w:color w:val="000000"/>
                <w:sz w:val="20"/>
                <w:szCs w:val="20"/>
              </w:rPr>
            </w:pPr>
            <w:r w:rsidRPr="00701439">
              <w:rPr>
                <w:rFonts w:asciiTheme="minorHAnsi" w:hAnsiTheme="minorHAnsi" w:cstheme="minorHAnsi"/>
                <w:color w:val="000000"/>
                <w:sz w:val="20"/>
                <w:szCs w:val="20"/>
              </w:rPr>
              <w:t>1.7</w:t>
            </w:r>
          </w:p>
        </w:tc>
      </w:tr>
      <w:tr w:rsidR="00F350EE" w:rsidRPr="00701439" w14:paraId="24CD869A" w14:textId="77777777" w:rsidTr="0002541E">
        <w:trPr>
          <w:trHeight w:val="288"/>
        </w:trPr>
        <w:tc>
          <w:tcPr>
            <w:tcW w:w="2080" w:type="pct"/>
            <w:tcBorders>
              <w:top w:val="nil"/>
              <w:left w:val="nil"/>
              <w:bottom w:val="nil"/>
              <w:right w:val="nil"/>
            </w:tcBorders>
            <w:shd w:val="clear" w:color="auto" w:fill="auto"/>
            <w:noWrap/>
            <w:vAlign w:val="bottom"/>
            <w:hideMark/>
          </w:tcPr>
          <w:p w14:paraId="4C04CCF7" w14:textId="77777777" w:rsidR="00F350EE" w:rsidRPr="00701439" w:rsidRDefault="00F350EE" w:rsidP="00F350EE">
            <w:pPr>
              <w:jc w:val="right"/>
              <w:rPr>
                <w:rFonts w:asciiTheme="minorHAnsi" w:hAnsiTheme="minorHAnsi" w:cstheme="minorHAnsi"/>
                <w:b/>
                <w:bCs/>
                <w:color w:val="000000"/>
                <w:sz w:val="20"/>
                <w:szCs w:val="20"/>
              </w:rPr>
            </w:pPr>
          </w:p>
        </w:tc>
        <w:tc>
          <w:tcPr>
            <w:tcW w:w="584" w:type="pct"/>
            <w:tcBorders>
              <w:top w:val="nil"/>
              <w:left w:val="nil"/>
              <w:bottom w:val="nil"/>
              <w:right w:val="nil"/>
            </w:tcBorders>
            <w:shd w:val="clear" w:color="auto" w:fill="auto"/>
            <w:noWrap/>
            <w:vAlign w:val="bottom"/>
            <w:hideMark/>
          </w:tcPr>
          <w:p w14:paraId="6F37F7D8" w14:textId="77777777" w:rsidR="00F350EE" w:rsidRPr="00701439" w:rsidRDefault="00F350EE" w:rsidP="00F350EE">
            <w:pPr>
              <w:rPr>
                <w:rFonts w:asciiTheme="minorHAnsi" w:hAnsiTheme="minorHAnsi" w:cstheme="minorHAnsi"/>
                <w:sz w:val="20"/>
                <w:szCs w:val="20"/>
              </w:rPr>
            </w:pPr>
          </w:p>
        </w:tc>
        <w:tc>
          <w:tcPr>
            <w:tcW w:w="584" w:type="pct"/>
            <w:tcBorders>
              <w:top w:val="nil"/>
              <w:left w:val="nil"/>
              <w:bottom w:val="nil"/>
              <w:right w:val="nil"/>
            </w:tcBorders>
            <w:shd w:val="clear" w:color="auto" w:fill="auto"/>
            <w:noWrap/>
            <w:vAlign w:val="bottom"/>
            <w:hideMark/>
          </w:tcPr>
          <w:p w14:paraId="512C0AAF" w14:textId="77777777" w:rsidR="00F350EE" w:rsidRPr="00701439" w:rsidRDefault="00F350EE" w:rsidP="00F350EE">
            <w:pPr>
              <w:rPr>
                <w:rFonts w:asciiTheme="minorHAnsi" w:hAnsiTheme="minorHAnsi" w:cstheme="minorHAnsi"/>
                <w:sz w:val="20"/>
                <w:szCs w:val="20"/>
              </w:rPr>
            </w:pPr>
          </w:p>
        </w:tc>
        <w:tc>
          <w:tcPr>
            <w:tcW w:w="584" w:type="pct"/>
            <w:tcBorders>
              <w:top w:val="nil"/>
              <w:left w:val="nil"/>
              <w:bottom w:val="nil"/>
              <w:right w:val="nil"/>
            </w:tcBorders>
            <w:shd w:val="clear" w:color="auto" w:fill="auto"/>
            <w:noWrap/>
            <w:vAlign w:val="bottom"/>
            <w:hideMark/>
          </w:tcPr>
          <w:p w14:paraId="21A2C719" w14:textId="77777777" w:rsidR="00F350EE" w:rsidRPr="00701439" w:rsidRDefault="00F350EE" w:rsidP="00F350EE">
            <w:pPr>
              <w:rPr>
                <w:rFonts w:asciiTheme="minorHAnsi" w:hAnsiTheme="minorHAnsi" w:cstheme="minorHAnsi"/>
                <w:sz w:val="20"/>
                <w:szCs w:val="20"/>
              </w:rPr>
            </w:pPr>
          </w:p>
        </w:tc>
        <w:tc>
          <w:tcPr>
            <w:tcW w:w="584" w:type="pct"/>
            <w:tcBorders>
              <w:top w:val="nil"/>
              <w:left w:val="nil"/>
              <w:bottom w:val="single" w:sz="4" w:space="0" w:color="auto"/>
              <w:right w:val="nil"/>
            </w:tcBorders>
            <w:shd w:val="clear" w:color="auto" w:fill="auto"/>
            <w:noWrap/>
            <w:vAlign w:val="bottom"/>
            <w:hideMark/>
          </w:tcPr>
          <w:p w14:paraId="7CBCD6A8" w14:textId="77777777" w:rsidR="00F350EE" w:rsidRPr="00701439" w:rsidRDefault="00F350EE" w:rsidP="00F350EE">
            <w:pPr>
              <w:rPr>
                <w:rFonts w:asciiTheme="minorHAnsi" w:hAnsiTheme="minorHAnsi" w:cstheme="minorHAnsi"/>
                <w:sz w:val="20"/>
                <w:szCs w:val="20"/>
              </w:rPr>
            </w:pPr>
          </w:p>
        </w:tc>
        <w:tc>
          <w:tcPr>
            <w:tcW w:w="584" w:type="pct"/>
            <w:tcBorders>
              <w:top w:val="nil"/>
              <w:left w:val="nil"/>
              <w:bottom w:val="single" w:sz="4" w:space="0" w:color="auto"/>
              <w:right w:val="nil"/>
            </w:tcBorders>
            <w:shd w:val="clear" w:color="auto" w:fill="auto"/>
            <w:noWrap/>
            <w:vAlign w:val="bottom"/>
            <w:hideMark/>
          </w:tcPr>
          <w:p w14:paraId="7383DD4B" w14:textId="77777777" w:rsidR="00F350EE" w:rsidRPr="00701439" w:rsidRDefault="00F350EE" w:rsidP="00F350EE">
            <w:pPr>
              <w:rPr>
                <w:rFonts w:asciiTheme="minorHAnsi" w:hAnsiTheme="minorHAnsi" w:cstheme="minorHAnsi"/>
                <w:sz w:val="20"/>
                <w:szCs w:val="20"/>
              </w:rPr>
            </w:pPr>
          </w:p>
        </w:tc>
      </w:tr>
      <w:tr w:rsidR="00F350EE" w:rsidRPr="00701439" w14:paraId="00FDCBD8" w14:textId="77777777" w:rsidTr="0002541E">
        <w:trPr>
          <w:trHeight w:val="288"/>
        </w:trPr>
        <w:tc>
          <w:tcPr>
            <w:tcW w:w="2080" w:type="pct"/>
            <w:tcBorders>
              <w:left w:val="nil"/>
              <w:right w:val="nil"/>
            </w:tcBorders>
            <w:shd w:val="clear" w:color="auto" w:fill="auto"/>
            <w:noWrap/>
            <w:vAlign w:val="bottom"/>
            <w:hideMark/>
          </w:tcPr>
          <w:p w14:paraId="7BB17B43" w14:textId="45BDEFB1" w:rsidR="00F350EE" w:rsidRPr="00701439" w:rsidRDefault="00F350EE" w:rsidP="00F350EE">
            <w:pPr>
              <w:rPr>
                <w:rFonts w:asciiTheme="minorHAnsi" w:hAnsiTheme="minorHAnsi" w:cstheme="minorHAnsi"/>
                <w:b/>
                <w:bCs/>
                <w:color w:val="000000"/>
                <w:sz w:val="20"/>
                <w:szCs w:val="20"/>
              </w:rPr>
            </w:pPr>
            <w:r w:rsidRPr="00701439">
              <w:rPr>
                <w:rFonts w:asciiTheme="minorHAnsi" w:hAnsiTheme="minorHAnsi" w:cstheme="minorHAnsi"/>
                <w:b/>
                <w:bCs/>
                <w:color w:val="000000"/>
                <w:sz w:val="20"/>
                <w:szCs w:val="20"/>
              </w:rPr>
              <w:t xml:space="preserve">Total </w:t>
            </w:r>
            <w:r w:rsidR="008A0736" w:rsidRPr="00701439">
              <w:rPr>
                <w:rFonts w:asciiTheme="minorHAnsi" w:hAnsiTheme="minorHAnsi" w:cstheme="minorHAnsi"/>
                <w:b/>
                <w:bCs/>
                <w:color w:val="000000"/>
                <w:sz w:val="20"/>
                <w:szCs w:val="20"/>
              </w:rPr>
              <w:t>o</w:t>
            </w:r>
            <w:r w:rsidRPr="00701439">
              <w:rPr>
                <w:rFonts w:asciiTheme="minorHAnsi" w:hAnsiTheme="minorHAnsi" w:cstheme="minorHAnsi"/>
                <w:b/>
                <w:bCs/>
                <w:color w:val="000000"/>
                <w:sz w:val="20"/>
                <w:szCs w:val="20"/>
              </w:rPr>
              <w:t>verlays</w:t>
            </w:r>
          </w:p>
        </w:tc>
        <w:tc>
          <w:tcPr>
            <w:tcW w:w="584" w:type="pct"/>
            <w:tcBorders>
              <w:left w:val="nil"/>
              <w:right w:val="nil"/>
            </w:tcBorders>
            <w:shd w:val="clear" w:color="auto" w:fill="auto"/>
            <w:noWrap/>
            <w:vAlign w:val="bottom"/>
            <w:hideMark/>
          </w:tcPr>
          <w:p w14:paraId="62D2B7D1" w14:textId="77777777" w:rsidR="00F350EE" w:rsidRPr="00701439" w:rsidRDefault="00F350EE" w:rsidP="00F350EE">
            <w:pPr>
              <w:rPr>
                <w:rFonts w:asciiTheme="minorHAnsi" w:hAnsiTheme="minorHAnsi" w:cstheme="minorHAnsi"/>
                <w:b/>
                <w:bCs/>
                <w:color w:val="000000"/>
                <w:sz w:val="20"/>
                <w:szCs w:val="20"/>
              </w:rPr>
            </w:pPr>
            <w:r w:rsidRPr="00701439">
              <w:rPr>
                <w:rFonts w:asciiTheme="minorHAnsi" w:hAnsiTheme="minorHAnsi" w:cstheme="minorHAnsi"/>
                <w:b/>
                <w:bCs/>
                <w:color w:val="000000"/>
                <w:sz w:val="20"/>
                <w:szCs w:val="20"/>
              </w:rPr>
              <w:t> </w:t>
            </w:r>
          </w:p>
        </w:tc>
        <w:tc>
          <w:tcPr>
            <w:tcW w:w="584" w:type="pct"/>
            <w:tcBorders>
              <w:left w:val="nil"/>
              <w:right w:val="nil"/>
            </w:tcBorders>
            <w:shd w:val="clear" w:color="auto" w:fill="auto"/>
            <w:noWrap/>
            <w:vAlign w:val="bottom"/>
            <w:hideMark/>
          </w:tcPr>
          <w:p w14:paraId="48E2BE24" w14:textId="77777777" w:rsidR="00F350EE" w:rsidRPr="00701439" w:rsidRDefault="00F350EE" w:rsidP="00F350EE">
            <w:pPr>
              <w:rPr>
                <w:rFonts w:asciiTheme="minorHAnsi" w:hAnsiTheme="minorHAnsi" w:cstheme="minorHAnsi"/>
                <w:b/>
                <w:bCs/>
                <w:color w:val="000000"/>
                <w:sz w:val="20"/>
                <w:szCs w:val="20"/>
              </w:rPr>
            </w:pPr>
            <w:r w:rsidRPr="00701439">
              <w:rPr>
                <w:rFonts w:asciiTheme="minorHAnsi" w:hAnsiTheme="minorHAnsi" w:cstheme="minorHAnsi"/>
                <w:b/>
                <w:bCs/>
                <w:color w:val="000000"/>
                <w:sz w:val="20"/>
                <w:szCs w:val="20"/>
              </w:rPr>
              <w:t> </w:t>
            </w:r>
          </w:p>
        </w:tc>
        <w:tc>
          <w:tcPr>
            <w:tcW w:w="584" w:type="pct"/>
            <w:tcBorders>
              <w:left w:val="nil"/>
              <w:right w:val="nil"/>
            </w:tcBorders>
            <w:shd w:val="clear" w:color="auto" w:fill="auto"/>
            <w:noWrap/>
            <w:vAlign w:val="bottom"/>
            <w:hideMark/>
          </w:tcPr>
          <w:p w14:paraId="3DA55687" w14:textId="77777777" w:rsidR="00F350EE" w:rsidRPr="00701439" w:rsidRDefault="00F350EE" w:rsidP="00F350EE">
            <w:pPr>
              <w:rPr>
                <w:rFonts w:asciiTheme="minorHAnsi" w:hAnsiTheme="minorHAnsi" w:cstheme="minorHAnsi"/>
                <w:b/>
                <w:bCs/>
                <w:color w:val="000000"/>
                <w:sz w:val="20"/>
                <w:szCs w:val="20"/>
              </w:rPr>
            </w:pPr>
            <w:r w:rsidRPr="00701439">
              <w:rPr>
                <w:rFonts w:asciiTheme="minorHAnsi" w:hAnsiTheme="minorHAnsi" w:cstheme="minorHAnsi"/>
                <w:b/>
                <w:bCs/>
                <w:color w:val="000000"/>
                <w:sz w:val="20"/>
                <w:szCs w:val="20"/>
              </w:rPr>
              <w:t> </w:t>
            </w:r>
          </w:p>
        </w:tc>
        <w:tc>
          <w:tcPr>
            <w:tcW w:w="584" w:type="pct"/>
            <w:tcBorders>
              <w:top w:val="single" w:sz="4" w:space="0" w:color="auto"/>
              <w:left w:val="nil"/>
              <w:bottom w:val="single" w:sz="12" w:space="0" w:color="auto"/>
              <w:right w:val="nil"/>
            </w:tcBorders>
            <w:shd w:val="clear" w:color="auto" w:fill="auto"/>
            <w:noWrap/>
            <w:vAlign w:val="bottom"/>
            <w:hideMark/>
          </w:tcPr>
          <w:p w14:paraId="0AF53EA8" w14:textId="77777777" w:rsidR="00F350EE" w:rsidRPr="00701439" w:rsidRDefault="00F350EE" w:rsidP="00F350EE">
            <w:pPr>
              <w:jc w:val="right"/>
              <w:rPr>
                <w:rFonts w:asciiTheme="minorHAnsi" w:hAnsiTheme="minorHAnsi" w:cstheme="minorHAnsi"/>
                <w:color w:val="000000"/>
                <w:sz w:val="20"/>
                <w:szCs w:val="20"/>
              </w:rPr>
            </w:pPr>
            <w:r w:rsidRPr="00701439">
              <w:rPr>
                <w:rFonts w:asciiTheme="minorHAnsi" w:hAnsiTheme="minorHAnsi" w:cstheme="minorHAnsi"/>
                <w:color w:val="000000"/>
                <w:sz w:val="20"/>
                <w:szCs w:val="20"/>
              </w:rPr>
              <w:t>0.6</w:t>
            </w:r>
          </w:p>
        </w:tc>
        <w:tc>
          <w:tcPr>
            <w:tcW w:w="584" w:type="pct"/>
            <w:tcBorders>
              <w:top w:val="single" w:sz="4" w:space="0" w:color="auto"/>
              <w:left w:val="nil"/>
              <w:bottom w:val="single" w:sz="12" w:space="0" w:color="auto"/>
              <w:right w:val="nil"/>
            </w:tcBorders>
            <w:shd w:val="clear" w:color="auto" w:fill="auto"/>
            <w:noWrap/>
            <w:vAlign w:val="bottom"/>
            <w:hideMark/>
          </w:tcPr>
          <w:p w14:paraId="7D715CB0" w14:textId="77777777" w:rsidR="00F350EE" w:rsidRPr="00701439" w:rsidRDefault="00F350EE" w:rsidP="00F350EE">
            <w:pPr>
              <w:jc w:val="right"/>
              <w:rPr>
                <w:rFonts w:asciiTheme="minorHAnsi" w:hAnsiTheme="minorHAnsi" w:cstheme="minorHAnsi"/>
                <w:color w:val="000000"/>
                <w:sz w:val="20"/>
                <w:szCs w:val="20"/>
              </w:rPr>
            </w:pPr>
            <w:r w:rsidRPr="00701439">
              <w:rPr>
                <w:rFonts w:asciiTheme="minorHAnsi" w:hAnsiTheme="minorHAnsi" w:cstheme="minorHAnsi"/>
                <w:color w:val="000000"/>
                <w:sz w:val="20"/>
                <w:szCs w:val="20"/>
              </w:rPr>
              <w:t>1.7</w:t>
            </w:r>
          </w:p>
        </w:tc>
      </w:tr>
    </w:tbl>
    <w:p w14:paraId="498F9B30" w14:textId="77777777" w:rsidR="00463246" w:rsidRPr="00701439" w:rsidRDefault="00463246" w:rsidP="00602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bCs/>
          <w:sz w:val="20"/>
          <w:szCs w:val="20"/>
        </w:rPr>
      </w:pPr>
    </w:p>
    <w:p w14:paraId="68785837" w14:textId="3286351F" w:rsidR="008104B6" w:rsidRPr="00701439" w:rsidRDefault="008104B6" w:rsidP="00810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b/>
          <w:sz w:val="20"/>
          <w:szCs w:val="20"/>
        </w:rPr>
      </w:pPr>
      <w:r w:rsidRPr="00701439">
        <w:rPr>
          <w:rFonts w:asciiTheme="minorHAnsi" w:hAnsiTheme="minorHAnsi" w:cs="Arial"/>
          <w:b/>
          <w:sz w:val="20"/>
          <w:szCs w:val="20"/>
        </w:rPr>
        <w:t>(a) Cost of living</w:t>
      </w:r>
    </w:p>
    <w:p w14:paraId="6BDD15A9" w14:textId="77777777" w:rsidR="008104B6" w:rsidRPr="00701439" w:rsidRDefault="008104B6" w:rsidP="00810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bCs/>
          <w:sz w:val="20"/>
          <w:szCs w:val="20"/>
        </w:rPr>
      </w:pPr>
      <w:proofErr w:type="gramStart"/>
      <w:r w:rsidRPr="00701439">
        <w:rPr>
          <w:rFonts w:asciiTheme="minorHAnsi" w:hAnsiTheme="minorHAnsi" w:cs="Arial"/>
          <w:bCs/>
          <w:sz w:val="20"/>
          <w:szCs w:val="20"/>
        </w:rPr>
        <w:t>In light of</w:t>
      </w:r>
      <w:proofErr w:type="gramEnd"/>
      <w:r w:rsidRPr="00701439">
        <w:rPr>
          <w:rFonts w:asciiTheme="minorHAnsi" w:hAnsiTheme="minorHAnsi" w:cs="Arial"/>
          <w:bCs/>
          <w:sz w:val="20"/>
          <w:szCs w:val="20"/>
        </w:rPr>
        <w:t xml:space="preserve"> rising inflation and higher energy costs, an additional provision is required for the expected rise in cost of living which may impact customers’ ability to make repayments.</w:t>
      </w:r>
    </w:p>
    <w:p w14:paraId="45FBD071" w14:textId="77777777" w:rsidR="008104B6" w:rsidRPr="00701439" w:rsidRDefault="008104B6" w:rsidP="00810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b/>
          <w:sz w:val="20"/>
          <w:szCs w:val="20"/>
        </w:rPr>
      </w:pPr>
    </w:p>
    <w:p w14:paraId="661CCA61" w14:textId="77777777" w:rsidR="000A4FE1" w:rsidRPr="00701439" w:rsidRDefault="000A4FE1" w:rsidP="00810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b/>
          <w:sz w:val="20"/>
          <w:szCs w:val="20"/>
        </w:rPr>
      </w:pPr>
    </w:p>
    <w:p w14:paraId="25EDEC86" w14:textId="77777777" w:rsidR="000A4FE1" w:rsidRPr="00701439" w:rsidRDefault="000A4FE1" w:rsidP="00810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b/>
          <w:sz w:val="20"/>
          <w:szCs w:val="20"/>
        </w:rPr>
      </w:pPr>
    </w:p>
    <w:p w14:paraId="31423941" w14:textId="77777777" w:rsidR="000A4FE1" w:rsidRPr="00701439" w:rsidRDefault="000A4FE1" w:rsidP="00810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b/>
          <w:sz w:val="20"/>
          <w:szCs w:val="20"/>
        </w:rPr>
      </w:pPr>
    </w:p>
    <w:p w14:paraId="2944641C" w14:textId="77777777" w:rsidR="000A4FE1" w:rsidRDefault="000A4FE1" w:rsidP="00810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b/>
          <w:sz w:val="20"/>
          <w:szCs w:val="20"/>
        </w:rPr>
      </w:pPr>
    </w:p>
    <w:p w14:paraId="02B605E3" w14:textId="77777777" w:rsidR="0087081B" w:rsidRPr="00701439" w:rsidRDefault="0087081B" w:rsidP="00810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b/>
          <w:sz w:val="20"/>
          <w:szCs w:val="20"/>
        </w:rPr>
      </w:pPr>
    </w:p>
    <w:p w14:paraId="30C1F01D" w14:textId="77777777" w:rsidR="000A4FE1" w:rsidRPr="00701439" w:rsidRDefault="000A4FE1" w:rsidP="00810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b/>
          <w:sz w:val="20"/>
          <w:szCs w:val="20"/>
        </w:rPr>
      </w:pPr>
    </w:p>
    <w:p w14:paraId="0A7B6D07" w14:textId="2D6FB850" w:rsidR="000A4FE1" w:rsidRPr="00701439" w:rsidRDefault="000A4FE1" w:rsidP="000A4FE1">
      <w:pPr>
        <w:ind w:left="567" w:hanging="567"/>
        <w:rPr>
          <w:rFonts w:asciiTheme="minorHAnsi" w:hAnsiTheme="minorHAnsi" w:cs="Arial"/>
          <w:b/>
          <w:color w:val="4747FF"/>
          <w:sz w:val="22"/>
          <w:szCs w:val="22"/>
        </w:rPr>
      </w:pPr>
      <w:r w:rsidRPr="00701439">
        <w:rPr>
          <w:rFonts w:asciiTheme="minorHAnsi" w:hAnsiTheme="minorHAnsi" w:cs="Arial"/>
          <w:b/>
          <w:color w:val="4747FF"/>
          <w:sz w:val="22"/>
          <w:szCs w:val="22"/>
        </w:rPr>
        <w:lastRenderedPageBreak/>
        <w:t>8.</w:t>
      </w:r>
      <w:r w:rsidRPr="00701439">
        <w:rPr>
          <w:rFonts w:asciiTheme="minorHAnsi" w:hAnsiTheme="minorHAnsi" w:cs="Arial"/>
          <w:b/>
          <w:color w:val="4747FF"/>
          <w:sz w:val="22"/>
          <w:szCs w:val="22"/>
        </w:rPr>
        <w:tab/>
        <w:t>Amounts receivable from customers (continued)</w:t>
      </w:r>
    </w:p>
    <w:p w14:paraId="4849FFAF" w14:textId="77777777" w:rsidR="000A4FE1" w:rsidRPr="00701439" w:rsidRDefault="000A4FE1" w:rsidP="00810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b/>
          <w:sz w:val="20"/>
          <w:szCs w:val="20"/>
        </w:rPr>
      </w:pPr>
    </w:p>
    <w:p w14:paraId="454EAE17" w14:textId="495110BC" w:rsidR="008104B6" w:rsidRPr="00701439" w:rsidRDefault="008104B6" w:rsidP="00810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b/>
          <w:sz w:val="20"/>
          <w:szCs w:val="20"/>
        </w:rPr>
      </w:pPr>
      <w:r w:rsidRPr="00701439">
        <w:rPr>
          <w:rFonts w:asciiTheme="minorHAnsi" w:hAnsiTheme="minorHAnsi" w:cs="Arial"/>
          <w:b/>
          <w:sz w:val="20"/>
          <w:szCs w:val="20"/>
        </w:rPr>
        <w:t>(b) Covid-19 overlay</w:t>
      </w:r>
    </w:p>
    <w:p w14:paraId="1E2C1C28" w14:textId="22A13F48" w:rsidR="008104B6" w:rsidRPr="00701439" w:rsidRDefault="008104B6" w:rsidP="00810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bCs/>
          <w:sz w:val="20"/>
          <w:szCs w:val="20"/>
        </w:rPr>
      </w:pPr>
      <w:r w:rsidRPr="00701439">
        <w:rPr>
          <w:rFonts w:asciiTheme="minorHAnsi" w:hAnsiTheme="minorHAnsi" w:cs="Arial"/>
          <w:bCs/>
          <w:sz w:val="20"/>
          <w:szCs w:val="20"/>
        </w:rPr>
        <w:t xml:space="preserve">In December 2020, a post-model </w:t>
      </w:r>
      <w:r w:rsidR="00F12407" w:rsidRPr="00701439">
        <w:rPr>
          <w:rFonts w:asciiTheme="minorHAnsi" w:hAnsiTheme="minorHAnsi" w:cs="Arial"/>
          <w:bCs/>
          <w:sz w:val="20"/>
          <w:szCs w:val="20"/>
        </w:rPr>
        <w:t>overlay</w:t>
      </w:r>
      <w:r w:rsidRPr="00701439">
        <w:rPr>
          <w:rFonts w:asciiTheme="minorHAnsi" w:hAnsiTheme="minorHAnsi" w:cs="Arial"/>
          <w:bCs/>
          <w:sz w:val="20"/>
          <w:szCs w:val="20"/>
        </w:rPr>
        <w:t xml:space="preserve"> for the payment holiday population and any future take-up of payment holidays expected in the personal </w:t>
      </w:r>
      <w:proofErr w:type="gramStart"/>
      <w:r w:rsidRPr="00701439">
        <w:rPr>
          <w:rFonts w:asciiTheme="minorHAnsi" w:hAnsiTheme="minorHAnsi" w:cs="Arial"/>
          <w:bCs/>
          <w:sz w:val="20"/>
          <w:szCs w:val="20"/>
        </w:rPr>
        <w:t>loans</w:t>
      </w:r>
      <w:proofErr w:type="gramEnd"/>
      <w:r w:rsidRPr="00701439">
        <w:rPr>
          <w:rFonts w:asciiTheme="minorHAnsi" w:hAnsiTheme="minorHAnsi" w:cs="Arial"/>
          <w:bCs/>
          <w:sz w:val="20"/>
          <w:szCs w:val="20"/>
        </w:rPr>
        <w:t xml:space="preserve"> portfolio was held, as these customers will exhibit greater losses than indicated based on the historical experience within the core model. This was updated in December 2021 as payment holidays ceased and an increased PD for up-to-date accounts was applied </w:t>
      </w:r>
      <w:proofErr w:type="gramStart"/>
      <w:r w:rsidRPr="00701439">
        <w:rPr>
          <w:rFonts w:asciiTheme="minorHAnsi" w:hAnsiTheme="minorHAnsi" w:cs="Arial"/>
          <w:bCs/>
          <w:sz w:val="20"/>
          <w:szCs w:val="20"/>
        </w:rPr>
        <w:t>as a result of</w:t>
      </w:r>
      <w:proofErr w:type="gramEnd"/>
      <w:r w:rsidRPr="00701439">
        <w:rPr>
          <w:rFonts w:asciiTheme="minorHAnsi" w:hAnsiTheme="minorHAnsi" w:cs="Arial"/>
          <w:bCs/>
          <w:sz w:val="20"/>
          <w:szCs w:val="20"/>
        </w:rPr>
        <w:t xml:space="preserve"> more accounts being expected to fall into default after the removal of the government support scheme. Over the course of 2022 it became evident that the overlay was no longer </w:t>
      </w:r>
      <w:proofErr w:type="gramStart"/>
      <w:r w:rsidRPr="00701439">
        <w:rPr>
          <w:rFonts w:asciiTheme="minorHAnsi" w:hAnsiTheme="minorHAnsi" w:cs="Arial"/>
          <w:bCs/>
          <w:sz w:val="20"/>
          <w:szCs w:val="20"/>
        </w:rPr>
        <w:t>required</w:t>
      </w:r>
      <w:proofErr w:type="gramEnd"/>
      <w:r w:rsidRPr="00701439">
        <w:rPr>
          <w:rFonts w:asciiTheme="minorHAnsi" w:hAnsiTheme="minorHAnsi" w:cs="Arial"/>
          <w:bCs/>
          <w:sz w:val="20"/>
          <w:szCs w:val="20"/>
        </w:rPr>
        <w:t xml:space="preserve"> and it has been gradually unwound during the year.</w:t>
      </w:r>
    </w:p>
    <w:p w14:paraId="70B19F4A" w14:textId="77777777" w:rsidR="00961CC2" w:rsidRPr="00701439" w:rsidRDefault="00961CC2" w:rsidP="00A3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b/>
          <w:sz w:val="20"/>
          <w:szCs w:val="20"/>
        </w:rPr>
      </w:pPr>
    </w:p>
    <w:p w14:paraId="72396237" w14:textId="77777777" w:rsidR="00A3021A" w:rsidRPr="00701439" w:rsidRDefault="00A3021A" w:rsidP="00A3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bCs/>
          <w:sz w:val="20"/>
          <w:szCs w:val="20"/>
        </w:rPr>
      </w:pPr>
      <w:r w:rsidRPr="00701439">
        <w:rPr>
          <w:rFonts w:asciiTheme="minorHAnsi" w:hAnsiTheme="minorHAnsi" w:cs="Arial"/>
          <w:bCs/>
          <w:sz w:val="20"/>
          <w:szCs w:val="20"/>
        </w:rPr>
        <w:t>The impairment charge in respect of amounts receivable from customers can be analysed as follows:</w:t>
      </w:r>
    </w:p>
    <w:p w14:paraId="1E79C5FA" w14:textId="77777777" w:rsidR="00A3021A" w:rsidRPr="00701439" w:rsidRDefault="00A3021A" w:rsidP="00A3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bCs/>
          <w:sz w:val="20"/>
          <w:szCs w:val="20"/>
        </w:rPr>
      </w:pPr>
    </w:p>
    <w:tbl>
      <w:tblPr>
        <w:tblW w:w="9923" w:type="dxa"/>
        <w:tblLook w:val="0000" w:firstRow="0" w:lastRow="0" w:firstColumn="0" w:lastColumn="0" w:noHBand="0" w:noVBand="0"/>
      </w:tblPr>
      <w:tblGrid>
        <w:gridCol w:w="7747"/>
        <w:gridCol w:w="1088"/>
        <w:gridCol w:w="1088"/>
      </w:tblGrid>
      <w:tr w:rsidR="00A3021A" w:rsidRPr="00701439" w14:paraId="427C4767" w14:textId="77777777">
        <w:tc>
          <w:tcPr>
            <w:tcW w:w="7747" w:type="dxa"/>
            <w:vAlign w:val="bottom"/>
          </w:tcPr>
          <w:p w14:paraId="40ACD42C" w14:textId="77777777" w:rsidR="00A3021A" w:rsidRPr="00701439" w:rsidRDefault="00A3021A">
            <w:pPr>
              <w:rPr>
                <w:rFonts w:asciiTheme="minorHAnsi" w:hAnsiTheme="minorHAnsi" w:cs="Arial"/>
                <w:sz w:val="20"/>
                <w:szCs w:val="20"/>
              </w:rPr>
            </w:pPr>
          </w:p>
        </w:tc>
        <w:tc>
          <w:tcPr>
            <w:tcW w:w="1088" w:type="dxa"/>
            <w:vAlign w:val="bottom"/>
          </w:tcPr>
          <w:p w14:paraId="41547958"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2022  </w:t>
            </w:r>
          </w:p>
        </w:tc>
        <w:tc>
          <w:tcPr>
            <w:tcW w:w="1088" w:type="dxa"/>
            <w:vAlign w:val="bottom"/>
          </w:tcPr>
          <w:p w14:paraId="60C00B3F"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2021</w:t>
            </w:r>
          </w:p>
        </w:tc>
      </w:tr>
      <w:tr w:rsidR="00A3021A" w:rsidRPr="00701439" w14:paraId="203C411D" w14:textId="77777777">
        <w:tc>
          <w:tcPr>
            <w:tcW w:w="7747" w:type="dxa"/>
            <w:vAlign w:val="bottom"/>
          </w:tcPr>
          <w:p w14:paraId="34CC1A41" w14:textId="77777777" w:rsidR="00A3021A" w:rsidRPr="00701439" w:rsidRDefault="00A3021A">
            <w:pPr>
              <w:rPr>
                <w:rFonts w:asciiTheme="minorHAnsi" w:hAnsiTheme="minorHAnsi" w:cs="Arial"/>
                <w:bCs/>
                <w:sz w:val="20"/>
                <w:szCs w:val="20"/>
              </w:rPr>
            </w:pPr>
          </w:p>
        </w:tc>
        <w:tc>
          <w:tcPr>
            <w:tcW w:w="1088" w:type="dxa"/>
            <w:tcBorders>
              <w:top w:val="nil"/>
              <w:left w:val="nil"/>
              <w:bottom w:val="single" w:sz="4" w:space="0" w:color="auto"/>
              <w:right w:val="nil"/>
            </w:tcBorders>
            <w:vAlign w:val="bottom"/>
          </w:tcPr>
          <w:p w14:paraId="1517EF4E"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£m </w:t>
            </w:r>
          </w:p>
        </w:tc>
        <w:tc>
          <w:tcPr>
            <w:tcW w:w="1088" w:type="dxa"/>
            <w:tcBorders>
              <w:top w:val="nil"/>
              <w:left w:val="nil"/>
              <w:bottom w:val="single" w:sz="4" w:space="0" w:color="auto"/>
              <w:right w:val="nil"/>
            </w:tcBorders>
            <w:vAlign w:val="bottom"/>
          </w:tcPr>
          <w:p w14:paraId="524445F2"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£m </w:t>
            </w:r>
          </w:p>
        </w:tc>
      </w:tr>
      <w:tr w:rsidR="00A3021A" w:rsidRPr="00701439" w14:paraId="50D43EAB" w14:textId="77777777">
        <w:tc>
          <w:tcPr>
            <w:tcW w:w="7747" w:type="dxa"/>
            <w:vAlign w:val="bottom"/>
          </w:tcPr>
          <w:p w14:paraId="429AB41A"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Credit cards</w:t>
            </w:r>
          </w:p>
        </w:tc>
        <w:tc>
          <w:tcPr>
            <w:tcW w:w="1088" w:type="dxa"/>
            <w:vAlign w:val="bottom"/>
          </w:tcPr>
          <w:p w14:paraId="43FC169F"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16.8</w:t>
            </w:r>
          </w:p>
        </w:tc>
        <w:tc>
          <w:tcPr>
            <w:tcW w:w="1088" w:type="dxa"/>
            <w:vAlign w:val="bottom"/>
          </w:tcPr>
          <w:p w14:paraId="38FCAF0C"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3.7</w:t>
            </w:r>
          </w:p>
        </w:tc>
      </w:tr>
      <w:tr w:rsidR="00A3021A" w:rsidRPr="00701439" w14:paraId="6C5DB003" w14:textId="77777777">
        <w:tc>
          <w:tcPr>
            <w:tcW w:w="7747" w:type="dxa"/>
            <w:vAlign w:val="bottom"/>
          </w:tcPr>
          <w:p w14:paraId="797501C1"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Vehicle finance</w:t>
            </w:r>
          </w:p>
        </w:tc>
        <w:tc>
          <w:tcPr>
            <w:tcW w:w="1088" w:type="dxa"/>
            <w:vAlign w:val="bottom"/>
          </w:tcPr>
          <w:p w14:paraId="18D14EF0"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40.8</w:t>
            </w:r>
          </w:p>
        </w:tc>
        <w:tc>
          <w:tcPr>
            <w:tcW w:w="1088" w:type="dxa"/>
            <w:vAlign w:val="bottom"/>
          </w:tcPr>
          <w:p w14:paraId="30CE108D"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44.6</w:t>
            </w:r>
          </w:p>
        </w:tc>
      </w:tr>
      <w:tr w:rsidR="00A3021A" w:rsidRPr="00701439" w14:paraId="55113C71" w14:textId="77777777">
        <w:tc>
          <w:tcPr>
            <w:tcW w:w="7747" w:type="dxa"/>
            <w:vAlign w:val="bottom"/>
          </w:tcPr>
          <w:p w14:paraId="6136452B"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Personal loans</w:t>
            </w:r>
          </w:p>
        </w:tc>
        <w:tc>
          <w:tcPr>
            <w:tcW w:w="1088" w:type="dxa"/>
            <w:tcBorders>
              <w:bottom w:val="single" w:sz="4" w:space="0" w:color="auto"/>
            </w:tcBorders>
            <w:vAlign w:val="bottom"/>
          </w:tcPr>
          <w:p w14:paraId="7A0879FB"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8.5</w:t>
            </w:r>
          </w:p>
        </w:tc>
        <w:tc>
          <w:tcPr>
            <w:tcW w:w="1088" w:type="dxa"/>
            <w:tcBorders>
              <w:bottom w:val="single" w:sz="4" w:space="0" w:color="auto"/>
            </w:tcBorders>
            <w:vAlign w:val="bottom"/>
          </w:tcPr>
          <w:p w14:paraId="323C7996"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2.1</w:t>
            </w:r>
          </w:p>
        </w:tc>
      </w:tr>
      <w:tr w:rsidR="00A3021A" w:rsidRPr="00701439" w14:paraId="6101ACA0" w14:textId="77777777">
        <w:tc>
          <w:tcPr>
            <w:tcW w:w="7747" w:type="dxa"/>
            <w:vAlign w:val="bottom"/>
          </w:tcPr>
          <w:p w14:paraId="1148A9CC" w14:textId="77777777" w:rsidR="00A3021A" w:rsidRPr="00701439" w:rsidRDefault="00A3021A">
            <w:pPr>
              <w:rPr>
                <w:rFonts w:asciiTheme="minorHAnsi" w:hAnsiTheme="minorHAnsi" w:cs="Arial"/>
                <w:b/>
                <w:sz w:val="20"/>
                <w:szCs w:val="20"/>
              </w:rPr>
            </w:pPr>
            <w:r w:rsidRPr="00701439">
              <w:rPr>
                <w:rFonts w:asciiTheme="minorHAnsi" w:hAnsiTheme="minorHAnsi" w:cs="Arial"/>
                <w:b/>
                <w:sz w:val="20"/>
                <w:szCs w:val="20"/>
              </w:rPr>
              <w:t>Total impairment charge – continuing operations</w:t>
            </w:r>
          </w:p>
        </w:tc>
        <w:tc>
          <w:tcPr>
            <w:tcW w:w="1088" w:type="dxa"/>
            <w:tcBorders>
              <w:top w:val="single" w:sz="4" w:space="0" w:color="auto"/>
              <w:left w:val="nil"/>
              <w:right w:val="nil"/>
            </w:tcBorders>
            <w:vAlign w:val="bottom"/>
          </w:tcPr>
          <w:p w14:paraId="2BA6BC6B"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66.1</w:t>
            </w:r>
          </w:p>
        </w:tc>
        <w:tc>
          <w:tcPr>
            <w:tcW w:w="1088" w:type="dxa"/>
            <w:tcBorders>
              <w:top w:val="single" w:sz="4" w:space="0" w:color="auto"/>
              <w:left w:val="nil"/>
              <w:right w:val="nil"/>
            </w:tcBorders>
            <w:vAlign w:val="bottom"/>
          </w:tcPr>
          <w:p w14:paraId="36972F63"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50.4</w:t>
            </w:r>
          </w:p>
        </w:tc>
      </w:tr>
      <w:tr w:rsidR="00A3021A" w:rsidRPr="00701439" w14:paraId="6EEC35A7" w14:textId="77777777">
        <w:tc>
          <w:tcPr>
            <w:tcW w:w="7747" w:type="dxa"/>
            <w:vAlign w:val="bottom"/>
          </w:tcPr>
          <w:p w14:paraId="184850CA" w14:textId="77777777" w:rsidR="00A3021A" w:rsidRPr="00701439" w:rsidRDefault="00A3021A">
            <w:pPr>
              <w:rPr>
                <w:rFonts w:asciiTheme="minorHAnsi" w:hAnsiTheme="minorHAnsi" w:cs="Arial"/>
                <w:b/>
                <w:sz w:val="20"/>
                <w:szCs w:val="20"/>
              </w:rPr>
            </w:pPr>
            <w:r w:rsidRPr="00701439">
              <w:rPr>
                <w:rFonts w:asciiTheme="minorHAnsi" w:hAnsiTheme="minorHAnsi" w:cs="Arial"/>
                <w:b/>
                <w:sz w:val="20"/>
                <w:szCs w:val="20"/>
              </w:rPr>
              <w:t>CCD – discontinued operations</w:t>
            </w:r>
          </w:p>
        </w:tc>
        <w:tc>
          <w:tcPr>
            <w:tcW w:w="1088" w:type="dxa"/>
            <w:tcBorders>
              <w:left w:val="nil"/>
              <w:bottom w:val="single" w:sz="4" w:space="0" w:color="auto"/>
              <w:right w:val="nil"/>
            </w:tcBorders>
            <w:vAlign w:val="bottom"/>
          </w:tcPr>
          <w:p w14:paraId="295026FB"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c>
          <w:tcPr>
            <w:tcW w:w="1088" w:type="dxa"/>
            <w:tcBorders>
              <w:left w:val="nil"/>
              <w:bottom w:val="single" w:sz="4" w:space="0" w:color="auto"/>
              <w:right w:val="nil"/>
            </w:tcBorders>
            <w:vAlign w:val="bottom"/>
          </w:tcPr>
          <w:p w14:paraId="02F43D9C"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59.6</w:t>
            </w:r>
          </w:p>
        </w:tc>
      </w:tr>
      <w:tr w:rsidR="00A3021A" w:rsidRPr="00701439" w14:paraId="1972AA05" w14:textId="77777777">
        <w:tc>
          <w:tcPr>
            <w:tcW w:w="7747" w:type="dxa"/>
            <w:vAlign w:val="bottom"/>
          </w:tcPr>
          <w:p w14:paraId="76D33969" w14:textId="77777777" w:rsidR="00A3021A" w:rsidRPr="00701439" w:rsidRDefault="00A3021A">
            <w:pPr>
              <w:rPr>
                <w:rFonts w:asciiTheme="minorHAnsi" w:hAnsiTheme="minorHAnsi" w:cs="Arial"/>
                <w:b/>
                <w:sz w:val="20"/>
                <w:szCs w:val="20"/>
              </w:rPr>
            </w:pPr>
            <w:r w:rsidRPr="00701439">
              <w:rPr>
                <w:rFonts w:asciiTheme="minorHAnsi" w:hAnsiTheme="minorHAnsi" w:cs="Arial"/>
                <w:b/>
                <w:sz w:val="20"/>
                <w:szCs w:val="20"/>
              </w:rPr>
              <w:t>Total impairment charge</w:t>
            </w:r>
          </w:p>
        </w:tc>
        <w:tc>
          <w:tcPr>
            <w:tcW w:w="1088" w:type="dxa"/>
            <w:tcBorders>
              <w:top w:val="single" w:sz="4" w:space="0" w:color="auto"/>
              <w:left w:val="nil"/>
              <w:bottom w:val="single" w:sz="12" w:space="0" w:color="auto"/>
              <w:right w:val="nil"/>
            </w:tcBorders>
            <w:vAlign w:val="bottom"/>
          </w:tcPr>
          <w:p w14:paraId="204E57B9"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66.1</w:t>
            </w:r>
          </w:p>
        </w:tc>
        <w:tc>
          <w:tcPr>
            <w:tcW w:w="1088" w:type="dxa"/>
            <w:tcBorders>
              <w:top w:val="single" w:sz="4" w:space="0" w:color="auto"/>
              <w:left w:val="nil"/>
              <w:bottom w:val="single" w:sz="12" w:space="0" w:color="auto"/>
              <w:right w:val="nil"/>
            </w:tcBorders>
            <w:vAlign w:val="bottom"/>
          </w:tcPr>
          <w:p w14:paraId="7888214E"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110.0</w:t>
            </w:r>
          </w:p>
        </w:tc>
      </w:tr>
    </w:tbl>
    <w:p w14:paraId="5EF13EE2" w14:textId="77777777" w:rsidR="00A3021A" w:rsidRPr="00701439" w:rsidRDefault="00A3021A" w:rsidP="00A3021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b/>
          <w:sz w:val="20"/>
          <w:szCs w:val="20"/>
        </w:rPr>
      </w:pPr>
    </w:p>
    <w:p w14:paraId="0D4DAEEB" w14:textId="77777777" w:rsidR="00B70847" w:rsidRPr="00701439" w:rsidRDefault="00B70847" w:rsidP="00A3021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b/>
          <w:sz w:val="20"/>
          <w:szCs w:val="20"/>
        </w:rPr>
      </w:pPr>
    </w:p>
    <w:p w14:paraId="68063F5D" w14:textId="77777777" w:rsidR="00A3021A" w:rsidRPr="00701439" w:rsidRDefault="00A3021A" w:rsidP="00A3021A">
      <w:pPr>
        <w:ind w:left="567" w:hanging="567"/>
        <w:jc w:val="both"/>
        <w:rPr>
          <w:rFonts w:asciiTheme="minorHAnsi" w:hAnsiTheme="minorHAnsi" w:cs="Arial"/>
          <w:b/>
          <w:bCs/>
          <w:color w:val="4747FF"/>
          <w:sz w:val="22"/>
          <w:szCs w:val="22"/>
        </w:rPr>
      </w:pPr>
      <w:r w:rsidRPr="00701439">
        <w:rPr>
          <w:rFonts w:asciiTheme="minorHAnsi" w:hAnsiTheme="minorHAnsi" w:cs="Arial"/>
          <w:b/>
          <w:bCs/>
          <w:color w:val="4747FF"/>
          <w:sz w:val="22"/>
          <w:szCs w:val="22"/>
        </w:rPr>
        <w:t>9.</w:t>
      </w:r>
      <w:r w:rsidRPr="00701439">
        <w:rPr>
          <w:rFonts w:asciiTheme="minorHAnsi" w:hAnsiTheme="minorHAnsi" w:cs="Arial"/>
          <w:b/>
          <w:bCs/>
          <w:color w:val="4747FF"/>
          <w:sz w:val="22"/>
          <w:szCs w:val="22"/>
        </w:rPr>
        <w:tab/>
        <w:t>Investments</w:t>
      </w:r>
    </w:p>
    <w:tbl>
      <w:tblPr>
        <w:tblW w:w="9923" w:type="dxa"/>
        <w:tblLook w:val="0000" w:firstRow="0" w:lastRow="0" w:firstColumn="0" w:lastColumn="0" w:noHBand="0" w:noVBand="0"/>
      </w:tblPr>
      <w:tblGrid>
        <w:gridCol w:w="7797"/>
        <w:gridCol w:w="992"/>
        <w:gridCol w:w="1134"/>
      </w:tblGrid>
      <w:tr w:rsidR="00A3021A" w:rsidRPr="00701439" w14:paraId="5CE8D376" w14:textId="77777777" w:rsidTr="0090622E">
        <w:tc>
          <w:tcPr>
            <w:tcW w:w="7797" w:type="dxa"/>
          </w:tcPr>
          <w:p w14:paraId="52B9B5C4" w14:textId="77777777" w:rsidR="00A3021A" w:rsidRPr="00701439" w:rsidRDefault="00A3021A">
            <w:pPr>
              <w:jc w:val="both"/>
              <w:rPr>
                <w:rFonts w:asciiTheme="minorHAnsi" w:hAnsiTheme="minorHAnsi" w:cs="Arial"/>
                <w:sz w:val="20"/>
                <w:szCs w:val="20"/>
              </w:rPr>
            </w:pPr>
          </w:p>
        </w:tc>
        <w:tc>
          <w:tcPr>
            <w:tcW w:w="992" w:type="dxa"/>
          </w:tcPr>
          <w:p w14:paraId="397EF805"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2022 </w:t>
            </w:r>
          </w:p>
        </w:tc>
        <w:tc>
          <w:tcPr>
            <w:tcW w:w="1134" w:type="dxa"/>
          </w:tcPr>
          <w:p w14:paraId="56FDAD29"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2021</w:t>
            </w:r>
          </w:p>
        </w:tc>
      </w:tr>
      <w:tr w:rsidR="00A3021A" w:rsidRPr="00701439" w14:paraId="24E91F27" w14:textId="77777777" w:rsidTr="0090622E">
        <w:tc>
          <w:tcPr>
            <w:tcW w:w="7797" w:type="dxa"/>
          </w:tcPr>
          <w:p w14:paraId="6B054057" w14:textId="77777777" w:rsidR="00A3021A" w:rsidRPr="00701439" w:rsidRDefault="00A3021A">
            <w:pPr>
              <w:pStyle w:val="Heading5"/>
              <w:overflowPunct/>
              <w:autoSpaceDE/>
              <w:adjustRightInd/>
              <w:rPr>
                <w:rFonts w:asciiTheme="minorHAnsi" w:hAnsiTheme="minorHAnsi" w:cs="Arial"/>
                <w:bCs/>
                <w:sz w:val="20"/>
              </w:rPr>
            </w:pPr>
          </w:p>
        </w:tc>
        <w:tc>
          <w:tcPr>
            <w:tcW w:w="992" w:type="dxa"/>
            <w:tcBorders>
              <w:top w:val="nil"/>
              <w:left w:val="nil"/>
              <w:bottom w:val="single" w:sz="4" w:space="0" w:color="auto"/>
              <w:right w:val="nil"/>
            </w:tcBorders>
          </w:tcPr>
          <w:p w14:paraId="438227B7"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£m </w:t>
            </w:r>
          </w:p>
        </w:tc>
        <w:tc>
          <w:tcPr>
            <w:tcW w:w="1134" w:type="dxa"/>
            <w:tcBorders>
              <w:top w:val="nil"/>
              <w:left w:val="nil"/>
              <w:bottom w:val="single" w:sz="4" w:space="0" w:color="auto"/>
              <w:right w:val="nil"/>
            </w:tcBorders>
          </w:tcPr>
          <w:p w14:paraId="733A76B6"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£m </w:t>
            </w:r>
          </w:p>
        </w:tc>
      </w:tr>
      <w:tr w:rsidR="00A3021A" w:rsidRPr="00701439" w14:paraId="30C687AA" w14:textId="77777777" w:rsidTr="0090622E">
        <w:tc>
          <w:tcPr>
            <w:tcW w:w="7797" w:type="dxa"/>
          </w:tcPr>
          <w:p w14:paraId="1E5CD889" w14:textId="77777777" w:rsidR="00A3021A" w:rsidRPr="00701439" w:rsidRDefault="00A3021A">
            <w:pPr>
              <w:pStyle w:val="Heading5"/>
              <w:tabs>
                <w:tab w:val="clear" w:pos="720"/>
                <w:tab w:val="right" w:pos="4680"/>
              </w:tabs>
              <w:jc w:val="left"/>
              <w:rPr>
                <w:rFonts w:asciiTheme="minorHAnsi" w:hAnsiTheme="minorHAnsi" w:cs="Arial"/>
                <w:b w:val="0"/>
                <w:sz w:val="20"/>
              </w:rPr>
            </w:pPr>
            <w:r w:rsidRPr="00701439">
              <w:rPr>
                <w:rFonts w:asciiTheme="minorHAnsi" w:hAnsiTheme="minorHAnsi" w:cs="Arial"/>
                <w:b w:val="0"/>
                <w:sz w:val="20"/>
              </w:rPr>
              <w:t>Visa Inc. shares</w:t>
            </w:r>
          </w:p>
        </w:tc>
        <w:tc>
          <w:tcPr>
            <w:tcW w:w="992" w:type="dxa"/>
            <w:tcBorders>
              <w:left w:val="nil"/>
              <w:bottom w:val="single" w:sz="18" w:space="0" w:color="auto"/>
              <w:right w:val="nil"/>
            </w:tcBorders>
            <w:vAlign w:val="bottom"/>
          </w:tcPr>
          <w:p w14:paraId="6AEBD08A"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10.7</w:t>
            </w:r>
          </w:p>
        </w:tc>
        <w:tc>
          <w:tcPr>
            <w:tcW w:w="1134" w:type="dxa"/>
            <w:tcBorders>
              <w:left w:val="nil"/>
              <w:bottom w:val="single" w:sz="18" w:space="0" w:color="auto"/>
              <w:right w:val="nil"/>
            </w:tcBorders>
            <w:vAlign w:val="bottom"/>
          </w:tcPr>
          <w:p w14:paraId="73AC36FD"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9.1</w:t>
            </w:r>
          </w:p>
        </w:tc>
      </w:tr>
    </w:tbl>
    <w:p w14:paraId="4B4F530F" w14:textId="77777777" w:rsidR="00A3021A" w:rsidRPr="00701439" w:rsidRDefault="00A3021A" w:rsidP="00A3021A">
      <w:pPr>
        <w:jc w:val="both"/>
        <w:rPr>
          <w:rFonts w:asciiTheme="minorHAnsi" w:hAnsiTheme="minorHAnsi"/>
          <w:b/>
          <w:sz w:val="20"/>
          <w:szCs w:val="20"/>
        </w:rPr>
      </w:pPr>
    </w:p>
    <w:p w14:paraId="599466E7" w14:textId="77777777" w:rsidR="00795BA7" w:rsidRPr="00701439" w:rsidRDefault="00795BA7" w:rsidP="00A3021A">
      <w:pPr>
        <w:jc w:val="both"/>
        <w:rPr>
          <w:rFonts w:asciiTheme="minorHAnsi" w:hAnsiTheme="minorHAnsi"/>
          <w:b/>
          <w:sz w:val="20"/>
          <w:szCs w:val="20"/>
        </w:rPr>
      </w:pPr>
    </w:p>
    <w:p w14:paraId="3D32392C" w14:textId="77777777" w:rsidR="00A3021A" w:rsidRPr="00701439" w:rsidRDefault="00A3021A" w:rsidP="00A3021A">
      <w:pPr>
        <w:jc w:val="both"/>
        <w:rPr>
          <w:rFonts w:asciiTheme="minorHAnsi" w:hAnsiTheme="minorHAnsi" w:cs="Arial"/>
          <w:b/>
          <w:sz w:val="20"/>
          <w:szCs w:val="20"/>
        </w:rPr>
      </w:pPr>
      <w:r w:rsidRPr="00701439">
        <w:rPr>
          <w:rFonts w:asciiTheme="minorHAnsi" w:hAnsiTheme="minorHAnsi" w:cs="Arial"/>
          <w:b/>
          <w:sz w:val="20"/>
          <w:szCs w:val="20"/>
        </w:rPr>
        <w:t>Visa Inc. shares</w:t>
      </w:r>
    </w:p>
    <w:p w14:paraId="4AC814D7" w14:textId="77777777" w:rsidR="00A3021A" w:rsidRPr="00701439" w:rsidRDefault="00A3021A" w:rsidP="00A3021A">
      <w:pPr>
        <w:jc w:val="both"/>
        <w:rPr>
          <w:rFonts w:asciiTheme="minorHAnsi" w:hAnsiTheme="minorHAnsi" w:cs="Arial"/>
          <w:b/>
          <w:sz w:val="20"/>
          <w:szCs w:val="20"/>
        </w:rPr>
      </w:pPr>
    </w:p>
    <w:p w14:paraId="78D45D5C" w14:textId="77777777" w:rsidR="00A3021A" w:rsidRPr="00701439" w:rsidRDefault="00A3021A" w:rsidP="00A3021A">
      <w:pPr>
        <w:autoSpaceDE w:val="0"/>
        <w:autoSpaceDN w:val="0"/>
        <w:adjustRightInd w:val="0"/>
        <w:jc w:val="both"/>
        <w:rPr>
          <w:rFonts w:ascii="Calibri" w:hAnsi="Calibri" w:cs="Poppins-Light"/>
          <w:sz w:val="20"/>
          <w:szCs w:val="20"/>
        </w:rPr>
      </w:pPr>
      <w:r w:rsidRPr="00701439">
        <w:rPr>
          <w:rFonts w:ascii="Calibri" w:hAnsi="Calibri" w:cs="Poppins-Light"/>
          <w:sz w:val="20"/>
          <w:szCs w:val="20"/>
        </w:rPr>
        <w:t>The Visa Inc shares represent preferred stock in Visa Inc held by Vanquis Bank Limited following completion of Visa Inc’s</w:t>
      </w:r>
    </w:p>
    <w:p w14:paraId="060E89C9" w14:textId="77777777" w:rsidR="00A3021A" w:rsidRPr="00701439" w:rsidRDefault="00A3021A" w:rsidP="00A3021A">
      <w:pPr>
        <w:autoSpaceDE w:val="0"/>
        <w:autoSpaceDN w:val="0"/>
        <w:adjustRightInd w:val="0"/>
        <w:jc w:val="both"/>
        <w:rPr>
          <w:rFonts w:ascii="Calibri" w:hAnsi="Calibri" w:cs="Poppins-Light"/>
          <w:sz w:val="20"/>
          <w:szCs w:val="20"/>
        </w:rPr>
      </w:pPr>
      <w:r w:rsidRPr="00701439">
        <w:rPr>
          <w:rFonts w:ascii="Calibri" w:hAnsi="Calibri" w:cs="Poppins-Light"/>
          <w:sz w:val="20"/>
          <w:szCs w:val="20"/>
        </w:rPr>
        <w:t>acquisition of Visa Europe Limited on 21 June 2016. In consideration for Vanquis Bank Limited’s interest in Visa Europe Limited, Vanquis Bank Limited received cash consideration of €15.9m (£12.2m) on completion, preferred stock with an approximate value of €10.7m and deferred cash consideration of €1.4m which was received in 2019.</w:t>
      </w:r>
    </w:p>
    <w:p w14:paraId="19FC8AB1" w14:textId="77777777" w:rsidR="00A3021A" w:rsidRPr="00701439" w:rsidRDefault="00A3021A" w:rsidP="00A3021A">
      <w:pPr>
        <w:autoSpaceDE w:val="0"/>
        <w:autoSpaceDN w:val="0"/>
        <w:adjustRightInd w:val="0"/>
        <w:jc w:val="both"/>
        <w:rPr>
          <w:rFonts w:ascii="Calibri" w:hAnsi="Calibri" w:cs="Poppins-Light"/>
          <w:sz w:val="20"/>
          <w:szCs w:val="20"/>
        </w:rPr>
      </w:pPr>
    </w:p>
    <w:p w14:paraId="08616DFD" w14:textId="6A96E86E" w:rsidR="00A3021A" w:rsidRPr="00701439" w:rsidRDefault="00A3021A" w:rsidP="00A3021A">
      <w:pPr>
        <w:autoSpaceDE w:val="0"/>
        <w:autoSpaceDN w:val="0"/>
        <w:adjustRightInd w:val="0"/>
        <w:jc w:val="both"/>
        <w:rPr>
          <w:rFonts w:ascii="Calibri" w:hAnsi="Calibri" w:cs="Poppins-Light"/>
          <w:sz w:val="20"/>
          <w:szCs w:val="20"/>
        </w:rPr>
      </w:pPr>
      <w:r w:rsidRPr="00701439">
        <w:rPr>
          <w:rFonts w:ascii="Calibri" w:hAnsi="Calibri" w:cs="Poppins-Light"/>
          <w:sz w:val="20"/>
          <w:szCs w:val="20"/>
        </w:rPr>
        <w:t>The valuation of the preferred stock has been determined using the common stock’s value as an approximation as both classes of stock have similar dividend rights. However, adjustments have been made for: (</w:t>
      </w:r>
      <w:proofErr w:type="spellStart"/>
      <w:r w:rsidRPr="00701439">
        <w:rPr>
          <w:rFonts w:ascii="Calibri" w:hAnsi="Calibri" w:cs="Poppins-Light"/>
          <w:sz w:val="20"/>
          <w:szCs w:val="20"/>
        </w:rPr>
        <w:t>i</w:t>
      </w:r>
      <w:proofErr w:type="spellEnd"/>
      <w:r w:rsidRPr="00701439">
        <w:rPr>
          <w:rFonts w:ascii="Calibri" w:hAnsi="Calibri" w:cs="Poppins-Light"/>
          <w:sz w:val="20"/>
          <w:szCs w:val="20"/>
        </w:rPr>
        <w:t>) illiquidity</w:t>
      </w:r>
      <w:r w:rsidR="001E22BC">
        <w:rPr>
          <w:rFonts w:ascii="Calibri" w:hAnsi="Calibri" w:cs="Poppins-Light"/>
          <w:sz w:val="20"/>
          <w:szCs w:val="20"/>
        </w:rPr>
        <w:t>;</w:t>
      </w:r>
      <w:r w:rsidRPr="00701439">
        <w:rPr>
          <w:rFonts w:ascii="Calibri" w:hAnsi="Calibri" w:cs="Poppins-Light"/>
          <w:sz w:val="20"/>
          <w:szCs w:val="20"/>
        </w:rPr>
        <w:t xml:space="preserve"> as the preferred stock is not tradeable on an open market and can only be transferred to other Visa members; and (ii) future litigation costs which could affect the valuation of the stock prior to conversion.</w:t>
      </w:r>
    </w:p>
    <w:p w14:paraId="22DA0CB3" w14:textId="77777777" w:rsidR="002A04D4" w:rsidRPr="00701439" w:rsidRDefault="002A04D4" w:rsidP="00A3021A">
      <w:pPr>
        <w:autoSpaceDE w:val="0"/>
        <w:autoSpaceDN w:val="0"/>
        <w:adjustRightInd w:val="0"/>
        <w:jc w:val="both"/>
        <w:rPr>
          <w:rFonts w:ascii="Calibri" w:hAnsi="Calibri" w:cs="Poppins-Light"/>
          <w:sz w:val="20"/>
          <w:szCs w:val="20"/>
        </w:rPr>
      </w:pPr>
    </w:p>
    <w:p w14:paraId="07D23BBE" w14:textId="718E7E57" w:rsidR="002A04D4" w:rsidRPr="00701439" w:rsidRDefault="002A04D4" w:rsidP="0002541E">
      <w:pPr>
        <w:autoSpaceDE w:val="0"/>
        <w:autoSpaceDN w:val="0"/>
        <w:adjustRightInd w:val="0"/>
        <w:rPr>
          <w:rFonts w:ascii="Calibri" w:hAnsi="Calibri" w:cs="Poppins-Light"/>
          <w:sz w:val="20"/>
          <w:szCs w:val="20"/>
        </w:rPr>
      </w:pPr>
      <w:r w:rsidRPr="00701439">
        <w:rPr>
          <w:rFonts w:ascii="Calibri" w:hAnsi="Calibri" w:cs="Poppins-Light"/>
          <w:sz w:val="20"/>
          <w:szCs w:val="20"/>
        </w:rPr>
        <w:t xml:space="preserve">As </w:t>
      </w:r>
      <w:proofErr w:type="gramStart"/>
      <w:r w:rsidRPr="00701439">
        <w:rPr>
          <w:rFonts w:ascii="Calibri" w:hAnsi="Calibri" w:cs="Poppins-Light"/>
          <w:sz w:val="20"/>
          <w:szCs w:val="20"/>
        </w:rPr>
        <w:t>at</w:t>
      </w:r>
      <w:proofErr w:type="gramEnd"/>
      <w:r w:rsidRPr="00701439">
        <w:rPr>
          <w:rFonts w:ascii="Calibri" w:hAnsi="Calibri" w:cs="Poppins-Light"/>
          <w:sz w:val="20"/>
          <w:szCs w:val="20"/>
        </w:rPr>
        <w:t xml:space="preserve"> 31 December 2022, the total fair value of £10.7m of Visa shares comprised of £4.6m of preferred stock and £6.1m of common stock. The portion of the previously </w:t>
      </w:r>
      <w:r w:rsidR="002B0A97" w:rsidRPr="00701439">
        <w:rPr>
          <w:rFonts w:ascii="Calibri" w:hAnsi="Calibri" w:cs="Poppins-Light"/>
          <w:sz w:val="20"/>
          <w:szCs w:val="20"/>
        </w:rPr>
        <w:t xml:space="preserve">held </w:t>
      </w:r>
      <w:r w:rsidRPr="00701439">
        <w:rPr>
          <w:rFonts w:ascii="Calibri" w:hAnsi="Calibri" w:cs="Poppins-Light"/>
          <w:sz w:val="20"/>
          <w:szCs w:val="20"/>
        </w:rPr>
        <w:t xml:space="preserve">preferred stock was converted to common stock after the sixth anniversary conversion event. The common stock (35,200 of Class </w:t>
      </w:r>
      <w:proofErr w:type="gramStart"/>
      <w:r w:rsidRPr="00701439">
        <w:rPr>
          <w:rFonts w:ascii="Calibri" w:hAnsi="Calibri" w:cs="Poppins-Light"/>
          <w:sz w:val="20"/>
          <w:szCs w:val="20"/>
        </w:rPr>
        <w:t>A</w:t>
      </w:r>
      <w:proofErr w:type="gramEnd"/>
      <w:r w:rsidRPr="00701439">
        <w:rPr>
          <w:rFonts w:ascii="Calibri" w:hAnsi="Calibri" w:cs="Poppins-Light"/>
          <w:sz w:val="20"/>
          <w:szCs w:val="20"/>
        </w:rPr>
        <w:t xml:space="preserve"> Common shares) was fully sold after the year-end on 24 February 2023 for $219.13 per share.</w:t>
      </w:r>
    </w:p>
    <w:p w14:paraId="1CC5338B" w14:textId="77777777" w:rsidR="00A3021A" w:rsidRPr="00701439" w:rsidRDefault="00A3021A" w:rsidP="00A3021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b/>
          <w:sz w:val="20"/>
          <w:szCs w:val="20"/>
        </w:rPr>
      </w:pPr>
    </w:p>
    <w:p w14:paraId="4BC2A324" w14:textId="77777777" w:rsidR="008D1BE8" w:rsidRPr="00701439" w:rsidRDefault="008D1BE8" w:rsidP="00A3021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b/>
          <w:color w:val="4747FF"/>
          <w:sz w:val="22"/>
          <w:szCs w:val="22"/>
        </w:rPr>
      </w:pPr>
    </w:p>
    <w:p w14:paraId="47C6AC02" w14:textId="77777777" w:rsidR="008D1BE8" w:rsidRPr="00701439" w:rsidRDefault="008D1BE8" w:rsidP="00A3021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b/>
          <w:color w:val="4747FF"/>
          <w:sz w:val="22"/>
          <w:szCs w:val="22"/>
        </w:rPr>
      </w:pPr>
    </w:p>
    <w:p w14:paraId="400DD121" w14:textId="77777777" w:rsidR="008D1BE8" w:rsidRPr="00701439" w:rsidRDefault="008D1BE8" w:rsidP="00A3021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b/>
          <w:color w:val="4747FF"/>
          <w:sz w:val="22"/>
          <w:szCs w:val="22"/>
        </w:rPr>
      </w:pPr>
    </w:p>
    <w:p w14:paraId="73BB5B08" w14:textId="77777777" w:rsidR="008D1BE8" w:rsidRPr="00701439" w:rsidRDefault="008D1BE8" w:rsidP="00A3021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b/>
          <w:color w:val="4747FF"/>
          <w:sz w:val="22"/>
          <w:szCs w:val="22"/>
        </w:rPr>
      </w:pPr>
    </w:p>
    <w:p w14:paraId="42EF0A49" w14:textId="77777777" w:rsidR="008D1BE8" w:rsidRPr="00701439" w:rsidRDefault="008D1BE8" w:rsidP="00A3021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b/>
          <w:color w:val="4747FF"/>
          <w:sz w:val="22"/>
          <w:szCs w:val="22"/>
        </w:rPr>
      </w:pPr>
    </w:p>
    <w:p w14:paraId="3AA81EB2" w14:textId="77777777" w:rsidR="008D1BE8" w:rsidRPr="00701439" w:rsidRDefault="008D1BE8" w:rsidP="00A3021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b/>
          <w:color w:val="4747FF"/>
          <w:sz w:val="22"/>
          <w:szCs w:val="22"/>
        </w:rPr>
      </w:pPr>
    </w:p>
    <w:p w14:paraId="6C39A7DF" w14:textId="77777777" w:rsidR="008D1BE8" w:rsidRPr="00701439" w:rsidRDefault="008D1BE8" w:rsidP="00A3021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b/>
          <w:color w:val="4747FF"/>
          <w:sz w:val="22"/>
          <w:szCs w:val="22"/>
        </w:rPr>
      </w:pPr>
    </w:p>
    <w:p w14:paraId="6DF529F8" w14:textId="77777777" w:rsidR="0090622E" w:rsidRDefault="0090622E" w:rsidP="00A3021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b/>
          <w:color w:val="4747FF"/>
          <w:sz w:val="22"/>
          <w:szCs w:val="22"/>
        </w:rPr>
      </w:pPr>
    </w:p>
    <w:p w14:paraId="58727DD3" w14:textId="77777777" w:rsidR="0090622E" w:rsidRDefault="0090622E" w:rsidP="00A3021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b/>
          <w:color w:val="4747FF"/>
          <w:sz w:val="22"/>
          <w:szCs w:val="22"/>
        </w:rPr>
      </w:pPr>
    </w:p>
    <w:p w14:paraId="4F4A3030" w14:textId="77777777" w:rsidR="0090622E" w:rsidRDefault="0090622E" w:rsidP="00A3021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b/>
          <w:color w:val="4747FF"/>
          <w:sz w:val="22"/>
          <w:szCs w:val="22"/>
        </w:rPr>
      </w:pPr>
    </w:p>
    <w:p w14:paraId="4063B378" w14:textId="77777777" w:rsidR="0090622E" w:rsidRPr="00701439" w:rsidRDefault="0090622E" w:rsidP="00A3021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b/>
          <w:color w:val="4747FF"/>
          <w:sz w:val="22"/>
          <w:szCs w:val="22"/>
        </w:rPr>
      </w:pPr>
    </w:p>
    <w:p w14:paraId="7B1CC5E3" w14:textId="77777777" w:rsidR="008D1BE8" w:rsidRPr="00701439" w:rsidRDefault="008D1BE8" w:rsidP="00A3021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b/>
          <w:color w:val="4747FF"/>
          <w:sz w:val="22"/>
          <w:szCs w:val="22"/>
        </w:rPr>
      </w:pPr>
    </w:p>
    <w:p w14:paraId="54570A8D" w14:textId="5AD010AE" w:rsidR="00A3021A" w:rsidRPr="00701439" w:rsidRDefault="00A3021A" w:rsidP="00A3021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b/>
          <w:color w:val="4747FF"/>
          <w:sz w:val="22"/>
          <w:szCs w:val="22"/>
        </w:rPr>
      </w:pPr>
      <w:r w:rsidRPr="00701439">
        <w:rPr>
          <w:rFonts w:asciiTheme="minorHAnsi" w:hAnsiTheme="minorHAnsi" w:cs="Arial"/>
          <w:b/>
          <w:color w:val="4747FF"/>
          <w:sz w:val="22"/>
          <w:szCs w:val="22"/>
        </w:rPr>
        <w:lastRenderedPageBreak/>
        <w:t>10. Other intangible assets</w:t>
      </w:r>
    </w:p>
    <w:p w14:paraId="2A3C9FC3" w14:textId="77777777" w:rsidR="00A3021A" w:rsidRPr="00701439" w:rsidRDefault="00A3021A" w:rsidP="00A3021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rPr>
          <w:rFonts w:asciiTheme="minorHAnsi" w:hAnsiTheme="minorHAnsi" w:cs="Arial"/>
          <w:b/>
          <w:sz w:val="20"/>
          <w:szCs w:val="20"/>
        </w:rPr>
      </w:pPr>
    </w:p>
    <w:tbl>
      <w:tblPr>
        <w:tblW w:w="10031" w:type="dxa"/>
        <w:tblLayout w:type="fixed"/>
        <w:tblLook w:val="0000" w:firstRow="0" w:lastRow="0" w:firstColumn="0" w:lastColumn="0" w:noHBand="0" w:noVBand="0"/>
      </w:tblPr>
      <w:tblGrid>
        <w:gridCol w:w="3828"/>
        <w:gridCol w:w="1134"/>
        <w:gridCol w:w="1134"/>
        <w:gridCol w:w="850"/>
        <w:gridCol w:w="1134"/>
        <w:gridCol w:w="1134"/>
        <w:gridCol w:w="817"/>
      </w:tblGrid>
      <w:tr w:rsidR="00A3021A" w:rsidRPr="00701439" w14:paraId="17A321EB" w14:textId="77777777">
        <w:tc>
          <w:tcPr>
            <w:tcW w:w="3828" w:type="dxa"/>
          </w:tcPr>
          <w:p w14:paraId="72C9BBD3" w14:textId="77777777" w:rsidR="00A3021A" w:rsidRPr="00701439" w:rsidRDefault="00A3021A">
            <w:pPr>
              <w:rPr>
                <w:rFonts w:asciiTheme="minorHAnsi" w:hAnsiTheme="minorHAnsi" w:cs="Arial"/>
                <w:sz w:val="20"/>
                <w:szCs w:val="20"/>
              </w:rPr>
            </w:pPr>
          </w:p>
        </w:tc>
        <w:tc>
          <w:tcPr>
            <w:tcW w:w="3118" w:type="dxa"/>
            <w:gridSpan w:val="3"/>
            <w:tcBorders>
              <w:top w:val="nil"/>
              <w:left w:val="nil"/>
              <w:right w:val="nil"/>
            </w:tcBorders>
            <w:vAlign w:val="bottom"/>
          </w:tcPr>
          <w:p w14:paraId="40379280" w14:textId="77777777" w:rsidR="00A3021A" w:rsidRPr="00701439" w:rsidRDefault="00A3021A">
            <w:pPr>
              <w:jc w:val="center"/>
              <w:rPr>
                <w:rFonts w:asciiTheme="minorHAnsi" w:hAnsiTheme="minorHAnsi" w:cs="Arial"/>
                <w:sz w:val="20"/>
                <w:szCs w:val="20"/>
              </w:rPr>
            </w:pPr>
            <w:r w:rsidRPr="00701439">
              <w:rPr>
                <w:rFonts w:asciiTheme="minorHAnsi" w:hAnsiTheme="minorHAnsi" w:cs="Arial"/>
                <w:sz w:val="20"/>
                <w:szCs w:val="20"/>
              </w:rPr>
              <w:t>2022</w:t>
            </w:r>
          </w:p>
        </w:tc>
        <w:tc>
          <w:tcPr>
            <w:tcW w:w="3085" w:type="dxa"/>
            <w:gridSpan w:val="3"/>
            <w:tcBorders>
              <w:top w:val="nil"/>
              <w:left w:val="nil"/>
              <w:right w:val="nil"/>
            </w:tcBorders>
            <w:vAlign w:val="bottom"/>
          </w:tcPr>
          <w:p w14:paraId="2EFC144A" w14:textId="77777777" w:rsidR="00A3021A" w:rsidRPr="00701439" w:rsidRDefault="00A3021A">
            <w:pPr>
              <w:jc w:val="center"/>
              <w:rPr>
                <w:rFonts w:asciiTheme="minorHAnsi" w:hAnsiTheme="minorHAnsi" w:cs="Arial"/>
                <w:sz w:val="20"/>
                <w:szCs w:val="20"/>
              </w:rPr>
            </w:pPr>
            <w:r w:rsidRPr="00701439">
              <w:rPr>
                <w:rFonts w:asciiTheme="minorHAnsi" w:hAnsiTheme="minorHAnsi" w:cs="Arial"/>
                <w:sz w:val="20"/>
                <w:szCs w:val="20"/>
              </w:rPr>
              <w:t>2021</w:t>
            </w:r>
          </w:p>
        </w:tc>
      </w:tr>
      <w:tr w:rsidR="00A3021A" w:rsidRPr="00701439" w14:paraId="586C7542" w14:textId="77777777">
        <w:tc>
          <w:tcPr>
            <w:tcW w:w="3828" w:type="dxa"/>
          </w:tcPr>
          <w:p w14:paraId="6858EF56" w14:textId="77777777" w:rsidR="00A3021A" w:rsidRPr="00701439" w:rsidRDefault="00A3021A">
            <w:pPr>
              <w:rPr>
                <w:rFonts w:asciiTheme="minorHAnsi" w:hAnsiTheme="minorHAnsi" w:cs="Arial"/>
                <w:sz w:val="20"/>
                <w:szCs w:val="20"/>
              </w:rPr>
            </w:pPr>
          </w:p>
        </w:tc>
        <w:tc>
          <w:tcPr>
            <w:tcW w:w="1134" w:type="dxa"/>
            <w:tcBorders>
              <w:top w:val="nil"/>
              <w:left w:val="nil"/>
              <w:right w:val="nil"/>
            </w:tcBorders>
            <w:vAlign w:val="bottom"/>
          </w:tcPr>
          <w:p w14:paraId="36E2B492"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Acquisition intangibles</w:t>
            </w:r>
          </w:p>
        </w:tc>
        <w:tc>
          <w:tcPr>
            <w:tcW w:w="1134" w:type="dxa"/>
            <w:tcBorders>
              <w:top w:val="nil"/>
              <w:left w:val="nil"/>
              <w:right w:val="nil"/>
            </w:tcBorders>
            <w:vAlign w:val="bottom"/>
          </w:tcPr>
          <w:p w14:paraId="32362852"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 xml:space="preserve">Computer software </w:t>
            </w:r>
          </w:p>
        </w:tc>
        <w:tc>
          <w:tcPr>
            <w:tcW w:w="850" w:type="dxa"/>
            <w:tcBorders>
              <w:top w:val="nil"/>
              <w:left w:val="nil"/>
              <w:right w:val="nil"/>
            </w:tcBorders>
            <w:vAlign w:val="bottom"/>
          </w:tcPr>
          <w:p w14:paraId="62B59F1D"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Total</w:t>
            </w:r>
          </w:p>
        </w:tc>
        <w:tc>
          <w:tcPr>
            <w:tcW w:w="1134" w:type="dxa"/>
            <w:tcBorders>
              <w:top w:val="nil"/>
              <w:left w:val="nil"/>
              <w:right w:val="nil"/>
            </w:tcBorders>
            <w:vAlign w:val="bottom"/>
          </w:tcPr>
          <w:p w14:paraId="6CA606C1"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Acquisition intangibles</w:t>
            </w:r>
          </w:p>
        </w:tc>
        <w:tc>
          <w:tcPr>
            <w:tcW w:w="1134" w:type="dxa"/>
            <w:tcBorders>
              <w:top w:val="nil"/>
              <w:left w:val="nil"/>
              <w:right w:val="nil"/>
            </w:tcBorders>
            <w:vAlign w:val="bottom"/>
          </w:tcPr>
          <w:p w14:paraId="385E178B"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Computer software</w:t>
            </w:r>
          </w:p>
        </w:tc>
        <w:tc>
          <w:tcPr>
            <w:tcW w:w="817" w:type="dxa"/>
            <w:tcBorders>
              <w:top w:val="nil"/>
              <w:left w:val="nil"/>
              <w:right w:val="nil"/>
            </w:tcBorders>
            <w:vAlign w:val="bottom"/>
          </w:tcPr>
          <w:p w14:paraId="0CBA0C09"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Total</w:t>
            </w:r>
          </w:p>
        </w:tc>
      </w:tr>
      <w:tr w:rsidR="00A3021A" w:rsidRPr="00701439" w14:paraId="729AB4C8" w14:textId="77777777">
        <w:tc>
          <w:tcPr>
            <w:tcW w:w="3828" w:type="dxa"/>
          </w:tcPr>
          <w:p w14:paraId="53DB4376" w14:textId="77777777" w:rsidR="00A3021A" w:rsidRPr="00701439" w:rsidRDefault="00A3021A">
            <w:pPr>
              <w:rPr>
                <w:rFonts w:asciiTheme="minorHAnsi" w:hAnsiTheme="minorHAnsi" w:cs="Arial"/>
                <w:sz w:val="20"/>
                <w:szCs w:val="20"/>
              </w:rPr>
            </w:pPr>
          </w:p>
        </w:tc>
        <w:tc>
          <w:tcPr>
            <w:tcW w:w="1134" w:type="dxa"/>
            <w:tcBorders>
              <w:left w:val="nil"/>
              <w:bottom w:val="single" w:sz="4" w:space="0" w:color="auto"/>
              <w:right w:val="nil"/>
            </w:tcBorders>
            <w:vAlign w:val="bottom"/>
          </w:tcPr>
          <w:p w14:paraId="1DB7E195"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£m </w:t>
            </w:r>
          </w:p>
        </w:tc>
        <w:tc>
          <w:tcPr>
            <w:tcW w:w="1134" w:type="dxa"/>
            <w:tcBorders>
              <w:left w:val="nil"/>
              <w:bottom w:val="single" w:sz="4" w:space="0" w:color="auto"/>
              <w:right w:val="nil"/>
            </w:tcBorders>
            <w:vAlign w:val="bottom"/>
          </w:tcPr>
          <w:p w14:paraId="3255D132"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£m </w:t>
            </w:r>
          </w:p>
        </w:tc>
        <w:tc>
          <w:tcPr>
            <w:tcW w:w="850" w:type="dxa"/>
            <w:tcBorders>
              <w:left w:val="nil"/>
              <w:bottom w:val="single" w:sz="4" w:space="0" w:color="auto"/>
              <w:right w:val="nil"/>
            </w:tcBorders>
            <w:vAlign w:val="bottom"/>
          </w:tcPr>
          <w:p w14:paraId="21472A42"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£m </w:t>
            </w:r>
          </w:p>
        </w:tc>
        <w:tc>
          <w:tcPr>
            <w:tcW w:w="1134" w:type="dxa"/>
            <w:tcBorders>
              <w:left w:val="nil"/>
              <w:bottom w:val="single" w:sz="4" w:space="0" w:color="auto"/>
              <w:right w:val="nil"/>
            </w:tcBorders>
          </w:tcPr>
          <w:p w14:paraId="422CD734"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£m</w:t>
            </w:r>
          </w:p>
        </w:tc>
        <w:tc>
          <w:tcPr>
            <w:tcW w:w="1134" w:type="dxa"/>
            <w:tcBorders>
              <w:left w:val="nil"/>
              <w:bottom w:val="single" w:sz="4" w:space="0" w:color="auto"/>
              <w:right w:val="nil"/>
            </w:tcBorders>
            <w:vAlign w:val="bottom"/>
          </w:tcPr>
          <w:p w14:paraId="4D48CCB1"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£m </w:t>
            </w:r>
          </w:p>
        </w:tc>
        <w:tc>
          <w:tcPr>
            <w:tcW w:w="817" w:type="dxa"/>
            <w:tcBorders>
              <w:left w:val="nil"/>
              <w:bottom w:val="single" w:sz="4" w:space="0" w:color="auto"/>
              <w:right w:val="nil"/>
            </w:tcBorders>
            <w:vAlign w:val="bottom"/>
          </w:tcPr>
          <w:p w14:paraId="7CE1843B"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£m </w:t>
            </w:r>
          </w:p>
        </w:tc>
      </w:tr>
      <w:tr w:rsidR="00A3021A" w:rsidRPr="00701439" w14:paraId="33B3FFCE" w14:textId="77777777">
        <w:tc>
          <w:tcPr>
            <w:tcW w:w="3828" w:type="dxa"/>
            <w:vAlign w:val="bottom"/>
          </w:tcPr>
          <w:p w14:paraId="3416457B" w14:textId="77777777" w:rsidR="00A3021A" w:rsidRPr="00701439" w:rsidRDefault="00A3021A">
            <w:pPr>
              <w:rPr>
                <w:rFonts w:asciiTheme="minorHAnsi" w:hAnsiTheme="minorHAnsi" w:cs="Arial"/>
                <w:b/>
                <w:sz w:val="20"/>
                <w:szCs w:val="20"/>
              </w:rPr>
            </w:pPr>
            <w:r w:rsidRPr="00701439">
              <w:rPr>
                <w:rFonts w:asciiTheme="minorHAnsi" w:hAnsiTheme="minorHAnsi" w:cs="Arial"/>
                <w:b/>
                <w:sz w:val="20"/>
                <w:szCs w:val="20"/>
              </w:rPr>
              <w:t>Cost</w:t>
            </w:r>
          </w:p>
        </w:tc>
        <w:tc>
          <w:tcPr>
            <w:tcW w:w="1134" w:type="dxa"/>
            <w:tcBorders>
              <w:top w:val="single" w:sz="4" w:space="0" w:color="auto"/>
              <w:left w:val="nil"/>
              <w:right w:val="nil"/>
            </w:tcBorders>
            <w:vAlign w:val="bottom"/>
          </w:tcPr>
          <w:p w14:paraId="55745E04" w14:textId="77777777" w:rsidR="00A3021A" w:rsidRPr="00701439" w:rsidRDefault="00A3021A">
            <w:pPr>
              <w:jc w:val="right"/>
              <w:rPr>
                <w:rFonts w:asciiTheme="minorHAnsi" w:hAnsiTheme="minorHAnsi" w:cs="Arial"/>
                <w:sz w:val="20"/>
                <w:szCs w:val="20"/>
              </w:rPr>
            </w:pPr>
          </w:p>
        </w:tc>
        <w:tc>
          <w:tcPr>
            <w:tcW w:w="1134" w:type="dxa"/>
            <w:tcBorders>
              <w:top w:val="single" w:sz="4" w:space="0" w:color="auto"/>
              <w:left w:val="nil"/>
              <w:right w:val="nil"/>
            </w:tcBorders>
            <w:vAlign w:val="bottom"/>
          </w:tcPr>
          <w:p w14:paraId="6C47B397" w14:textId="77777777" w:rsidR="00A3021A" w:rsidRPr="00701439" w:rsidRDefault="00A3021A">
            <w:pPr>
              <w:jc w:val="right"/>
              <w:rPr>
                <w:rFonts w:asciiTheme="minorHAnsi" w:hAnsiTheme="minorHAnsi" w:cs="Arial"/>
                <w:sz w:val="20"/>
                <w:szCs w:val="20"/>
              </w:rPr>
            </w:pPr>
          </w:p>
        </w:tc>
        <w:tc>
          <w:tcPr>
            <w:tcW w:w="850" w:type="dxa"/>
            <w:tcBorders>
              <w:top w:val="single" w:sz="4" w:space="0" w:color="auto"/>
              <w:left w:val="nil"/>
              <w:right w:val="nil"/>
            </w:tcBorders>
            <w:vAlign w:val="bottom"/>
          </w:tcPr>
          <w:p w14:paraId="15C19687" w14:textId="77777777" w:rsidR="00A3021A" w:rsidRPr="00701439" w:rsidRDefault="00A3021A">
            <w:pPr>
              <w:jc w:val="right"/>
              <w:rPr>
                <w:rFonts w:asciiTheme="minorHAnsi" w:hAnsiTheme="minorHAnsi" w:cs="Arial"/>
                <w:sz w:val="20"/>
                <w:szCs w:val="20"/>
              </w:rPr>
            </w:pPr>
          </w:p>
        </w:tc>
        <w:tc>
          <w:tcPr>
            <w:tcW w:w="1134" w:type="dxa"/>
            <w:tcBorders>
              <w:top w:val="single" w:sz="4" w:space="0" w:color="auto"/>
              <w:left w:val="nil"/>
              <w:right w:val="nil"/>
            </w:tcBorders>
            <w:vAlign w:val="bottom"/>
          </w:tcPr>
          <w:p w14:paraId="3EB87775" w14:textId="77777777" w:rsidR="00A3021A" w:rsidRPr="00701439" w:rsidRDefault="00A3021A">
            <w:pPr>
              <w:jc w:val="right"/>
              <w:rPr>
                <w:rFonts w:asciiTheme="minorHAnsi" w:hAnsiTheme="minorHAnsi" w:cs="Arial"/>
                <w:sz w:val="20"/>
                <w:szCs w:val="20"/>
              </w:rPr>
            </w:pPr>
          </w:p>
        </w:tc>
        <w:tc>
          <w:tcPr>
            <w:tcW w:w="1134" w:type="dxa"/>
            <w:tcBorders>
              <w:top w:val="single" w:sz="4" w:space="0" w:color="auto"/>
              <w:left w:val="nil"/>
              <w:right w:val="nil"/>
            </w:tcBorders>
            <w:vAlign w:val="bottom"/>
          </w:tcPr>
          <w:p w14:paraId="45CBA91B" w14:textId="77777777" w:rsidR="00A3021A" w:rsidRPr="00701439" w:rsidRDefault="00A3021A">
            <w:pPr>
              <w:jc w:val="right"/>
              <w:rPr>
                <w:rFonts w:asciiTheme="minorHAnsi" w:hAnsiTheme="minorHAnsi" w:cs="Arial"/>
                <w:sz w:val="20"/>
                <w:szCs w:val="20"/>
              </w:rPr>
            </w:pPr>
          </w:p>
        </w:tc>
        <w:tc>
          <w:tcPr>
            <w:tcW w:w="817" w:type="dxa"/>
            <w:tcBorders>
              <w:top w:val="single" w:sz="4" w:space="0" w:color="auto"/>
              <w:left w:val="nil"/>
              <w:right w:val="nil"/>
            </w:tcBorders>
            <w:vAlign w:val="bottom"/>
          </w:tcPr>
          <w:p w14:paraId="31235656" w14:textId="77777777" w:rsidR="00A3021A" w:rsidRPr="00701439" w:rsidRDefault="00A3021A">
            <w:pPr>
              <w:jc w:val="right"/>
              <w:rPr>
                <w:rFonts w:asciiTheme="minorHAnsi" w:hAnsiTheme="minorHAnsi" w:cs="Arial"/>
                <w:sz w:val="20"/>
                <w:szCs w:val="20"/>
              </w:rPr>
            </w:pPr>
          </w:p>
        </w:tc>
      </w:tr>
      <w:tr w:rsidR="00A3021A" w:rsidRPr="00701439" w14:paraId="223EF1F9" w14:textId="77777777">
        <w:tc>
          <w:tcPr>
            <w:tcW w:w="3828" w:type="dxa"/>
            <w:vAlign w:val="bottom"/>
          </w:tcPr>
          <w:p w14:paraId="1B693E28" w14:textId="77777777" w:rsidR="00A3021A" w:rsidRPr="00701439" w:rsidRDefault="00A3021A">
            <w:pPr>
              <w:rPr>
                <w:rFonts w:asciiTheme="minorHAnsi" w:hAnsiTheme="minorHAnsi" w:cs="Arial"/>
                <w:sz w:val="20"/>
                <w:szCs w:val="20"/>
              </w:rPr>
            </w:pPr>
            <w:proofErr w:type="gramStart"/>
            <w:r w:rsidRPr="00701439">
              <w:rPr>
                <w:rFonts w:asciiTheme="minorHAnsi" w:hAnsiTheme="minorHAnsi" w:cs="Arial"/>
                <w:sz w:val="20"/>
                <w:szCs w:val="20"/>
              </w:rPr>
              <w:t>At</w:t>
            </w:r>
            <w:proofErr w:type="gramEnd"/>
            <w:r w:rsidRPr="00701439">
              <w:rPr>
                <w:rFonts w:asciiTheme="minorHAnsi" w:hAnsiTheme="minorHAnsi" w:cs="Arial"/>
                <w:sz w:val="20"/>
                <w:szCs w:val="20"/>
              </w:rPr>
              <w:t xml:space="preserve"> 1 January</w:t>
            </w:r>
          </w:p>
        </w:tc>
        <w:tc>
          <w:tcPr>
            <w:tcW w:w="1134" w:type="dxa"/>
            <w:vAlign w:val="bottom"/>
          </w:tcPr>
          <w:p w14:paraId="2F82407A"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75.0</w:t>
            </w:r>
          </w:p>
        </w:tc>
        <w:tc>
          <w:tcPr>
            <w:tcW w:w="1134" w:type="dxa"/>
            <w:vAlign w:val="bottom"/>
          </w:tcPr>
          <w:p w14:paraId="32F047C9"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43.5</w:t>
            </w:r>
          </w:p>
        </w:tc>
        <w:tc>
          <w:tcPr>
            <w:tcW w:w="850" w:type="dxa"/>
            <w:vAlign w:val="bottom"/>
          </w:tcPr>
          <w:p w14:paraId="46FEBE17"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118.5</w:t>
            </w:r>
          </w:p>
        </w:tc>
        <w:tc>
          <w:tcPr>
            <w:tcW w:w="1134" w:type="dxa"/>
            <w:vAlign w:val="bottom"/>
          </w:tcPr>
          <w:p w14:paraId="35CF4A8E"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75.0 </w:t>
            </w:r>
          </w:p>
        </w:tc>
        <w:tc>
          <w:tcPr>
            <w:tcW w:w="1134" w:type="dxa"/>
            <w:vAlign w:val="bottom"/>
          </w:tcPr>
          <w:p w14:paraId="6C6BE706"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77.9 </w:t>
            </w:r>
          </w:p>
        </w:tc>
        <w:tc>
          <w:tcPr>
            <w:tcW w:w="817" w:type="dxa"/>
            <w:vAlign w:val="bottom"/>
          </w:tcPr>
          <w:p w14:paraId="028ACF4A"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152.9</w:t>
            </w:r>
          </w:p>
        </w:tc>
      </w:tr>
      <w:tr w:rsidR="00A3021A" w:rsidRPr="00701439" w14:paraId="7923B96E" w14:textId="77777777">
        <w:tc>
          <w:tcPr>
            <w:tcW w:w="3828" w:type="dxa"/>
            <w:vAlign w:val="bottom"/>
          </w:tcPr>
          <w:p w14:paraId="63D597C0"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Additions</w:t>
            </w:r>
          </w:p>
        </w:tc>
        <w:tc>
          <w:tcPr>
            <w:tcW w:w="1134" w:type="dxa"/>
            <w:vAlign w:val="bottom"/>
          </w:tcPr>
          <w:p w14:paraId="142B9DBC"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c>
          <w:tcPr>
            <w:tcW w:w="1134" w:type="dxa"/>
            <w:vAlign w:val="bottom"/>
          </w:tcPr>
          <w:p w14:paraId="684EE7DF"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29.2</w:t>
            </w:r>
          </w:p>
        </w:tc>
        <w:tc>
          <w:tcPr>
            <w:tcW w:w="850" w:type="dxa"/>
            <w:vAlign w:val="bottom"/>
          </w:tcPr>
          <w:p w14:paraId="36224728"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29.2</w:t>
            </w:r>
          </w:p>
        </w:tc>
        <w:tc>
          <w:tcPr>
            <w:tcW w:w="1134" w:type="dxa"/>
            <w:vAlign w:val="bottom"/>
          </w:tcPr>
          <w:p w14:paraId="5C1087A5"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c>
          <w:tcPr>
            <w:tcW w:w="1134" w:type="dxa"/>
            <w:vAlign w:val="bottom"/>
          </w:tcPr>
          <w:p w14:paraId="0130B50A"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24.8</w:t>
            </w:r>
          </w:p>
        </w:tc>
        <w:tc>
          <w:tcPr>
            <w:tcW w:w="817" w:type="dxa"/>
            <w:vAlign w:val="bottom"/>
          </w:tcPr>
          <w:p w14:paraId="449DE9EB"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24.8</w:t>
            </w:r>
          </w:p>
        </w:tc>
      </w:tr>
      <w:tr w:rsidR="00A3021A" w:rsidRPr="00701439" w14:paraId="0C293F1C" w14:textId="77777777">
        <w:tc>
          <w:tcPr>
            <w:tcW w:w="3828" w:type="dxa"/>
            <w:vAlign w:val="bottom"/>
          </w:tcPr>
          <w:p w14:paraId="6A8DAD31"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Disposals</w:t>
            </w:r>
          </w:p>
        </w:tc>
        <w:tc>
          <w:tcPr>
            <w:tcW w:w="1134" w:type="dxa"/>
            <w:tcBorders>
              <w:bottom w:val="single" w:sz="4" w:space="0" w:color="auto"/>
            </w:tcBorders>
            <w:vAlign w:val="bottom"/>
          </w:tcPr>
          <w:p w14:paraId="583A10EF"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c>
          <w:tcPr>
            <w:tcW w:w="1134" w:type="dxa"/>
            <w:tcBorders>
              <w:bottom w:val="single" w:sz="4" w:space="0" w:color="auto"/>
            </w:tcBorders>
            <w:vAlign w:val="bottom"/>
          </w:tcPr>
          <w:p w14:paraId="46A87C63"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(4.2)</w:t>
            </w:r>
          </w:p>
        </w:tc>
        <w:tc>
          <w:tcPr>
            <w:tcW w:w="850" w:type="dxa"/>
            <w:tcBorders>
              <w:bottom w:val="single" w:sz="4" w:space="0" w:color="auto"/>
            </w:tcBorders>
            <w:vAlign w:val="bottom"/>
          </w:tcPr>
          <w:p w14:paraId="48B8BA74"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(4.2)</w:t>
            </w:r>
          </w:p>
        </w:tc>
        <w:tc>
          <w:tcPr>
            <w:tcW w:w="1134" w:type="dxa"/>
            <w:tcBorders>
              <w:bottom w:val="single" w:sz="4" w:space="0" w:color="auto"/>
            </w:tcBorders>
            <w:vAlign w:val="bottom"/>
          </w:tcPr>
          <w:p w14:paraId="71D5E1D5"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c>
          <w:tcPr>
            <w:tcW w:w="1134" w:type="dxa"/>
            <w:tcBorders>
              <w:bottom w:val="single" w:sz="4" w:space="0" w:color="auto"/>
            </w:tcBorders>
            <w:vAlign w:val="bottom"/>
          </w:tcPr>
          <w:p w14:paraId="3545A596"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(59.2)</w:t>
            </w:r>
          </w:p>
        </w:tc>
        <w:tc>
          <w:tcPr>
            <w:tcW w:w="817" w:type="dxa"/>
            <w:tcBorders>
              <w:bottom w:val="single" w:sz="4" w:space="0" w:color="auto"/>
            </w:tcBorders>
            <w:vAlign w:val="bottom"/>
          </w:tcPr>
          <w:p w14:paraId="4BEE330C"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(59.2)</w:t>
            </w:r>
          </w:p>
        </w:tc>
      </w:tr>
      <w:tr w:rsidR="00A3021A" w:rsidRPr="00701439" w14:paraId="7E75EABF" w14:textId="77777777">
        <w:tc>
          <w:tcPr>
            <w:tcW w:w="3828" w:type="dxa"/>
            <w:vAlign w:val="bottom"/>
          </w:tcPr>
          <w:p w14:paraId="2566D04B" w14:textId="77777777" w:rsidR="00A3021A" w:rsidRPr="00701439" w:rsidRDefault="00A3021A">
            <w:pPr>
              <w:ind w:left="142" w:hanging="142"/>
              <w:rPr>
                <w:rFonts w:asciiTheme="minorHAnsi" w:hAnsiTheme="minorHAnsi" w:cs="Arial"/>
                <w:sz w:val="20"/>
                <w:szCs w:val="20"/>
              </w:rPr>
            </w:pPr>
            <w:proofErr w:type="gramStart"/>
            <w:r w:rsidRPr="00701439">
              <w:rPr>
                <w:rFonts w:asciiTheme="minorHAnsi" w:hAnsiTheme="minorHAnsi" w:cs="Arial"/>
                <w:sz w:val="20"/>
                <w:szCs w:val="20"/>
              </w:rPr>
              <w:t>At</w:t>
            </w:r>
            <w:proofErr w:type="gramEnd"/>
            <w:r w:rsidRPr="00701439">
              <w:rPr>
                <w:rFonts w:asciiTheme="minorHAnsi" w:hAnsiTheme="minorHAnsi" w:cs="Arial"/>
                <w:sz w:val="20"/>
                <w:szCs w:val="20"/>
              </w:rPr>
              <w:t xml:space="preserve"> 31 December</w:t>
            </w:r>
          </w:p>
        </w:tc>
        <w:tc>
          <w:tcPr>
            <w:tcW w:w="1134" w:type="dxa"/>
            <w:tcBorders>
              <w:top w:val="single" w:sz="4" w:space="0" w:color="auto"/>
              <w:bottom w:val="single" w:sz="4" w:space="0" w:color="auto"/>
            </w:tcBorders>
            <w:vAlign w:val="bottom"/>
          </w:tcPr>
          <w:p w14:paraId="74518CC8"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75.0</w:t>
            </w:r>
          </w:p>
        </w:tc>
        <w:tc>
          <w:tcPr>
            <w:tcW w:w="1134" w:type="dxa"/>
            <w:tcBorders>
              <w:top w:val="single" w:sz="4" w:space="0" w:color="auto"/>
              <w:bottom w:val="single" w:sz="4" w:space="0" w:color="auto"/>
            </w:tcBorders>
            <w:vAlign w:val="bottom"/>
          </w:tcPr>
          <w:p w14:paraId="7792D60E"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68.5</w:t>
            </w:r>
          </w:p>
        </w:tc>
        <w:tc>
          <w:tcPr>
            <w:tcW w:w="850" w:type="dxa"/>
            <w:tcBorders>
              <w:top w:val="single" w:sz="4" w:space="0" w:color="auto"/>
              <w:bottom w:val="single" w:sz="4" w:space="0" w:color="auto"/>
            </w:tcBorders>
            <w:vAlign w:val="bottom"/>
          </w:tcPr>
          <w:p w14:paraId="572ACB99"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143.5</w:t>
            </w:r>
          </w:p>
        </w:tc>
        <w:tc>
          <w:tcPr>
            <w:tcW w:w="1134" w:type="dxa"/>
            <w:tcBorders>
              <w:top w:val="single" w:sz="4" w:space="0" w:color="auto"/>
              <w:bottom w:val="single" w:sz="4" w:space="0" w:color="auto"/>
            </w:tcBorders>
            <w:vAlign w:val="bottom"/>
          </w:tcPr>
          <w:p w14:paraId="1FD197CF"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75.0</w:t>
            </w:r>
          </w:p>
        </w:tc>
        <w:tc>
          <w:tcPr>
            <w:tcW w:w="1134" w:type="dxa"/>
            <w:tcBorders>
              <w:top w:val="single" w:sz="4" w:space="0" w:color="auto"/>
              <w:bottom w:val="single" w:sz="4" w:space="0" w:color="auto"/>
            </w:tcBorders>
            <w:vAlign w:val="bottom"/>
          </w:tcPr>
          <w:p w14:paraId="46B990E7"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43.5</w:t>
            </w:r>
          </w:p>
        </w:tc>
        <w:tc>
          <w:tcPr>
            <w:tcW w:w="817" w:type="dxa"/>
            <w:tcBorders>
              <w:top w:val="single" w:sz="4" w:space="0" w:color="auto"/>
              <w:bottom w:val="single" w:sz="4" w:space="0" w:color="auto"/>
            </w:tcBorders>
            <w:vAlign w:val="bottom"/>
          </w:tcPr>
          <w:p w14:paraId="57F8CA4E"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118.5</w:t>
            </w:r>
          </w:p>
        </w:tc>
      </w:tr>
      <w:tr w:rsidR="00A3021A" w:rsidRPr="00701439" w14:paraId="339B46ED" w14:textId="77777777">
        <w:tc>
          <w:tcPr>
            <w:tcW w:w="3828" w:type="dxa"/>
            <w:vAlign w:val="bottom"/>
          </w:tcPr>
          <w:p w14:paraId="0CBBAE7B" w14:textId="77777777" w:rsidR="00A3021A" w:rsidRPr="00701439" w:rsidRDefault="00A3021A">
            <w:pPr>
              <w:ind w:left="142" w:hanging="142"/>
              <w:rPr>
                <w:rFonts w:asciiTheme="minorHAnsi" w:hAnsiTheme="minorHAnsi" w:cs="Arial"/>
                <w:sz w:val="20"/>
                <w:szCs w:val="20"/>
              </w:rPr>
            </w:pPr>
          </w:p>
        </w:tc>
        <w:tc>
          <w:tcPr>
            <w:tcW w:w="1134" w:type="dxa"/>
            <w:tcBorders>
              <w:top w:val="single" w:sz="4" w:space="0" w:color="auto"/>
            </w:tcBorders>
            <w:vAlign w:val="bottom"/>
          </w:tcPr>
          <w:p w14:paraId="1721595C" w14:textId="77777777" w:rsidR="00A3021A" w:rsidRPr="00701439" w:rsidRDefault="00A3021A">
            <w:pPr>
              <w:jc w:val="right"/>
              <w:rPr>
                <w:rFonts w:asciiTheme="minorHAnsi" w:hAnsiTheme="minorHAnsi" w:cs="Arial"/>
                <w:sz w:val="20"/>
                <w:szCs w:val="20"/>
              </w:rPr>
            </w:pPr>
          </w:p>
        </w:tc>
        <w:tc>
          <w:tcPr>
            <w:tcW w:w="1134" w:type="dxa"/>
            <w:tcBorders>
              <w:top w:val="single" w:sz="4" w:space="0" w:color="auto"/>
            </w:tcBorders>
            <w:vAlign w:val="bottom"/>
          </w:tcPr>
          <w:p w14:paraId="756DEC7F" w14:textId="77777777" w:rsidR="00A3021A" w:rsidRPr="00701439" w:rsidRDefault="00A3021A">
            <w:pPr>
              <w:jc w:val="right"/>
              <w:rPr>
                <w:rFonts w:asciiTheme="minorHAnsi" w:hAnsiTheme="minorHAnsi" w:cs="Arial"/>
                <w:sz w:val="20"/>
                <w:szCs w:val="20"/>
              </w:rPr>
            </w:pPr>
          </w:p>
        </w:tc>
        <w:tc>
          <w:tcPr>
            <w:tcW w:w="850" w:type="dxa"/>
            <w:tcBorders>
              <w:top w:val="single" w:sz="4" w:space="0" w:color="auto"/>
            </w:tcBorders>
            <w:vAlign w:val="bottom"/>
          </w:tcPr>
          <w:p w14:paraId="1516A852" w14:textId="77777777" w:rsidR="00A3021A" w:rsidRPr="00701439" w:rsidRDefault="00A3021A">
            <w:pPr>
              <w:jc w:val="right"/>
              <w:rPr>
                <w:rFonts w:asciiTheme="minorHAnsi" w:hAnsiTheme="minorHAnsi" w:cs="Arial"/>
                <w:sz w:val="20"/>
                <w:szCs w:val="20"/>
              </w:rPr>
            </w:pPr>
          </w:p>
        </w:tc>
        <w:tc>
          <w:tcPr>
            <w:tcW w:w="1134" w:type="dxa"/>
            <w:tcBorders>
              <w:top w:val="single" w:sz="4" w:space="0" w:color="auto"/>
            </w:tcBorders>
            <w:vAlign w:val="bottom"/>
          </w:tcPr>
          <w:p w14:paraId="2143FFB9" w14:textId="77777777" w:rsidR="00A3021A" w:rsidRPr="00701439" w:rsidRDefault="00A3021A">
            <w:pPr>
              <w:jc w:val="right"/>
              <w:rPr>
                <w:rFonts w:asciiTheme="minorHAnsi" w:hAnsiTheme="minorHAnsi" w:cs="Arial"/>
                <w:sz w:val="20"/>
                <w:szCs w:val="20"/>
              </w:rPr>
            </w:pPr>
          </w:p>
        </w:tc>
        <w:tc>
          <w:tcPr>
            <w:tcW w:w="1134" w:type="dxa"/>
            <w:tcBorders>
              <w:top w:val="single" w:sz="4" w:space="0" w:color="auto"/>
            </w:tcBorders>
            <w:vAlign w:val="bottom"/>
          </w:tcPr>
          <w:p w14:paraId="48B61CF2" w14:textId="77777777" w:rsidR="00A3021A" w:rsidRPr="00701439" w:rsidRDefault="00A3021A">
            <w:pPr>
              <w:jc w:val="right"/>
              <w:rPr>
                <w:rFonts w:asciiTheme="minorHAnsi" w:hAnsiTheme="minorHAnsi" w:cs="Arial"/>
                <w:sz w:val="20"/>
                <w:szCs w:val="20"/>
              </w:rPr>
            </w:pPr>
          </w:p>
        </w:tc>
        <w:tc>
          <w:tcPr>
            <w:tcW w:w="817" w:type="dxa"/>
            <w:tcBorders>
              <w:top w:val="single" w:sz="4" w:space="0" w:color="auto"/>
            </w:tcBorders>
            <w:vAlign w:val="bottom"/>
          </w:tcPr>
          <w:p w14:paraId="0D81475C" w14:textId="77777777" w:rsidR="00A3021A" w:rsidRPr="00701439" w:rsidRDefault="00A3021A">
            <w:pPr>
              <w:jc w:val="right"/>
              <w:rPr>
                <w:rFonts w:asciiTheme="minorHAnsi" w:hAnsiTheme="minorHAnsi" w:cs="Arial"/>
                <w:sz w:val="20"/>
                <w:szCs w:val="20"/>
              </w:rPr>
            </w:pPr>
          </w:p>
        </w:tc>
      </w:tr>
      <w:tr w:rsidR="00A3021A" w:rsidRPr="00701439" w14:paraId="039B60B4" w14:textId="77777777">
        <w:tc>
          <w:tcPr>
            <w:tcW w:w="3828" w:type="dxa"/>
            <w:vAlign w:val="bottom"/>
          </w:tcPr>
          <w:p w14:paraId="66FCB5E8" w14:textId="77777777" w:rsidR="00A3021A" w:rsidRPr="00701439" w:rsidRDefault="00A3021A">
            <w:pPr>
              <w:ind w:left="142" w:hanging="142"/>
              <w:rPr>
                <w:rFonts w:asciiTheme="minorHAnsi" w:hAnsiTheme="minorHAnsi" w:cs="Arial"/>
                <w:b/>
                <w:sz w:val="20"/>
                <w:szCs w:val="20"/>
              </w:rPr>
            </w:pPr>
            <w:r w:rsidRPr="00701439">
              <w:rPr>
                <w:rFonts w:asciiTheme="minorHAnsi" w:hAnsiTheme="minorHAnsi" w:cs="Arial"/>
                <w:b/>
                <w:sz w:val="20"/>
                <w:szCs w:val="20"/>
              </w:rPr>
              <w:t>Accumulated amortisation and impairment</w:t>
            </w:r>
          </w:p>
        </w:tc>
        <w:tc>
          <w:tcPr>
            <w:tcW w:w="1134" w:type="dxa"/>
            <w:vAlign w:val="bottom"/>
          </w:tcPr>
          <w:p w14:paraId="07DB6DE3" w14:textId="77777777" w:rsidR="00A3021A" w:rsidRPr="00701439" w:rsidRDefault="00A3021A">
            <w:pPr>
              <w:jc w:val="right"/>
              <w:rPr>
                <w:rFonts w:asciiTheme="minorHAnsi" w:hAnsiTheme="minorHAnsi" w:cs="Arial"/>
                <w:sz w:val="20"/>
                <w:szCs w:val="20"/>
              </w:rPr>
            </w:pPr>
          </w:p>
        </w:tc>
        <w:tc>
          <w:tcPr>
            <w:tcW w:w="1134" w:type="dxa"/>
            <w:vAlign w:val="bottom"/>
          </w:tcPr>
          <w:p w14:paraId="08134076" w14:textId="77777777" w:rsidR="00A3021A" w:rsidRPr="00701439" w:rsidRDefault="00A3021A">
            <w:pPr>
              <w:jc w:val="right"/>
              <w:rPr>
                <w:rFonts w:asciiTheme="minorHAnsi" w:hAnsiTheme="minorHAnsi" w:cs="Arial"/>
                <w:sz w:val="20"/>
                <w:szCs w:val="20"/>
              </w:rPr>
            </w:pPr>
          </w:p>
        </w:tc>
        <w:tc>
          <w:tcPr>
            <w:tcW w:w="850" w:type="dxa"/>
            <w:vAlign w:val="bottom"/>
          </w:tcPr>
          <w:p w14:paraId="659C9BAC" w14:textId="77777777" w:rsidR="00A3021A" w:rsidRPr="00701439" w:rsidRDefault="00A3021A">
            <w:pPr>
              <w:jc w:val="right"/>
              <w:rPr>
                <w:rFonts w:asciiTheme="minorHAnsi" w:hAnsiTheme="minorHAnsi" w:cs="Arial"/>
                <w:sz w:val="20"/>
                <w:szCs w:val="20"/>
              </w:rPr>
            </w:pPr>
          </w:p>
        </w:tc>
        <w:tc>
          <w:tcPr>
            <w:tcW w:w="1134" w:type="dxa"/>
            <w:vAlign w:val="bottom"/>
          </w:tcPr>
          <w:p w14:paraId="440D0727" w14:textId="77777777" w:rsidR="00A3021A" w:rsidRPr="00701439" w:rsidRDefault="00A3021A">
            <w:pPr>
              <w:jc w:val="right"/>
              <w:rPr>
                <w:rFonts w:asciiTheme="minorHAnsi" w:hAnsiTheme="minorHAnsi" w:cs="Arial"/>
                <w:sz w:val="20"/>
                <w:szCs w:val="20"/>
              </w:rPr>
            </w:pPr>
          </w:p>
        </w:tc>
        <w:tc>
          <w:tcPr>
            <w:tcW w:w="1134" w:type="dxa"/>
            <w:vAlign w:val="bottom"/>
          </w:tcPr>
          <w:p w14:paraId="42D82BB3" w14:textId="77777777" w:rsidR="00A3021A" w:rsidRPr="00701439" w:rsidRDefault="00A3021A">
            <w:pPr>
              <w:jc w:val="right"/>
              <w:rPr>
                <w:rFonts w:asciiTheme="minorHAnsi" w:hAnsiTheme="minorHAnsi" w:cs="Arial"/>
                <w:sz w:val="20"/>
                <w:szCs w:val="20"/>
              </w:rPr>
            </w:pPr>
          </w:p>
        </w:tc>
        <w:tc>
          <w:tcPr>
            <w:tcW w:w="817" w:type="dxa"/>
            <w:vAlign w:val="bottom"/>
          </w:tcPr>
          <w:p w14:paraId="7A114545" w14:textId="77777777" w:rsidR="00A3021A" w:rsidRPr="00701439" w:rsidRDefault="00A3021A">
            <w:pPr>
              <w:jc w:val="right"/>
              <w:rPr>
                <w:rFonts w:asciiTheme="minorHAnsi" w:hAnsiTheme="minorHAnsi" w:cs="Arial"/>
                <w:sz w:val="20"/>
                <w:szCs w:val="20"/>
              </w:rPr>
            </w:pPr>
          </w:p>
        </w:tc>
      </w:tr>
      <w:tr w:rsidR="00A3021A" w:rsidRPr="00701439" w14:paraId="7803C5F8" w14:textId="77777777">
        <w:tc>
          <w:tcPr>
            <w:tcW w:w="3828" w:type="dxa"/>
            <w:vAlign w:val="bottom"/>
          </w:tcPr>
          <w:p w14:paraId="7AD99DF2" w14:textId="77777777" w:rsidR="00A3021A" w:rsidRPr="00701439" w:rsidRDefault="00A3021A">
            <w:pPr>
              <w:rPr>
                <w:rFonts w:asciiTheme="minorHAnsi" w:hAnsiTheme="minorHAnsi" w:cs="Arial"/>
                <w:sz w:val="20"/>
                <w:szCs w:val="20"/>
              </w:rPr>
            </w:pPr>
            <w:proofErr w:type="gramStart"/>
            <w:r w:rsidRPr="00701439">
              <w:rPr>
                <w:rFonts w:asciiTheme="minorHAnsi" w:hAnsiTheme="minorHAnsi" w:cs="Arial"/>
                <w:sz w:val="20"/>
                <w:szCs w:val="20"/>
              </w:rPr>
              <w:t>At</w:t>
            </w:r>
            <w:proofErr w:type="gramEnd"/>
            <w:r w:rsidRPr="00701439">
              <w:rPr>
                <w:rFonts w:asciiTheme="minorHAnsi" w:hAnsiTheme="minorHAnsi" w:cs="Arial"/>
                <w:sz w:val="20"/>
                <w:szCs w:val="20"/>
              </w:rPr>
              <w:t xml:space="preserve"> 1 January</w:t>
            </w:r>
          </w:p>
        </w:tc>
        <w:tc>
          <w:tcPr>
            <w:tcW w:w="1134" w:type="dxa"/>
            <w:vAlign w:val="bottom"/>
          </w:tcPr>
          <w:p w14:paraId="098D54D6"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55.0</w:t>
            </w:r>
          </w:p>
        </w:tc>
        <w:tc>
          <w:tcPr>
            <w:tcW w:w="1134" w:type="dxa"/>
            <w:vAlign w:val="bottom"/>
          </w:tcPr>
          <w:p w14:paraId="0DFC5C67"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11.2</w:t>
            </w:r>
          </w:p>
        </w:tc>
        <w:tc>
          <w:tcPr>
            <w:tcW w:w="850" w:type="dxa"/>
            <w:vAlign w:val="bottom"/>
          </w:tcPr>
          <w:p w14:paraId="257199E9"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66.2</w:t>
            </w:r>
          </w:p>
        </w:tc>
        <w:tc>
          <w:tcPr>
            <w:tcW w:w="1134" w:type="dxa"/>
            <w:vAlign w:val="bottom"/>
          </w:tcPr>
          <w:p w14:paraId="122A45DB"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47.5</w:t>
            </w:r>
          </w:p>
        </w:tc>
        <w:tc>
          <w:tcPr>
            <w:tcW w:w="1134" w:type="dxa"/>
            <w:vAlign w:val="bottom"/>
          </w:tcPr>
          <w:p w14:paraId="7AC69D99"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60.1</w:t>
            </w:r>
          </w:p>
        </w:tc>
        <w:tc>
          <w:tcPr>
            <w:tcW w:w="817" w:type="dxa"/>
            <w:vAlign w:val="bottom"/>
          </w:tcPr>
          <w:p w14:paraId="3098FBE1"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107.6</w:t>
            </w:r>
          </w:p>
        </w:tc>
      </w:tr>
      <w:tr w:rsidR="00A3021A" w:rsidRPr="00701439" w14:paraId="4FE391FE" w14:textId="77777777">
        <w:tc>
          <w:tcPr>
            <w:tcW w:w="3828" w:type="dxa"/>
            <w:vAlign w:val="bottom"/>
          </w:tcPr>
          <w:p w14:paraId="43CEB620"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Charged to the income statement – continuing operations</w:t>
            </w:r>
          </w:p>
        </w:tc>
        <w:tc>
          <w:tcPr>
            <w:tcW w:w="1134" w:type="dxa"/>
            <w:vAlign w:val="bottom"/>
          </w:tcPr>
          <w:p w14:paraId="6C2DCD5A"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7.5</w:t>
            </w:r>
          </w:p>
        </w:tc>
        <w:tc>
          <w:tcPr>
            <w:tcW w:w="1134" w:type="dxa"/>
            <w:vAlign w:val="bottom"/>
          </w:tcPr>
          <w:p w14:paraId="342BECD5"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8.5</w:t>
            </w:r>
          </w:p>
        </w:tc>
        <w:tc>
          <w:tcPr>
            <w:tcW w:w="850" w:type="dxa"/>
            <w:vAlign w:val="bottom"/>
          </w:tcPr>
          <w:p w14:paraId="14297A07"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16.0</w:t>
            </w:r>
          </w:p>
        </w:tc>
        <w:tc>
          <w:tcPr>
            <w:tcW w:w="1134" w:type="dxa"/>
            <w:vAlign w:val="bottom"/>
          </w:tcPr>
          <w:p w14:paraId="163B1F6F"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7.5</w:t>
            </w:r>
          </w:p>
        </w:tc>
        <w:tc>
          <w:tcPr>
            <w:tcW w:w="1134" w:type="dxa"/>
            <w:vAlign w:val="bottom"/>
          </w:tcPr>
          <w:p w14:paraId="7531A456"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7.1</w:t>
            </w:r>
          </w:p>
        </w:tc>
        <w:tc>
          <w:tcPr>
            <w:tcW w:w="817" w:type="dxa"/>
            <w:vAlign w:val="bottom"/>
          </w:tcPr>
          <w:p w14:paraId="0C7A6E3B"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14.6</w:t>
            </w:r>
          </w:p>
        </w:tc>
      </w:tr>
      <w:tr w:rsidR="00A3021A" w:rsidRPr="00701439" w14:paraId="5BA118DD" w14:textId="77777777">
        <w:tc>
          <w:tcPr>
            <w:tcW w:w="3828" w:type="dxa"/>
            <w:vAlign w:val="bottom"/>
          </w:tcPr>
          <w:p w14:paraId="68649ED4"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Charged to the income statement – discontinued operations</w:t>
            </w:r>
          </w:p>
        </w:tc>
        <w:tc>
          <w:tcPr>
            <w:tcW w:w="1134" w:type="dxa"/>
            <w:vAlign w:val="bottom"/>
          </w:tcPr>
          <w:p w14:paraId="772E17E2"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c>
          <w:tcPr>
            <w:tcW w:w="1134" w:type="dxa"/>
            <w:vAlign w:val="bottom"/>
          </w:tcPr>
          <w:p w14:paraId="3E573662"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c>
          <w:tcPr>
            <w:tcW w:w="850" w:type="dxa"/>
            <w:vAlign w:val="bottom"/>
          </w:tcPr>
          <w:p w14:paraId="32CE1C0D"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c>
          <w:tcPr>
            <w:tcW w:w="1134" w:type="dxa"/>
            <w:vAlign w:val="bottom"/>
          </w:tcPr>
          <w:p w14:paraId="2816FF62"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c>
          <w:tcPr>
            <w:tcW w:w="1134" w:type="dxa"/>
            <w:vAlign w:val="bottom"/>
          </w:tcPr>
          <w:p w14:paraId="15501238"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3.6</w:t>
            </w:r>
          </w:p>
        </w:tc>
        <w:tc>
          <w:tcPr>
            <w:tcW w:w="817" w:type="dxa"/>
            <w:vAlign w:val="bottom"/>
          </w:tcPr>
          <w:p w14:paraId="3BD7A9FD"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3.6</w:t>
            </w:r>
          </w:p>
        </w:tc>
      </w:tr>
      <w:tr w:rsidR="00A3021A" w:rsidRPr="00701439" w14:paraId="46991809" w14:textId="77777777">
        <w:tc>
          <w:tcPr>
            <w:tcW w:w="3828" w:type="dxa"/>
            <w:vAlign w:val="bottom"/>
          </w:tcPr>
          <w:p w14:paraId="4E43BAD7"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Disposals</w:t>
            </w:r>
          </w:p>
        </w:tc>
        <w:tc>
          <w:tcPr>
            <w:tcW w:w="1134" w:type="dxa"/>
            <w:tcBorders>
              <w:left w:val="nil"/>
              <w:bottom w:val="single" w:sz="4" w:space="0" w:color="auto"/>
              <w:right w:val="nil"/>
            </w:tcBorders>
            <w:vAlign w:val="bottom"/>
          </w:tcPr>
          <w:p w14:paraId="17639ACE"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c>
          <w:tcPr>
            <w:tcW w:w="1134" w:type="dxa"/>
            <w:tcBorders>
              <w:left w:val="nil"/>
              <w:bottom w:val="single" w:sz="4" w:space="0" w:color="auto"/>
              <w:right w:val="nil"/>
            </w:tcBorders>
            <w:vAlign w:val="bottom"/>
          </w:tcPr>
          <w:p w14:paraId="63369C5D"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(2.0)</w:t>
            </w:r>
          </w:p>
        </w:tc>
        <w:tc>
          <w:tcPr>
            <w:tcW w:w="850" w:type="dxa"/>
            <w:tcBorders>
              <w:left w:val="nil"/>
              <w:bottom w:val="single" w:sz="4" w:space="0" w:color="auto"/>
              <w:right w:val="nil"/>
            </w:tcBorders>
            <w:vAlign w:val="bottom"/>
          </w:tcPr>
          <w:p w14:paraId="41197939"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(2.0)</w:t>
            </w:r>
          </w:p>
        </w:tc>
        <w:tc>
          <w:tcPr>
            <w:tcW w:w="1134" w:type="dxa"/>
            <w:tcBorders>
              <w:left w:val="nil"/>
              <w:bottom w:val="single" w:sz="4" w:space="0" w:color="auto"/>
              <w:right w:val="nil"/>
            </w:tcBorders>
            <w:vAlign w:val="bottom"/>
          </w:tcPr>
          <w:p w14:paraId="094C4698"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c>
          <w:tcPr>
            <w:tcW w:w="1134" w:type="dxa"/>
            <w:tcBorders>
              <w:left w:val="nil"/>
              <w:bottom w:val="single" w:sz="4" w:space="0" w:color="auto"/>
              <w:right w:val="nil"/>
            </w:tcBorders>
            <w:vAlign w:val="bottom"/>
          </w:tcPr>
          <w:p w14:paraId="4E3CE240"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(59.6)</w:t>
            </w:r>
          </w:p>
        </w:tc>
        <w:tc>
          <w:tcPr>
            <w:tcW w:w="817" w:type="dxa"/>
            <w:tcBorders>
              <w:left w:val="nil"/>
              <w:bottom w:val="single" w:sz="4" w:space="0" w:color="auto"/>
              <w:right w:val="nil"/>
            </w:tcBorders>
            <w:vAlign w:val="bottom"/>
          </w:tcPr>
          <w:p w14:paraId="10C09176"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(59.6)</w:t>
            </w:r>
          </w:p>
        </w:tc>
      </w:tr>
      <w:tr w:rsidR="00A3021A" w:rsidRPr="00701439" w14:paraId="49560E39" w14:textId="77777777">
        <w:tc>
          <w:tcPr>
            <w:tcW w:w="3828" w:type="dxa"/>
            <w:vAlign w:val="bottom"/>
          </w:tcPr>
          <w:p w14:paraId="7A3BE5A3" w14:textId="77777777" w:rsidR="00A3021A" w:rsidRPr="00701439" w:rsidRDefault="00A3021A">
            <w:pPr>
              <w:rPr>
                <w:rFonts w:asciiTheme="minorHAnsi" w:hAnsiTheme="minorHAnsi" w:cs="Arial"/>
                <w:sz w:val="20"/>
                <w:szCs w:val="20"/>
              </w:rPr>
            </w:pPr>
            <w:proofErr w:type="gramStart"/>
            <w:r w:rsidRPr="00701439">
              <w:rPr>
                <w:rFonts w:asciiTheme="minorHAnsi" w:hAnsiTheme="minorHAnsi" w:cs="Arial"/>
                <w:sz w:val="20"/>
                <w:szCs w:val="20"/>
              </w:rPr>
              <w:t>At</w:t>
            </w:r>
            <w:proofErr w:type="gramEnd"/>
            <w:r w:rsidRPr="00701439">
              <w:rPr>
                <w:rFonts w:asciiTheme="minorHAnsi" w:hAnsiTheme="minorHAnsi" w:cs="Arial"/>
                <w:sz w:val="20"/>
                <w:szCs w:val="20"/>
              </w:rPr>
              <w:t xml:space="preserve"> 31 December</w:t>
            </w:r>
          </w:p>
        </w:tc>
        <w:tc>
          <w:tcPr>
            <w:tcW w:w="1134" w:type="dxa"/>
            <w:tcBorders>
              <w:left w:val="nil"/>
              <w:bottom w:val="single" w:sz="4" w:space="0" w:color="auto"/>
              <w:right w:val="nil"/>
            </w:tcBorders>
            <w:vAlign w:val="bottom"/>
          </w:tcPr>
          <w:p w14:paraId="66E58C48"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62.5</w:t>
            </w:r>
          </w:p>
        </w:tc>
        <w:tc>
          <w:tcPr>
            <w:tcW w:w="1134" w:type="dxa"/>
            <w:tcBorders>
              <w:left w:val="nil"/>
              <w:bottom w:val="single" w:sz="4" w:space="0" w:color="auto"/>
              <w:right w:val="nil"/>
            </w:tcBorders>
            <w:vAlign w:val="bottom"/>
          </w:tcPr>
          <w:p w14:paraId="0F439FEB"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17.7</w:t>
            </w:r>
          </w:p>
        </w:tc>
        <w:tc>
          <w:tcPr>
            <w:tcW w:w="850" w:type="dxa"/>
            <w:tcBorders>
              <w:left w:val="nil"/>
              <w:bottom w:val="single" w:sz="4" w:space="0" w:color="auto"/>
              <w:right w:val="nil"/>
            </w:tcBorders>
            <w:vAlign w:val="bottom"/>
          </w:tcPr>
          <w:p w14:paraId="305AB438"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80.2</w:t>
            </w:r>
          </w:p>
        </w:tc>
        <w:tc>
          <w:tcPr>
            <w:tcW w:w="1134" w:type="dxa"/>
            <w:tcBorders>
              <w:left w:val="nil"/>
              <w:bottom w:val="single" w:sz="4" w:space="0" w:color="auto"/>
              <w:right w:val="nil"/>
            </w:tcBorders>
            <w:vAlign w:val="bottom"/>
          </w:tcPr>
          <w:p w14:paraId="22C08483"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55.0</w:t>
            </w:r>
          </w:p>
        </w:tc>
        <w:tc>
          <w:tcPr>
            <w:tcW w:w="1134" w:type="dxa"/>
            <w:tcBorders>
              <w:left w:val="nil"/>
              <w:bottom w:val="single" w:sz="4" w:space="0" w:color="auto"/>
              <w:right w:val="nil"/>
            </w:tcBorders>
            <w:vAlign w:val="bottom"/>
          </w:tcPr>
          <w:p w14:paraId="4EA869F5"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11.2</w:t>
            </w:r>
          </w:p>
        </w:tc>
        <w:tc>
          <w:tcPr>
            <w:tcW w:w="817" w:type="dxa"/>
            <w:tcBorders>
              <w:left w:val="nil"/>
              <w:bottom w:val="single" w:sz="4" w:space="0" w:color="auto"/>
              <w:right w:val="nil"/>
            </w:tcBorders>
            <w:vAlign w:val="bottom"/>
          </w:tcPr>
          <w:p w14:paraId="2DF5CA13"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66.2</w:t>
            </w:r>
          </w:p>
        </w:tc>
      </w:tr>
      <w:tr w:rsidR="00A3021A" w:rsidRPr="00701439" w14:paraId="1F2A0782" w14:textId="77777777">
        <w:tc>
          <w:tcPr>
            <w:tcW w:w="3828" w:type="dxa"/>
            <w:vAlign w:val="bottom"/>
          </w:tcPr>
          <w:p w14:paraId="056C79F3" w14:textId="77777777" w:rsidR="00A3021A" w:rsidRPr="00701439" w:rsidRDefault="00A3021A">
            <w:pPr>
              <w:rPr>
                <w:rFonts w:asciiTheme="minorHAnsi" w:hAnsiTheme="minorHAnsi" w:cs="Arial"/>
                <w:sz w:val="20"/>
                <w:szCs w:val="20"/>
              </w:rPr>
            </w:pPr>
          </w:p>
        </w:tc>
        <w:tc>
          <w:tcPr>
            <w:tcW w:w="1134" w:type="dxa"/>
            <w:tcBorders>
              <w:top w:val="single" w:sz="4" w:space="0" w:color="auto"/>
              <w:left w:val="nil"/>
              <w:right w:val="nil"/>
            </w:tcBorders>
            <w:vAlign w:val="bottom"/>
          </w:tcPr>
          <w:p w14:paraId="2D8F1F91" w14:textId="77777777" w:rsidR="00A3021A" w:rsidRPr="00701439" w:rsidRDefault="00A3021A">
            <w:pPr>
              <w:jc w:val="right"/>
              <w:rPr>
                <w:rFonts w:asciiTheme="minorHAnsi" w:hAnsiTheme="minorHAnsi" w:cs="Arial"/>
                <w:sz w:val="20"/>
                <w:szCs w:val="20"/>
              </w:rPr>
            </w:pPr>
          </w:p>
        </w:tc>
        <w:tc>
          <w:tcPr>
            <w:tcW w:w="1134" w:type="dxa"/>
            <w:tcBorders>
              <w:top w:val="single" w:sz="4" w:space="0" w:color="auto"/>
              <w:left w:val="nil"/>
              <w:right w:val="nil"/>
            </w:tcBorders>
            <w:vAlign w:val="bottom"/>
          </w:tcPr>
          <w:p w14:paraId="66BAD1AB" w14:textId="77777777" w:rsidR="00A3021A" w:rsidRPr="00701439" w:rsidRDefault="00A3021A">
            <w:pPr>
              <w:jc w:val="right"/>
              <w:rPr>
                <w:rFonts w:asciiTheme="minorHAnsi" w:hAnsiTheme="minorHAnsi" w:cs="Arial"/>
                <w:sz w:val="20"/>
                <w:szCs w:val="20"/>
              </w:rPr>
            </w:pPr>
          </w:p>
        </w:tc>
        <w:tc>
          <w:tcPr>
            <w:tcW w:w="850" w:type="dxa"/>
            <w:tcBorders>
              <w:top w:val="single" w:sz="4" w:space="0" w:color="auto"/>
              <w:left w:val="nil"/>
              <w:right w:val="nil"/>
            </w:tcBorders>
            <w:vAlign w:val="bottom"/>
          </w:tcPr>
          <w:p w14:paraId="280A7EB7" w14:textId="77777777" w:rsidR="00A3021A" w:rsidRPr="00701439" w:rsidRDefault="00A3021A">
            <w:pPr>
              <w:jc w:val="right"/>
              <w:rPr>
                <w:rFonts w:asciiTheme="minorHAnsi" w:hAnsiTheme="minorHAnsi" w:cs="Arial"/>
                <w:sz w:val="20"/>
                <w:szCs w:val="20"/>
              </w:rPr>
            </w:pPr>
          </w:p>
        </w:tc>
        <w:tc>
          <w:tcPr>
            <w:tcW w:w="1134" w:type="dxa"/>
            <w:tcBorders>
              <w:top w:val="single" w:sz="4" w:space="0" w:color="auto"/>
              <w:left w:val="nil"/>
              <w:right w:val="nil"/>
            </w:tcBorders>
            <w:vAlign w:val="bottom"/>
          </w:tcPr>
          <w:p w14:paraId="35ABF40B" w14:textId="77777777" w:rsidR="00A3021A" w:rsidRPr="00701439" w:rsidRDefault="00A3021A">
            <w:pPr>
              <w:jc w:val="right"/>
              <w:rPr>
                <w:rFonts w:asciiTheme="minorHAnsi" w:hAnsiTheme="minorHAnsi" w:cs="Arial"/>
                <w:sz w:val="20"/>
                <w:szCs w:val="20"/>
              </w:rPr>
            </w:pPr>
          </w:p>
        </w:tc>
        <w:tc>
          <w:tcPr>
            <w:tcW w:w="1134" w:type="dxa"/>
            <w:tcBorders>
              <w:top w:val="single" w:sz="4" w:space="0" w:color="auto"/>
              <w:left w:val="nil"/>
              <w:right w:val="nil"/>
            </w:tcBorders>
            <w:vAlign w:val="bottom"/>
          </w:tcPr>
          <w:p w14:paraId="20BE215D" w14:textId="77777777" w:rsidR="00A3021A" w:rsidRPr="00701439" w:rsidRDefault="00A3021A">
            <w:pPr>
              <w:jc w:val="right"/>
              <w:rPr>
                <w:rFonts w:asciiTheme="minorHAnsi" w:hAnsiTheme="minorHAnsi" w:cs="Arial"/>
                <w:sz w:val="20"/>
                <w:szCs w:val="20"/>
              </w:rPr>
            </w:pPr>
          </w:p>
        </w:tc>
        <w:tc>
          <w:tcPr>
            <w:tcW w:w="817" w:type="dxa"/>
            <w:tcBorders>
              <w:top w:val="single" w:sz="4" w:space="0" w:color="auto"/>
              <w:left w:val="nil"/>
              <w:right w:val="nil"/>
            </w:tcBorders>
            <w:vAlign w:val="bottom"/>
          </w:tcPr>
          <w:p w14:paraId="3912BEAF" w14:textId="77777777" w:rsidR="00A3021A" w:rsidRPr="00701439" w:rsidRDefault="00A3021A">
            <w:pPr>
              <w:jc w:val="right"/>
              <w:rPr>
                <w:rFonts w:asciiTheme="minorHAnsi" w:hAnsiTheme="minorHAnsi" w:cs="Arial"/>
                <w:sz w:val="20"/>
                <w:szCs w:val="20"/>
              </w:rPr>
            </w:pPr>
          </w:p>
        </w:tc>
      </w:tr>
      <w:tr w:rsidR="00A3021A" w:rsidRPr="00701439" w14:paraId="00B67DC8" w14:textId="77777777">
        <w:tc>
          <w:tcPr>
            <w:tcW w:w="3828" w:type="dxa"/>
            <w:vAlign w:val="bottom"/>
          </w:tcPr>
          <w:p w14:paraId="2A6EC817" w14:textId="77777777" w:rsidR="00A3021A" w:rsidRPr="00701439" w:rsidRDefault="00A3021A">
            <w:pPr>
              <w:rPr>
                <w:rFonts w:asciiTheme="minorHAnsi" w:hAnsiTheme="minorHAnsi" w:cs="Arial"/>
                <w:b/>
                <w:sz w:val="20"/>
                <w:szCs w:val="20"/>
              </w:rPr>
            </w:pPr>
            <w:r w:rsidRPr="00701439">
              <w:rPr>
                <w:rFonts w:asciiTheme="minorHAnsi" w:hAnsiTheme="minorHAnsi" w:cs="Arial"/>
                <w:b/>
                <w:sz w:val="20"/>
                <w:szCs w:val="20"/>
              </w:rPr>
              <w:t>Net book value</w:t>
            </w:r>
          </w:p>
        </w:tc>
        <w:tc>
          <w:tcPr>
            <w:tcW w:w="1134" w:type="dxa"/>
            <w:tcBorders>
              <w:top w:val="nil"/>
              <w:left w:val="nil"/>
              <w:right w:val="nil"/>
            </w:tcBorders>
            <w:vAlign w:val="bottom"/>
          </w:tcPr>
          <w:p w14:paraId="76FEE73B" w14:textId="77777777" w:rsidR="00A3021A" w:rsidRPr="00701439" w:rsidRDefault="00A3021A">
            <w:pPr>
              <w:jc w:val="right"/>
              <w:rPr>
                <w:rFonts w:asciiTheme="minorHAnsi" w:hAnsiTheme="minorHAnsi" w:cs="Arial"/>
                <w:sz w:val="20"/>
                <w:szCs w:val="20"/>
              </w:rPr>
            </w:pPr>
          </w:p>
        </w:tc>
        <w:tc>
          <w:tcPr>
            <w:tcW w:w="1134" w:type="dxa"/>
            <w:tcBorders>
              <w:top w:val="nil"/>
              <w:left w:val="nil"/>
              <w:right w:val="nil"/>
            </w:tcBorders>
            <w:vAlign w:val="bottom"/>
          </w:tcPr>
          <w:p w14:paraId="2BF9AA36" w14:textId="77777777" w:rsidR="00A3021A" w:rsidRPr="00701439" w:rsidRDefault="00A3021A">
            <w:pPr>
              <w:jc w:val="right"/>
              <w:rPr>
                <w:rFonts w:asciiTheme="minorHAnsi" w:hAnsiTheme="minorHAnsi" w:cs="Arial"/>
                <w:sz w:val="20"/>
                <w:szCs w:val="20"/>
              </w:rPr>
            </w:pPr>
          </w:p>
        </w:tc>
        <w:tc>
          <w:tcPr>
            <w:tcW w:w="850" w:type="dxa"/>
            <w:tcBorders>
              <w:top w:val="nil"/>
              <w:left w:val="nil"/>
              <w:right w:val="nil"/>
            </w:tcBorders>
            <w:vAlign w:val="bottom"/>
          </w:tcPr>
          <w:p w14:paraId="2403A320" w14:textId="77777777" w:rsidR="00A3021A" w:rsidRPr="00701439" w:rsidRDefault="00A3021A">
            <w:pPr>
              <w:jc w:val="right"/>
              <w:rPr>
                <w:rFonts w:asciiTheme="minorHAnsi" w:hAnsiTheme="minorHAnsi" w:cs="Arial"/>
                <w:sz w:val="20"/>
                <w:szCs w:val="20"/>
              </w:rPr>
            </w:pPr>
          </w:p>
        </w:tc>
        <w:tc>
          <w:tcPr>
            <w:tcW w:w="1134" w:type="dxa"/>
            <w:tcBorders>
              <w:top w:val="nil"/>
              <w:left w:val="nil"/>
              <w:right w:val="nil"/>
            </w:tcBorders>
            <w:vAlign w:val="bottom"/>
          </w:tcPr>
          <w:p w14:paraId="3A95BD5F" w14:textId="77777777" w:rsidR="00A3021A" w:rsidRPr="00701439" w:rsidRDefault="00A3021A">
            <w:pPr>
              <w:jc w:val="right"/>
              <w:rPr>
                <w:rFonts w:asciiTheme="minorHAnsi" w:hAnsiTheme="minorHAnsi" w:cs="Arial"/>
                <w:sz w:val="20"/>
                <w:szCs w:val="20"/>
              </w:rPr>
            </w:pPr>
          </w:p>
        </w:tc>
        <w:tc>
          <w:tcPr>
            <w:tcW w:w="1134" w:type="dxa"/>
            <w:tcBorders>
              <w:top w:val="nil"/>
              <w:left w:val="nil"/>
              <w:right w:val="nil"/>
            </w:tcBorders>
            <w:vAlign w:val="bottom"/>
          </w:tcPr>
          <w:p w14:paraId="1D8EA893" w14:textId="77777777" w:rsidR="00A3021A" w:rsidRPr="00701439" w:rsidRDefault="00A3021A">
            <w:pPr>
              <w:jc w:val="right"/>
              <w:rPr>
                <w:rFonts w:asciiTheme="minorHAnsi" w:hAnsiTheme="minorHAnsi" w:cs="Arial"/>
                <w:sz w:val="20"/>
                <w:szCs w:val="20"/>
              </w:rPr>
            </w:pPr>
          </w:p>
        </w:tc>
        <w:tc>
          <w:tcPr>
            <w:tcW w:w="817" w:type="dxa"/>
            <w:tcBorders>
              <w:top w:val="nil"/>
              <w:left w:val="nil"/>
              <w:right w:val="nil"/>
            </w:tcBorders>
            <w:vAlign w:val="bottom"/>
          </w:tcPr>
          <w:p w14:paraId="04E5D8B0" w14:textId="77777777" w:rsidR="00A3021A" w:rsidRPr="00701439" w:rsidRDefault="00A3021A">
            <w:pPr>
              <w:jc w:val="right"/>
              <w:rPr>
                <w:rFonts w:asciiTheme="minorHAnsi" w:hAnsiTheme="minorHAnsi" w:cs="Arial"/>
                <w:sz w:val="20"/>
                <w:szCs w:val="20"/>
              </w:rPr>
            </w:pPr>
          </w:p>
        </w:tc>
      </w:tr>
      <w:tr w:rsidR="00A3021A" w:rsidRPr="00701439" w14:paraId="38330575" w14:textId="77777777">
        <w:tc>
          <w:tcPr>
            <w:tcW w:w="3828" w:type="dxa"/>
            <w:vAlign w:val="bottom"/>
          </w:tcPr>
          <w:p w14:paraId="74040AB7" w14:textId="77777777" w:rsidR="00A3021A" w:rsidRPr="00701439" w:rsidRDefault="00A3021A">
            <w:pPr>
              <w:rPr>
                <w:rFonts w:asciiTheme="minorHAnsi" w:hAnsiTheme="minorHAnsi" w:cs="Arial"/>
                <w:sz w:val="20"/>
                <w:szCs w:val="20"/>
              </w:rPr>
            </w:pPr>
            <w:proofErr w:type="gramStart"/>
            <w:r w:rsidRPr="00701439">
              <w:rPr>
                <w:rFonts w:asciiTheme="minorHAnsi" w:hAnsiTheme="minorHAnsi" w:cs="Arial"/>
                <w:sz w:val="20"/>
                <w:szCs w:val="20"/>
              </w:rPr>
              <w:t>At</w:t>
            </w:r>
            <w:proofErr w:type="gramEnd"/>
            <w:r w:rsidRPr="00701439">
              <w:rPr>
                <w:rFonts w:asciiTheme="minorHAnsi" w:hAnsiTheme="minorHAnsi" w:cs="Arial"/>
                <w:sz w:val="20"/>
                <w:szCs w:val="20"/>
              </w:rPr>
              <w:t xml:space="preserve"> 31 December</w:t>
            </w:r>
          </w:p>
        </w:tc>
        <w:tc>
          <w:tcPr>
            <w:tcW w:w="1134" w:type="dxa"/>
            <w:tcBorders>
              <w:top w:val="nil"/>
              <w:left w:val="nil"/>
              <w:bottom w:val="single" w:sz="12" w:space="0" w:color="auto"/>
              <w:right w:val="nil"/>
            </w:tcBorders>
            <w:vAlign w:val="bottom"/>
          </w:tcPr>
          <w:p w14:paraId="5A1BFD00"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12.5</w:t>
            </w:r>
          </w:p>
        </w:tc>
        <w:tc>
          <w:tcPr>
            <w:tcW w:w="1134" w:type="dxa"/>
            <w:tcBorders>
              <w:top w:val="nil"/>
              <w:left w:val="nil"/>
              <w:bottom w:val="single" w:sz="12" w:space="0" w:color="auto"/>
              <w:right w:val="nil"/>
            </w:tcBorders>
            <w:vAlign w:val="bottom"/>
          </w:tcPr>
          <w:p w14:paraId="7EC5CB61"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50.8</w:t>
            </w:r>
          </w:p>
        </w:tc>
        <w:tc>
          <w:tcPr>
            <w:tcW w:w="850" w:type="dxa"/>
            <w:tcBorders>
              <w:top w:val="nil"/>
              <w:left w:val="nil"/>
              <w:bottom w:val="single" w:sz="12" w:space="0" w:color="auto"/>
              <w:right w:val="nil"/>
            </w:tcBorders>
            <w:vAlign w:val="bottom"/>
          </w:tcPr>
          <w:p w14:paraId="0518350A"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63.3</w:t>
            </w:r>
          </w:p>
        </w:tc>
        <w:tc>
          <w:tcPr>
            <w:tcW w:w="1134" w:type="dxa"/>
            <w:tcBorders>
              <w:top w:val="nil"/>
              <w:left w:val="nil"/>
              <w:bottom w:val="single" w:sz="12" w:space="0" w:color="auto"/>
              <w:right w:val="nil"/>
            </w:tcBorders>
            <w:vAlign w:val="bottom"/>
          </w:tcPr>
          <w:p w14:paraId="0CB76A39"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20.0</w:t>
            </w:r>
          </w:p>
        </w:tc>
        <w:tc>
          <w:tcPr>
            <w:tcW w:w="1134" w:type="dxa"/>
            <w:tcBorders>
              <w:top w:val="nil"/>
              <w:left w:val="nil"/>
              <w:bottom w:val="single" w:sz="12" w:space="0" w:color="auto"/>
              <w:right w:val="nil"/>
            </w:tcBorders>
            <w:vAlign w:val="bottom"/>
          </w:tcPr>
          <w:p w14:paraId="7372B8E9"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32.3</w:t>
            </w:r>
          </w:p>
        </w:tc>
        <w:tc>
          <w:tcPr>
            <w:tcW w:w="817" w:type="dxa"/>
            <w:tcBorders>
              <w:top w:val="nil"/>
              <w:left w:val="nil"/>
              <w:bottom w:val="single" w:sz="12" w:space="0" w:color="auto"/>
              <w:right w:val="nil"/>
            </w:tcBorders>
            <w:vAlign w:val="bottom"/>
          </w:tcPr>
          <w:p w14:paraId="132CC94B"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52.3</w:t>
            </w:r>
          </w:p>
        </w:tc>
      </w:tr>
      <w:tr w:rsidR="00A3021A" w:rsidRPr="00701439" w14:paraId="2332960E" w14:textId="77777777">
        <w:tc>
          <w:tcPr>
            <w:tcW w:w="3828" w:type="dxa"/>
            <w:vAlign w:val="bottom"/>
          </w:tcPr>
          <w:p w14:paraId="186530B9" w14:textId="77777777" w:rsidR="00A3021A" w:rsidRPr="00701439" w:rsidRDefault="00A3021A">
            <w:pPr>
              <w:rPr>
                <w:rFonts w:asciiTheme="minorHAnsi" w:hAnsiTheme="minorHAnsi" w:cs="Arial"/>
                <w:sz w:val="20"/>
                <w:szCs w:val="20"/>
              </w:rPr>
            </w:pPr>
            <w:proofErr w:type="gramStart"/>
            <w:r w:rsidRPr="00701439">
              <w:rPr>
                <w:rFonts w:asciiTheme="minorHAnsi" w:hAnsiTheme="minorHAnsi" w:cs="Arial"/>
                <w:sz w:val="20"/>
                <w:szCs w:val="20"/>
              </w:rPr>
              <w:t>At</w:t>
            </w:r>
            <w:proofErr w:type="gramEnd"/>
            <w:r w:rsidRPr="00701439">
              <w:rPr>
                <w:rFonts w:asciiTheme="minorHAnsi" w:hAnsiTheme="minorHAnsi" w:cs="Arial"/>
                <w:sz w:val="20"/>
                <w:szCs w:val="20"/>
              </w:rPr>
              <w:t xml:space="preserve"> 1 January</w:t>
            </w:r>
          </w:p>
        </w:tc>
        <w:tc>
          <w:tcPr>
            <w:tcW w:w="1134" w:type="dxa"/>
            <w:tcBorders>
              <w:top w:val="single" w:sz="12" w:space="0" w:color="auto"/>
              <w:left w:val="nil"/>
              <w:bottom w:val="single" w:sz="4" w:space="0" w:color="auto"/>
              <w:right w:val="nil"/>
            </w:tcBorders>
            <w:vAlign w:val="bottom"/>
          </w:tcPr>
          <w:p w14:paraId="7D0AED2A"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20.0</w:t>
            </w:r>
          </w:p>
        </w:tc>
        <w:tc>
          <w:tcPr>
            <w:tcW w:w="1134" w:type="dxa"/>
            <w:tcBorders>
              <w:top w:val="single" w:sz="12" w:space="0" w:color="auto"/>
              <w:left w:val="nil"/>
              <w:bottom w:val="single" w:sz="4" w:space="0" w:color="auto"/>
              <w:right w:val="nil"/>
            </w:tcBorders>
            <w:vAlign w:val="bottom"/>
          </w:tcPr>
          <w:p w14:paraId="27395ACC"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32.3</w:t>
            </w:r>
          </w:p>
        </w:tc>
        <w:tc>
          <w:tcPr>
            <w:tcW w:w="850" w:type="dxa"/>
            <w:tcBorders>
              <w:top w:val="single" w:sz="12" w:space="0" w:color="auto"/>
              <w:left w:val="nil"/>
              <w:bottom w:val="single" w:sz="4" w:space="0" w:color="auto"/>
              <w:right w:val="nil"/>
            </w:tcBorders>
            <w:vAlign w:val="bottom"/>
          </w:tcPr>
          <w:p w14:paraId="5E5D055F"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52.3</w:t>
            </w:r>
          </w:p>
        </w:tc>
        <w:tc>
          <w:tcPr>
            <w:tcW w:w="1134" w:type="dxa"/>
            <w:tcBorders>
              <w:top w:val="single" w:sz="12" w:space="0" w:color="auto"/>
              <w:left w:val="nil"/>
              <w:bottom w:val="single" w:sz="4" w:space="0" w:color="auto"/>
              <w:right w:val="nil"/>
            </w:tcBorders>
            <w:vAlign w:val="bottom"/>
          </w:tcPr>
          <w:p w14:paraId="31A3EF5F"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27.5</w:t>
            </w:r>
          </w:p>
        </w:tc>
        <w:tc>
          <w:tcPr>
            <w:tcW w:w="1134" w:type="dxa"/>
            <w:tcBorders>
              <w:top w:val="single" w:sz="12" w:space="0" w:color="auto"/>
              <w:left w:val="nil"/>
              <w:bottom w:val="single" w:sz="4" w:space="0" w:color="auto"/>
              <w:right w:val="nil"/>
            </w:tcBorders>
            <w:vAlign w:val="bottom"/>
          </w:tcPr>
          <w:p w14:paraId="7922CB87"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17.8</w:t>
            </w:r>
          </w:p>
        </w:tc>
        <w:tc>
          <w:tcPr>
            <w:tcW w:w="817" w:type="dxa"/>
            <w:tcBorders>
              <w:top w:val="single" w:sz="12" w:space="0" w:color="auto"/>
              <w:left w:val="nil"/>
              <w:bottom w:val="single" w:sz="4" w:space="0" w:color="auto"/>
              <w:right w:val="nil"/>
            </w:tcBorders>
            <w:vAlign w:val="bottom"/>
          </w:tcPr>
          <w:p w14:paraId="46E6E6D7"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45.3</w:t>
            </w:r>
          </w:p>
        </w:tc>
      </w:tr>
    </w:tbl>
    <w:p w14:paraId="66B369A8" w14:textId="77777777" w:rsidR="00A3021A" w:rsidRPr="00701439" w:rsidRDefault="00A3021A" w:rsidP="00A3021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rPr>
          <w:rFonts w:asciiTheme="minorHAnsi" w:hAnsiTheme="minorHAnsi" w:cs="Arial"/>
          <w:b/>
          <w:sz w:val="20"/>
          <w:szCs w:val="20"/>
        </w:rPr>
      </w:pPr>
    </w:p>
    <w:p w14:paraId="0BE93251" w14:textId="77777777" w:rsidR="00A3021A" w:rsidRPr="00701439" w:rsidRDefault="00A3021A" w:rsidP="00A3021A">
      <w:pPr>
        <w:pStyle w:val="Pa141"/>
        <w:spacing w:after="100"/>
        <w:jc w:val="both"/>
        <w:rPr>
          <w:rFonts w:asciiTheme="minorHAnsi" w:hAnsiTheme="minorHAnsi" w:cs="Poppins Light"/>
          <w:color w:val="000000"/>
          <w:sz w:val="20"/>
          <w:szCs w:val="20"/>
        </w:rPr>
      </w:pPr>
      <w:r w:rsidRPr="00701439">
        <w:rPr>
          <w:rFonts w:asciiTheme="minorHAnsi" w:hAnsiTheme="minorHAnsi" w:cs="Poppins Light"/>
          <w:color w:val="000000"/>
          <w:sz w:val="20"/>
          <w:szCs w:val="20"/>
        </w:rPr>
        <w:t xml:space="preserve">Acquisition intangibles represent the fair value of the broker relationships arising on acquisition of vehicle finance product in August 2014. The intangible asset was calculated based on the discounted cash flows associated with vehicle finance core broker relationships and is being amortised over an estimated useful life of 10 years. </w:t>
      </w:r>
    </w:p>
    <w:p w14:paraId="2A9F748F" w14:textId="7C2AC398" w:rsidR="008A5366" w:rsidRPr="00701439" w:rsidRDefault="008A5366" w:rsidP="0002541E">
      <w:pPr>
        <w:pStyle w:val="Pa141"/>
        <w:spacing w:after="100"/>
        <w:jc w:val="both"/>
        <w:rPr>
          <w:rFonts w:asciiTheme="minorHAnsi" w:hAnsiTheme="minorHAnsi" w:cs="Poppins Light"/>
          <w:sz w:val="20"/>
          <w:szCs w:val="20"/>
        </w:rPr>
      </w:pPr>
      <w:r w:rsidRPr="00701439">
        <w:rPr>
          <w:rFonts w:asciiTheme="minorHAnsi" w:hAnsiTheme="minorHAnsi" w:cs="Poppins Light"/>
          <w:color w:val="000000"/>
          <w:sz w:val="20"/>
          <w:szCs w:val="20"/>
        </w:rPr>
        <w:t xml:space="preserve">Research and development expenditure recognised </w:t>
      </w:r>
      <w:r w:rsidR="00D60EB4" w:rsidRPr="00701439">
        <w:rPr>
          <w:rFonts w:asciiTheme="minorHAnsi" w:hAnsiTheme="minorHAnsi" w:cs="Poppins Light"/>
          <w:color w:val="000000"/>
          <w:sz w:val="20"/>
          <w:szCs w:val="20"/>
        </w:rPr>
        <w:t>within operating costs</w:t>
      </w:r>
      <w:r w:rsidRPr="00701439">
        <w:rPr>
          <w:rFonts w:asciiTheme="minorHAnsi" w:hAnsiTheme="minorHAnsi" w:cs="Poppins Light"/>
          <w:color w:val="000000"/>
          <w:sz w:val="20"/>
          <w:szCs w:val="20"/>
        </w:rPr>
        <w:t xml:space="preserve"> during </w:t>
      </w:r>
      <w:r w:rsidR="00D60EB4" w:rsidRPr="00701439">
        <w:rPr>
          <w:rFonts w:asciiTheme="minorHAnsi" w:hAnsiTheme="minorHAnsi" w:cs="Poppins Light"/>
          <w:color w:val="000000"/>
          <w:sz w:val="20"/>
          <w:szCs w:val="20"/>
        </w:rPr>
        <w:t>2022</w:t>
      </w:r>
      <w:r w:rsidRPr="00701439">
        <w:rPr>
          <w:rFonts w:asciiTheme="minorHAnsi" w:hAnsiTheme="minorHAnsi" w:cs="Poppins Light"/>
          <w:color w:val="000000"/>
          <w:sz w:val="20"/>
          <w:szCs w:val="20"/>
        </w:rPr>
        <w:t xml:space="preserve"> was £1.0m</w:t>
      </w:r>
      <w:r w:rsidR="00ED2BF6" w:rsidRPr="00701439">
        <w:rPr>
          <w:rFonts w:asciiTheme="minorHAnsi" w:hAnsiTheme="minorHAnsi" w:cs="Poppins Light"/>
          <w:color w:val="000000"/>
          <w:sz w:val="20"/>
          <w:szCs w:val="20"/>
        </w:rPr>
        <w:t>.</w:t>
      </w:r>
    </w:p>
    <w:p w14:paraId="0C3C1091" w14:textId="510C898E" w:rsidR="00A3021A" w:rsidRPr="00701439" w:rsidRDefault="00A3021A" w:rsidP="00A3021A">
      <w:pPr>
        <w:pStyle w:val="Pa141"/>
        <w:spacing w:after="100"/>
        <w:jc w:val="both"/>
        <w:rPr>
          <w:rFonts w:asciiTheme="minorHAnsi" w:hAnsiTheme="minorHAnsi" w:cs="Poppins Light"/>
          <w:color w:val="000000"/>
          <w:sz w:val="20"/>
          <w:szCs w:val="20"/>
        </w:rPr>
      </w:pPr>
      <w:r w:rsidRPr="00701439">
        <w:rPr>
          <w:rFonts w:asciiTheme="minorHAnsi" w:hAnsiTheme="minorHAnsi" w:cs="Poppins Light"/>
          <w:color w:val="000000"/>
          <w:sz w:val="20"/>
          <w:szCs w:val="20"/>
        </w:rPr>
        <w:t>Additions to computer software in the year of £29.2m (2021: £24.8m) comprise £</w:t>
      </w:r>
      <w:r w:rsidR="00E36C75" w:rsidRPr="00701439">
        <w:rPr>
          <w:rFonts w:asciiTheme="minorHAnsi" w:hAnsiTheme="minorHAnsi" w:cs="Poppins Light"/>
          <w:color w:val="000000"/>
          <w:sz w:val="20"/>
          <w:szCs w:val="20"/>
        </w:rPr>
        <w:t>28.4m</w:t>
      </w:r>
      <w:r w:rsidRPr="00701439">
        <w:rPr>
          <w:rFonts w:asciiTheme="minorHAnsi" w:hAnsiTheme="minorHAnsi" w:cs="Poppins Light"/>
          <w:color w:val="000000"/>
          <w:sz w:val="20"/>
          <w:szCs w:val="20"/>
        </w:rPr>
        <w:t xml:space="preserve"> (2021: £24.2m) of internally generated assets and £</w:t>
      </w:r>
      <w:r w:rsidR="00E36C75" w:rsidRPr="00701439">
        <w:rPr>
          <w:rFonts w:asciiTheme="minorHAnsi" w:hAnsiTheme="minorHAnsi" w:cs="Poppins Light"/>
          <w:color w:val="000000"/>
          <w:sz w:val="20"/>
          <w:szCs w:val="20"/>
        </w:rPr>
        <w:t>0.8m</w:t>
      </w:r>
      <w:r w:rsidRPr="00701439">
        <w:rPr>
          <w:rFonts w:asciiTheme="minorHAnsi" w:hAnsiTheme="minorHAnsi" w:cs="Poppins Light"/>
          <w:color w:val="000000"/>
          <w:sz w:val="20"/>
          <w:szCs w:val="20"/>
        </w:rPr>
        <w:t xml:space="preserve"> (2021: £0.6m) of externally purchased software. </w:t>
      </w:r>
    </w:p>
    <w:p w14:paraId="37C032A4" w14:textId="3AAE85FC" w:rsidR="00A3021A" w:rsidRPr="00701439" w:rsidRDefault="00A3021A" w:rsidP="00A3021A">
      <w:pPr>
        <w:jc w:val="both"/>
        <w:rPr>
          <w:rFonts w:asciiTheme="minorHAnsi" w:hAnsiTheme="minorHAnsi" w:cs="Arial"/>
          <w:bCs/>
          <w:sz w:val="20"/>
          <w:szCs w:val="20"/>
        </w:rPr>
      </w:pPr>
      <w:r w:rsidRPr="00701439">
        <w:rPr>
          <w:rFonts w:asciiTheme="minorHAnsi" w:hAnsiTheme="minorHAnsi" w:cstheme="minorHAnsi"/>
          <w:sz w:val="20"/>
          <w:szCs w:val="20"/>
        </w:rPr>
        <w:t>The £</w:t>
      </w:r>
      <w:r w:rsidR="00E36C75" w:rsidRPr="00701439">
        <w:rPr>
          <w:rFonts w:asciiTheme="minorHAnsi" w:hAnsiTheme="minorHAnsi" w:cstheme="minorHAnsi"/>
          <w:sz w:val="20"/>
          <w:szCs w:val="20"/>
        </w:rPr>
        <w:t>28</w:t>
      </w:r>
      <w:r w:rsidR="009577E6" w:rsidRPr="00701439">
        <w:rPr>
          <w:rFonts w:asciiTheme="minorHAnsi" w:hAnsiTheme="minorHAnsi" w:cstheme="minorHAnsi"/>
          <w:sz w:val="20"/>
          <w:szCs w:val="20"/>
        </w:rPr>
        <w:t>.</w:t>
      </w:r>
      <w:r w:rsidR="0019366C" w:rsidRPr="00701439">
        <w:rPr>
          <w:rFonts w:asciiTheme="minorHAnsi" w:hAnsiTheme="minorHAnsi" w:cstheme="minorHAnsi"/>
          <w:sz w:val="20"/>
          <w:szCs w:val="20"/>
        </w:rPr>
        <w:t>4m</w:t>
      </w:r>
      <w:r w:rsidRPr="00701439">
        <w:rPr>
          <w:rFonts w:asciiTheme="minorHAnsi" w:hAnsiTheme="minorHAnsi" w:cstheme="minorHAnsi"/>
          <w:sz w:val="20"/>
          <w:szCs w:val="20"/>
        </w:rPr>
        <w:t xml:space="preserve"> (2021: £24.</w:t>
      </w:r>
      <w:r w:rsidR="0019366C" w:rsidRPr="00701439">
        <w:rPr>
          <w:rFonts w:asciiTheme="minorHAnsi" w:hAnsiTheme="minorHAnsi" w:cstheme="minorHAnsi"/>
          <w:sz w:val="20"/>
          <w:szCs w:val="20"/>
        </w:rPr>
        <w:t>2m</w:t>
      </w:r>
      <w:r w:rsidRPr="00701439">
        <w:rPr>
          <w:rFonts w:asciiTheme="minorHAnsi" w:hAnsiTheme="minorHAnsi" w:cstheme="minorHAnsi"/>
          <w:sz w:val="20"/>
          <w:szCs w:val="20"/>
        </w:rPr>
        <w:t xml:space="preserve">) of </w:t>
      </w:r>
      <w:r w:rsidR="001239DC" w:rsidRPr="00701439">
        <w:rPr>
          <w:rFonts w:asciiTheme="minorHAnsi" w:hAnsiTheme="minorHAnsi" w:cstheme="minorHAnsi"/>
          <w:sz w:val="20"/>
          <w:szCs w:val="20"/>
        </w:rPr>
        <w:t>internally generated</w:t>
      </w:r>
      <w:r w:rsidR="00B10CE5" w:rsidRPr="00701439">
        <w:rPr>
          <w:rFonts w:asciiTheme="minorHAnsi" w:hAnsiTheme="minorHAnsi" w:cstheme="minorHAnsi"/>
          <w:sz w:val="20"/>
          <w:szCs w:val="20"/>
        </w:rPr>
        <w:t xml:space="preserve"> </w:t>
      </w:r>
      <w:r w:rsidR="0019366C" w:rsidRPr="00701439">
        <w:rPr>
          <w:rFonts w:asciiTheme="minorHAnsi" w:hAnsiTheme="minorHAnsi" w:cstheme="minorHAnsi"/>
          <w:sz w:val="20"/>
          <w:szCs w:val="20"/>
        </w:rPr>
        <w:t>assets predominantly relates to the development of systems and applications for the credit cards and personal loans businesses.</w:t>
      </w:r>
    </w:p>
    <w:p w14:paraId="7C309C5D" w14:textId="77777777" w:rsidR="00163BA0" w:rsidRPr="00701439" w:rsidRDefault="00163BA0" w:rsidP="00A3021A">
      <w:pPr>
        <w:autoSpaceDE w:val="0"/>
        <w:autoSpaceDN w:val="0"/>
        <w:adjustRightInd w:val="0"/>
        <w:rPr>
          <w:rFonts w:asciiTheme="minorHAnsi" w:hAnsiTheme="minorHAnsi" w:cstheme="minorHAnsi"/>
          <w:sz w:val="20"/>
          <w:szCs w:val="20"/>
        </w:rPr>
      </w:pPr>
    </w:p>
    <w:p w14:paraId="63639039" w14:textId="21C340FE" w:rsidR="00A3021A" w:rsidRDefault="00A3021A" w:rsidP="00A3021A">
      <w:pPr>
        <w:autoSpaceDE w:val="0"/>
        <w:autoSpaceDN w:val="0"/>
        <w:adjustRightInd w:val="0"/>
        <w:rPr>
          <w:rFonts w:asciiTheme="minorHAnsi" w:hAnsiTheme="minorHAnsi" w:cstheme="minorHAnsi"/>
          <w:sz w:val="20"/>
          <w:szCs w:val="20"/>
        </w:rPr>
      </w:pPr>
      <w:r w:rsidRPr="00701439">
        <w:rPr>
          <w:rFonts w:asciiTheme="minorHAnsi" w:hAnsiTheme="minorHAnsi" w:cstheme="minorHAnsi"/>
          <w:sz w:val="20"/>
          <w:szCs w:val="20"/>
        </w:rPr>
        <w:t>The charge for continuing operations includes amortisation of £16.0</w:t>
      </w:r>
      <w:r w:rsidR="00836890" w:rsidRPr="00701439">
        <w:rPr>
          <w:rFonts w:asciiTheme="minorHAnsi" w:hAnsiTheme="minorHAnsi" w:cstheme="minorHAnsi"/>
          <w:sz w:val="20"/>
          <w:szCs w:val="20"/>
        </w:rPr>
        <w:t>m</w:t>
      </w:r>
      <w:r w:rsidRPr="00701439">
        <w:rPr>
          <w:rFonts w:asciiTheme="minorHAnsi" w:hAnsiTheme="minorHAnsi" w:cstheme="minorHAnsi"/>
          <w:sz w:val="20"/>
          <w:szCs w:val="20"/>
        </w:rPr>
        <w:t xml:space="preserve"> (2021: £13.3m) and impairment of £nil (2021: £1.3m). The charge for discontinued operations </w:t>
      </w:r>
      <w:r w:rsidR="00FD4EEB" w:rsidRPr="00701439">
        <w:rPr>
          <w:rFonts w:asciiTheme="minorHAnsi" w:hAnsiTheme="minorHAnsi" w:cstheme="minorHAnsi"/>
          <w:sz w:val="20"/>
          <w:szCs w:val="20"/>
        </w:rPr>
        <w:t xml:space="preserve">in 2021 </w:t>
      </w:r>
      <w:r w:rsidRPr="00701439">
        <w:rPr>
          <w:rFonts w:asciiTheme="minorHAnsi" w:hAnsiTheme="minorHAnsi" w:cstheme="minorHAnsi"/>
          <w:sz w:val="20"/>
          <w:szCs w:val="20"/>
        </w:rPr>
        <w:t>included amortisation £1.0m and impairment of £2.6m.</w:t>
      </w:r>
    </w:p>
    <w:p w14:paraId="498982FE" w14:textId="77777777" w:rsidR="008D1BE8" w:rsidRPr="00701439" w:rsidRDefault="008D1BE8" w:rsidP="00A3021A">
      <w:pPr>
        <w:jc w:val="both"/>
        <w:rPr>
          <w:rFonts w:asciiTheme="minorHAnsi" w:hAnsiTheme="minorHAnsi" w:cs="Arial"/>
          <w:b/>
          <w:color w:val="4747FF"/>
          <w:sz w:val="22"/>
          <w:szCs w:val="22"/>
        </w:rPr>
      </w:pPr>
    </w:p>
    <w:p w14:paraId="4D794478" w14:textId="77777777" w:rsidR="008D1BE8" w:rsidRPr="00701439" w:rsidRDefault="008D1BE8" w:rsidP="00A3021A">
      <w:pPr>
        <w:jc w:val="both"/>
        <w:rPr>
          <w:rFonts w:asciiTheme="minorHAnsi" w:hAnsiTheme="minorHAnsi" w:cs="Arial"/>
          <w:b/>
          <w:color w:val="4747FF"/>
          <w:sz w:val="22"/>
          <w:szCs w:val="22"/>
        </w:rPr>
      </w:pPr>
    </w:p>
    <w:p w14:paraId="1C7F20A1" w14:textId="790BF54F" w:rsidR="00A3021A" w:rsidRPr="00701439" w:rsidRDefault="00A3021A" w:rsidP="00A3021A">
      <w:pPr>
        <w:jc w:val="both"/>
        <w:rPr>
          <w:rFonts w:asciiTheme="minorHAnsi" w:hAnsiTheme="minorHAnsi" w:cs="Arial"/>
          <w:b/>
          <w:color w:val="4747FF"/>
          <w:sz w:val="22"/>
          <w:szCs w:val="22"/>
        </w:rPr>
      </w:pPr>
      <w:r w:rsidRPr="00701439">
        <w:rPr>
          <w:rFonts w:asciiTheme="minorHAnsi" w:hAnsiTheme="minorHAnsi" w:cs="Arial"/>
          <w:b/>
          <w:color w:val="4747FF"/>
          <w:sz w:val="22"/>
          <w:szCs w:val="22"/>
        </w:rPr>
        <w:t>11.</w:t>
      </w:r>
      <w:r w:rsidRPr="00701439">
        <w:rPr>
          <w:rFonts w:asciiTheme="minorHAnsi" w:hAnsiTheme="minorHAnsi" w:cs="Arial"/>
          <w:b/>
          <w:color w:val="4747FF"/>
          <w:sz w:val="22"/>
          <w:szCs w:val="22"/>
        </w:rPr>
        <w:tab/>
        <w:t>Retirement benefit asset</w:t>
      </w:r>
    </w:p>
    <w:p w14:paraId="54137310" w14:textId="77777777" w:rsidR="00A3021A" w:rsidRPr="00701439" w:rsidRDefault="00A3021A" w:rsidP="00A3021A">
      <w:pPr>
        <w:pStyle w:val="bodycop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olor w:val="auto"/>
          <w:sz w:val="20"/>
          <w:lang w:eastAsia="en-GB"/>
        </w:rPr>
      </w:pPr>
    </w:p>
    <w:p w14:paraId="09321DF5" w14:textId="77777777" w:rsidR="00A3021A" w:rsidRPr="00701439" w:rsidRDefault="00A3021A" w:rsidP="00A3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sz w:val="20"/>
          <w:szCs w:val="20"/>
        </w:rPr>
      </w:pPr>
      <w:r w:rsidRPr="00701439">
        <w:rPr>
          <w:rFonts w:asciiTheme="minorHAnsi" w:hAnsiTheme="minorHAnsi" w:cs="Arial"/>
          <w:sz w:val="20"/>
          <w:szCs w:val="20"/>
        </w:rPr>
        <w:t xml:space="preserve">The group operates a defined benefit pension scheme: the Provident Financial Staff Pension Scheme. The scheme is of the funded, defined benefit type and it is now also closed to future accrual. </w:t>
      </w:r>
    </w:p>
    <w:p w14:paraId="62B3FE1E" w14:textId="77777777" w:rsidR="00A3021A" w:rsidRPr="00701439" w:rsidRDefault="00A3021A" w:rsidP="00A3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sz w:val="20"/>
          <w:szCs w:val="20"/>
        </w:rPr>
      </w:pPr>
    </w:p>
    <w:p w14:paraId="2E28B4FE" w14:textId="77777777" w:rsidR="00A3021A" w:rsidRPr="00701439" w:rsidRDefault="00A3021A" w:rsidP="00A3021A">
      <w:pPr>
        <w:jc w:val="both"/>
        <w:rPr>
          <w:rFonts w:asciiTheme="minorHAnsi" w:hAnsiTheme="minorHAnsi" w:cs="Arial"/>
          <w:sz w:val="20"/>
          <w:szCs w:val="20"/>
        </w:rPr>
      </w:pPr>
      <w:r w:rsidRPr="00701439">
        <w:rPr>
          <w:rFonts w:asciiTheme="minorHAnsi" w:hAnsiTheme="minorHAnsi" w:cs="Arial"/>
          <w:sz w:val="20"/>
          <w:szCs w:val="20"/>
        </w:rPr>
        <w:t xml:space="preserve">The scheme provides pension benefits which were accrued on a final salary and, more recently, on a cash balance basis. With effect from </w:t>
      </w:r>
      <w:proofErr w:type="gramStart"/>
      <w:r w:rsidRPr="00701439">
        <w:rPr>
          <w:rFonts w:asciiTheme="minorHAnsi" w:hAnsiTheme="minorHAnsi" w:cs="Arial"/>
          <w:sz w:val="20"/>
          <w:szCs w:val="20"/>
        </w:rPr>
        <w:t>1 August 2021</w:t>
      </w:r>
      <w:proofErr w:type="gramEnd"/>
      <w:r w:rsidRPr="00701439">
        <w:rPr>
          <w:rFonts w:asciiTheme="minorHAnsi" w:hAnsiTheme="minorHAnsi" w:cs="Arial"/>
          <w:sz w:val="20"/>
          <w:szCs w:val="20"/>
        </w:rPr>
        <w:t xml:space="preserve"> it was fully closed to future accrual and benefits are no longer linked to final salary, although accrued benefits are subject to statutory inflationary increases.</w:t>
      </w:r>
    </w:p>
    <w:p w14:paraId="6AB443EC" w14:textId="77777777" w:rsidR="00A3021A" w:rsidRPr="00701439" w:rsidRDefault="00A3021A" w:rsidP="00A3021A">
      <w:pPr>
        <w:jc w:val="both"/>
        <w:rPr>
          <w:rFonts w:asciiTheme="minorHAnsi" w:hAnsiTheme="minorHAnsi" w:cs="Arial"/>
          <w:sz w:val="20"/>
          <w:szCs w:val="20"/>
        </w:rPr>
      </w:pPr>
    </w:p>
    <w:p w14:paraId="209E91CC" w14:textId="77777777" w:rsidR="00A3021A" w:rsidRPr="00701439" w:rsidRDefault="00A3021A" w:rsidP="00A3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sz w:val="20"/>
          <w:szCs w:val="20"/>
        </w:rPr>
      </w:pPr>
      <w:r w:rsidRPr="00701439">
        <w:rPr>
          <w:rFonts w:asciiTheme="minorHAnsi" w:hAnsiTheme="minorHAnsi" w:cs="Arial"/>
          <w:sz w:val="20"/>
          <w:szCs w:val="20"/>
        </w:rPr>
        <w:t xml:space="preserve">The scheme is a UK registered pension scheme under UK legislation. The scheme is governed by a Trust Deed and Rules, with trustees responsible for the operation and the governance of the scheme. The trustees work closely with the Group on funding and investment strategy decisions. The most recent actuarial valuation of the scheme was carried out as </w:t>
      </w:r>
      <w:proofErr w:type="gramStart"/>
      <w:r w:rsidRPr="00701439">
        <w:rPr>
          <w:rFonts w:asciiTheme="minorHAnsi" w:hAnsiTheme="minorHAnsi" w:cs="Arial"/>
          <w:sz w:val="20"/>
          <w:szCs w:val="20"/>
        </w:rPr>
        <w:t>at</w:t>
      </w:r>
      <w:proofErr w:type="gramEnd"/>
      <w:r w:rsidRPr="00701439">
        <w:rPr>
          <w:rFonts w:asciiTheme="minorHAnsi" w:hAnsiTheme="minorHAnsi" w:cs="Arial"/>
          <w:sz w:val="20"/>
          <w:szCs w:val="20"/>
        </w:rPr>
        <w:t xml:space="preserve"> 1 June 2021 by a qualified independent actuary. The valuation used for the purposes of IAS 19 ‘Employee benefits’ has been based on the results of the 2021 valuation to take account of the requirements of IAS 19 </w:t>
      </w:r>
      <w:proofErr w:type="gramStart"/>
      <w:r w:rsidRPr="00701439">
        <w:rPr>
          <w:rFonts w:asciiTheme="minorHAnsi" w:hAnsiTheme="minorHAnsi" w:cs="Arial"/>
          <w:sz w:val="20"/>
          <w:szCs w:val="20"/>
        </w:rPr>
        <w:t>in order to</w:t>
      </w:r>
      <w:proofErr w:type="gramEnd"/>
      <w:r w:rsidRPr="00701439">
        <w:rPr>
          <w:rFonts w:asciiTheme="minorHAnsi" w:hAnsiTheme="minorHAnsi" w:cs="Arial"/>
          <w:sz w:val="20"/>
          <w:szCs w:val="20"/>
        </w:rPr>
        <w:t xml:space="preserve"> assess the liabilities of the scheme at the balance sheet date. Scheme assets are stated at fair value as at the balance sheet date.</w:t>
      </w:r>
    </w:p>
    <w:p w14:paraId="7E4C0982" w14:textId="77777777" w:rsidR="00A3021A" w:rsidRPr="00701439" w:rsidRDefault="00A3021A" w:rsidP="00A3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sz w:val="20"/>
          <w:szCs w:val="20"/>
        </w:rPr>
      </w:pPr>
    </w:p>
    <w:p w14:paraId="01BEF335" w14:textId="77777777" w:rsidR="0087081B" w:rsidRDefault="0087081B" w:rsidP="00A3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sz w:val="20"/>
          <w:szCs w:val="20"/>
        </w:rPr>
      </w:pPr>
    </w:p>
    <w:p w14:paraId="256E6C77" w14:textId="77777777" w:rsidR="0087081B" w:rsidRDefault="0087081B" w:rsidP="00A3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sz w:val="20"/>
          <w:szCs w:val="20"/>
        </w:rPr>
      </w:pPr>
    </w:p>
    <w:p w14:paraId="7F227447" w14:textId="77777777" w:rsidR="0087081B" w:rsidRDefault="0087081B" w:rsidP="00A3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sz w:val="20"/>
          <w:szCs w:val="20"/>
        </w:rPr>
      </w:pPr>
    </w:p>
    <w:p w14:paraId="51BDE955" w14:textId="77777777" w:rsidR="001B00C9" w:rsidRPr="00701439" w:rsidRDefault="001B00C9" w:rsidP="001B00C9">
      <w:pPr>
        <w:rPr>
          <w:rFonts w:asciiTheme="minorHAnsi" w:hAnsiTheme="minorHAnsi" w:cs="Arial"/>
          <w:b/>
          <w:color w:val="4747FF"/>
          <w:sz w:val="22"/>
          <w:szCs w:val="22"/>
        </w:rPr>
      </w:pPr>
      <w:r w:rsidRPr="00701439">
        <w:rPr>
          <w:rFonts w:asciiTheme="minorHAnsi" w:hAnsiTheme="minorHAnsi" w:cs="Arial"/>
          <w:b/>
          <w:color w:val="4747FF"/>
          <w:sz w:val="22"/>
          <w:szCs w:val="22"/>
        </w:rPr>
        <w:lastRenderedPageBreak/>
        <w:t>11.</w:t>
      </w:r>
      <w:r w:rsidRPr="00701439">
        <w:rPr>
          <w:rFonts w:asciiTheme="minorHAnsi" w:hAnsiTheme="minorHAnsi" w:cs="Arial"/>
          <w:b/>
          <w:color w:val="4747FF"/>
          <w:sz w:val="22"/>
          <w:szCs w:val="22"/>
        </w:rPr>
        <w:tab/>
        <w:t>Retirement benefit asset (continued)</w:t>
      </w:r>
    </w:p>
    <w:p w14:paraId="4F5A2EB0" w14:textId="77777777" w:rsidR="001B00C9" w:rsidRDefault="001B00C9" w:rsidP="00A3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sz w:val="20"/>
          <w:szCs w:val="20"/>
        </w:rPr>
      </w:pPr>
    </w:p>
    <w:p w14:paraId="4615CE97" w14:textId="66BF2E25" w:rsidR="00A3021A" w:rsidRPr="00701439" w:rsidRDefault="00A3021A" w:rsidP="00A3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sz w:val="20"/>
          <w:szCs w:val="20"/>
        </w:rPr>
      </w:pPr>
      <w:r w:rsidRPr="00701439">
        <w:rPr>
          <w:rFonts w:asciiTheme="minorHAnsi" w:hAnsiTheme="minorHAnsi" w:cs="Arial"/>
          <w:sz w:val="20"/>
          <w:szCs w:val="20"/>
        </w:rPr>
        <w:t>The group is entitled to a refund of any surplus, subject to tax, if the scheme winds up after all benefits have been paid.</w:t>
      </w:r>
    </w:p>
    <w:p w14:paraId="4DA35531" w14:textId="77777777" w:rsidR="00A3021A" w:rsidRPr="00701439" w:rsidRDefault="00A3021A" w:rsidP="00A3021A">
      <w:pPr>
        <w:autoSpaceDE w:val="0"/>
        <w:autoSpaceDN w:val="0"/>
        <w:adjustRightInd w:val="0"/>
        <w:jc w:val="both"/>
        <w:rPr>
          <w:rFonts w:asciiTheme="minorHAnsi" w:hAnsiTheme="minorHAnsi" w:cs="Poppins-Light"/>
          <w:sz w:val="20"/>
          <w:szCs w:val="20"/>
        </w:rPr>
      </w:pPr>
      <w:r w:rsidRPr="00701439">
        <w:rPr>
          <w:rFonts w:asciiTheme="minorHAnsi" w:hAnsiTheme="minorHAnsi" w:cs="Poppins-Light"/>
          <w:sz w:val="20"/>
          <w:szCs w:val="20"/>
        </w:rPr>
        <w:t>As a result, the Group recognises surplus assets under IAS 19.</w:t>
      </w:r>
    </w:p>
    <w:p w14:paraId="0E080694" w14:textId="77777777" w:rsidR="00A3021A" w:rsidRPr="00701439" w:rsidRDefault="00A3021A" w:rsidP="00A3021A">
      <w:pPr>
        <w:autoSpaceDE w:val="0"/>
        <w:autoSpaceDN w:val="0"/>
        <w:adjustRightInd w:val="0"/>
        <w:jc w:val="both"/>
        <w:rPr>
          <w:rFonts w:asciiTheme="minorHAnsi" w:hAnsiTheme="minorHAnsi" w:cs="Poppins-Light"/>
          <w:sz w:val="20"/>
          <w:szCs w:val="20"/>
        </w:rPr>
      </w:pPr>
    </w:p>
    <w:p w14:paraId="64F12412" w14:textId="77777777" w:rsidR="00A3021A" w:rsidRPr="00701439" w:rsidRDefault="00A3021A" w:rsidP="00A3021A">
      <w:pPr>
        <w:autoSpaceDE w:val="0"/>
        <w:autoSpaceDN w:val="0"/>
        <w:adjustRightInd w:val="0"/>
        <w:jc w:val="both"/>
        <w:rPr>
          <w:rFonts w:asciiTheme="minorHAnsi" w:hAnsiTheme="minorHAnsi" w:cs="Poppins-Light"/>
          <w:sz w:val="20"/>
          <w:szCs w:val="20"/>
        </w:rPr>
      </w:pPr>
      <w:r w:rsidRPr="00701439">
        <w:rPr>
          <w:rFonts w:asciiTheme="minorHAnsi" w:hAnsiTheme="minorHAnsi" w:cs="Poppins-Light"/>
          <w:sz w:val="20"/>
          <w:szCs w:val="20"/>
        </w:rPr>
        <w:t xml:space="preserve">The Group is exposed to </w:t>
      </w:r>
      <w:proofErr w:type="gramStart"/>
      <w:r w:rsidRPr="00701439">
        <w:rPr>
          <w:rFonts w:asciiTheme="minorHAnsi" w:hAnsiTheme="minorHAnsi" w:cs="Poppins-Light"/>
          <w:sz w:val="20"/>
          <w:szCs w:val="20"/>
        </w:rPr>
        <w:t>a number of</w:t>
      </w:r>
      <w:proofErr w:type="gramEnd"/>
      <w:r w:rsidRPr="00701439">
        <w:rPr>
          <w:rFonts w:asciiTheme="minorHAnsi" w:hAnsiTheme="minorHAnsi" w:cs="Poppins-Light"/>
          <w:sz w:val="20"/>
          <w:szCs w:val="20"/>
        </w:rPr>
        <w:t xml:space="preserve"> risks, the most significant of which are as follows:</w:t>
      </w:r>
    </w:p>
    <w:p w14:paraId="1201AB3F" w14:textId="77777777" w:rsidR="00A3021A" w:rsidRPr="00701439" w:rsidRDefault="00A3021A" w:rsidP="00A3021A">
      <w:pPr>
        <w:autoSpaceDE w:val="0"/>
        <w:autoSpaceDN w:val="0"/>
        <w:adjustRightInd w:val="0"/>
        <w:jc w:val="both"/>
        <w:rPr>
          <w:rFonts w:asciiTheme="minorHAnsi" w:hAnsiTheme="minorHAnsi" w:cs="Poppins-Light"/>
          <w:sz w:val="20"/>
          <w:szCs w:val="20"/>
        </w:rPr>
      </w:pPr>
    </w:p>
    <w:p w14:paraId="65134828" w14:textId="77777777" w:rsidR="00A3021A" w:rsidRPr="00701439" w:rsidRDefault="00A3021A" w:rsidP="00A3021A">
      <w:pPr>
        <w:pStyle w:val="ListParagraph"/>
        <w:numPr>
          <w:ilvl w:val="0"/>
          <w:numId w:val="22"/>
        </w:numPr>
        <w:autoSpaceDE w:val="0"/>
        <w:autoSpaceDN w:val="0"/>
        <w:adjustRightInd w:val="0"/>
        <w:jc w:val="both"/>
        <w:rPr>
          <w:rFonts w:asciiTheme="minorHAnsi" w:hAnsiTheme="minorHAnsi" w:cs="Poppins-Light"/>
          <w:sz w:val="20"/>
          <w:szCs w:val="20"/>
        </w:rPr>
      </w:pPr>
      <w:r w:rsidRPr="00701439">
        <w:rPr>
          <w:rFonts w:asciiTheme="minorHAnsi" w:hAnsiTheme="minorHAnsi" w:cs="Poppins-Light"/>
          <w:sz w:val="20"/>
          <w:szCs w:val="20"/>
        </w:rPr>
        <w:t>Investment risk – the liabilities for IAS 19 purposes are calculated using a discount rate set with reference to corporate bond yields. If the assets underperform this yield a deficit will arise. The scheme has a long-term objective to reduce the level of investment risk by investing in assets that better match liabilities.</w:t>
      </w:r>
    </w:p>
    <w:p w14:paraId="2FC4102E" w14:textId="77777777" w:rsidR="00A3021A" w:rsidRPr="00701439" w:rsidRDefault="00A3021A" w:rsidP="00A3021A">
      <w:pPr>
        <w:pStyle w:val="ListParagraph"/>
        <w:numPr>
          <w:ilvl w:val="0"/>
          <w:numId w:val="22"/>
        </w:numPr>
        <w:autoSpaceDE w:val="0"/>
        <w:autoSpaceDN w:val="0"/>
        <w:adjustRightInd w:val="0"/>
        <w:jc w:val="both"/>
        <w:rPr>
          <w:rFonts w:asciiTheme="minorHAnsi" w:hAnsiTheme="minorHAnsi" w:cs="Poppins-Light"/>
          <w:sz w:val="20"/>
          <w:szCs w:val="20"/>
        </w:rPr>
      </w:pPr>
      <w:r w:rsidRPr="00701439">
        <w:rPr>
          <w:rFonts w:asciiTheme="minorHAnsi" w:hAnsiTheme="minorHAnsi" w:cs="Poppins-Light"/>
          <w:sz w:val="20"/>
          <w:szCs w:val="20"/>
        </w:rPr>
        <w:t>Change in bond yields – a decrease in corporate bond yields will increase the liabilities, although this will be partly offset by an increase in matching assets.</w:t>
      </w:r>
    </w:p>
    <w:p w14:paraId="0FAD92E6" w14:textId="77777777" w:rsidR="00A3021A" w:rsidRPr="00701439" w:rsidRDefault="00A3021A" w:rsidP="00A3021A">
      <w:pPr>
        <w:pStyle w:val="ListParagraph"/>
        <w:numPr>
          <w:ilvl w:val="0"/>
          <w:numId w:val="22"/>
        </w:numPr>
        <w:autoSpaceDE w:val="0"/>
        <w:autoSpaceDN w:val="0"/>
        <w:adjustRightInd w:val="0"/>
        <w:jc w:val="both"/>
        <w:rPr>
          <w:rFonts w:asciiTheme="minorHAnsi" w:hAnsiTheme="minorHAnsi" w:cs="Poppins-Light"/>
          <w:sz w:val="20"/>
          <w:szCs w:val="20"/>
        </w:rPr>
      </w:pPr>
      <w:r w:rsidRPr="00701439">
        <w:rPr>
          <w:rFonts w:asciiTheme="minorHAnsi" w:hAnsiTheme="minorHAnsi" w:cs="Poppins-Light"/>
          <w:sz w:val="20"/>
          <w:szCs w:val="20"/>
        </w:rPr>
        <w:t>Inflation risk – some of the liabilities are linked to inflation. If inflation increases then liabilities will increase, although this will be partly offset by an increase in assets. As part of a long-term de-risking strategy, the scheme has increased its portfolio in inflation matched assets.</w:t>
      </w:r>
    </w:p>
    <w:p w14:paraId="10E94166" w14:textId="77777777" w:rsidR="00A3021A" w:rsidRPr="00701439" w:rsidRDefault="00A3021A" w:rsidP="00A3021A">
      <w:pPr>
        <w:pStyle w:val="ListParagraph"/>
        <w:numPr>
          <w:ilvl w:val="0"/>
          <w:numId w:val="22"/>
        </w:numPr>
        <w:autoSpaceDE w:val="0"/>
        <w:autoSpaceDN w:val="0"/>
        <w:adjustRightInd w:val="0"/>
        <w:jc w:val="both"/>
        <w:rPr>
          <w:rFonts w:asciiTheme="minorHAnsi" w:hAnsiTheme="minorHAnsi" w:cs="Poppins-Light"/>
          <w:sz w:val="20"/>
          <w:szCs w:val="20"/>
        </w:rPr>
      </w:pPr>
      <w:r w:rsidRPr="00701439">
        <w:rPr>
          <w:rFonts w:asciiTheme="minorHAnsi" w:hAnsiTheme="minorHAnsi" w:cs="Poppins-Light"/>
          <w:sz w:val="20"/>
          <w:szCs w:val="20"/>
        </w:rPr>
        <w:t>Life expectancies – the scheme’s final salary benefits provide pensions for the rest of members’ lives (and for their spouses’ lives). If members live longer than assumed, then the liabilities in respect of final salary benefits increase.</w:t>
      </w:r>
    </w:p>
    <w:p w14:paraId="47971B17" w14:textId="77777777" w:rsidR="005E6C7F" w:rsidRDefault="005E6C7F" w:rsidP="00A3021A">
      <w:pPr>
        <w:rPr>
          <w:rFonts w:asciiTheme="minorHAnsi" w:hAnsiTheme="minorHAnsi" w:cs="Arial"/>
          <w:b/>
          <w:color w:val="4747FF"/>
          <w:sz w:val="22"/>
          <w:szCs w:val="22"/>
        </w:rPr>
      </w:pPr>
    </w:p>
    <w:p w14:paraId="42A1F6DD" w14:textId="248D9EFA" w:rsidR="00A3021A" w:rsidRPr="00701439" w:rsidRDefault="00A3021A" w:rsidP="00A3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sz w:val="20"/>
          <w:szCs w:val="20"/>
        </w:rPr>
      </w:pPr>
      <w:r w:rsidRPr="00701439">
        <w:rPr>
          <w:rFonts w:asciiTheme="minorHAnsi" w:hAnsiTheme="minorHAnsi" w:cs="Arial"/>
          <w:sz w:val="20"/>
          <w:szCs w:val="20"/>
        </w:rPr>
        <w:t xml:space="preserve">The net retirement benefit asset recognised in the balance sheet of the </w:t>
      </w:r>
      <w:r w:rsidR="00551C30">
        <w:rPr>
          <w:rFonts w:asciiTheme="minorHAnsi" w:hAnsiTheme="minorHAnsi" w:cs="Arial"/>
          <w:sz w:val="20"/>
          <w:szCs w:val="20"/>
        </w:rPr>
        <w:t>G</w:t>
      </w:r>
      <w:r w:rsidRPr="00701439">
        <w:rPr>
          <w:rFonts w:asciiTheme="minorHAnsi" w:hAnsiTheme="minorHAnsi" w:cs="Arial"/>
          <w:sz w:val="20"/>
          <w:szCs w:val="20"/>
        </w:rPr>
        <w:t>roup is as follows:</w:t>
      </w:r>
    </w:p>
    <w:p w14:paraId="5A88511A" w14:textId="77777777" w:rsidR="00A3021A" w:rsidRPr="00701439" w:rsidRDefault="00A3021A" w:rsidP="00A3021A">
      <w:pPr>
        <w:pStyle w:val="bodycop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Arial"/>
          <w:bCs/>
          <w:color w:val="auto"/>
          <w:sz w:val="20"/>
        </w:rPr>
      </w:pPr>
    </w:p>
    <w:tbl>
      <w:tblPr>
        <w:tblW w:w="9923" w:type="dxa"/>
        <w:tblLook w:val="0000" w:firstRow="0" w:lastRow="0" w:firstColumn="0" w:lastColumn="0" w:noHBand="0" w:noVBand="0"/>
      </w:tblPr>
      <w:tblGrid>
        <w:gridCol w:w="7513"/>
        <w:gridCol w:w="1276"/>
        <w:gridCol w:w="1134"/>
      </w:tblGrid>
      <w:tr w:rsidR="00A3021A" w:rsidRPr="00701439" w14:paraId="7C312119" w14:textId="77777777">
        <w:tc>
          <w:tcPr>
            <w:tcW w:w="7513" w:type="dxa"/>
          </w:tcPr>
          <w:p w14:paraId="3A9C43F6" w14:textId="77777777" w:rsidR="00A3021A" w:rsidRPr="00701439" w:rsidRDefault="00A3021A">
            <w:pPr>
              <w:jc w:val="both"/>
              <w:rPr>
                <w:rFonts w:asciiTheme="minorHAnsi" w:hAnsiTheme="minorHAnsi" w:cs="Arial"/>
                <w:sz w:val="20"/>
                <w:szCs w:val="20"/>
              </w:rPr>
            </w:pPr>
          </w:p>
        </w:tc>
        <w:tc>
          <w:tcPr>
            <w:tcW w:w="1276" w:type="dxa"/>
          </w:tcPr>
          <w:p w14:paraId="17E81554"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2022 </w:t>
            </w:r>
          </w:p>
        </w:tc>
        <w:tc>
          <w:tcPr>
            <w:tcW w:w="1134" w:type="dxa"/>
          </w:tcPr>
          <w:p w14:paraId="3D86ECA4"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2021</w:t>
            </w:r>
          </w:p>
        </w:tc>
      </w:tr>
      <w:tr w:rsidR="00A3021A" w:rsidRPr="00701439" w14:paraId="458A33FC" w14:textId="77777777">
        <w:tc>
          <w:tcPr>
            <w:tcW w:w="7513" w:type="dxa"/>
          </w:tcPr>
          <w:p w14:paraId="03CFADE7" w14:textId="77777777" w:rsidR="00A3021A" w:rsidRPr="00701439" w:rsidRDefault="00A3021A">
            <w:pPr>
              <w:pStyle w:val="Heading5"/>
              <w:overflowPunct/>
              <w:autoSpaceDE/>
              <w:adjustRightInd/>
              <w:rPr>
                <w:rFonts w:asciiTheme="minorHAnsi" w:hAnsiTheme="minorHAnsi" w:cs="Arial"/>
                <w:bCs/>
                <w:sz w:val="20"/>
              </w:rPr>
            </w:pPr>
          </w:p>
        </w:tc>
        <w:tc>
          <w:tcPr>
            <w:tcW w:w="1276" w:type="dxa"/>
            <w:tcBorders>
              <w:top w:val="nil"/>
              <w:left w:val="nil"/>
              <w:bottom w:val="single" w:sz="4" w:space="0" w:color="auto"/>
              <w:right w:val="nil"/>
            </w:tcBorders>
          </w:tcPr>
          <w:p w14:paraId="514F2719"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£m </w:t>
            </w:r>
          </w:p>
        </w:tc>
        <w:tc>
          <w:tcPr>
            <w:tcW w:w="1134" w:type="dxa"/>
            <w:tcBorders>
              <w:top w:val="nil"/>
              <w:left w:val="nil"/>
              <w:bottom w:val="single" w:sz="4" w:space="0" w:color="auto"/>
              <w:right w:val="nil"/>
            </w:tcBorders>
          </w:tcPr>
          <w:p w14:paraId="649BBC0D"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£m </w:t>
            </w:r>
          </w:p>
        </w:tc>
      </w:tr>
      <w:tr w:rsidR="00A3021A" w:rsidRPr="00701439" w14:paraId="49E83550" w14:textId="77777777">
        <w:tc>
          <w:tcPr>
            <w:tcW w:w="7513" w:type="dxa"/>
          </w:tcPr>
          <w:p w14:paraId="61F92EA6" w14:textId="77777777" w:rsidR="00A3021A" w:rsidRPr="00701439" w:rsidRDefault="00A3021A">
            <w:pPr>
              <w:tabs>
                <w:tab w:val="right" w:pos="4680"/>
              </w:tabs>
              <w:rPr>
                <w:rFonts w:asciiTheme="minorHAnsi" w:hAnsiTheme="minorHAnsi" w:cs="Arial"/>
                <w:sz w:val="20"/>
                <w:szCs w:val="20"/>
              </w:rPr>
            </w:pPr>
            <w:r w:rsidRPr="00701439">
              <w:rPr>
                <w:rFonts w:asciiTheme="minorHAnsi" w:hAnsiTheme="minorHAnsi" w:cs="Arial"/>
                <w:sz w:val="20"/>
                <w:szCs w:val="20"/>
              </w:rPr>
              <w:t>Fair value of scheme assets</w:t>
            </w:r>
          </w:p>
        </w:tc>
        <w:tc>
          <w:tcPr>
            <w:tcW w:w="1276" w:type="dxa"/>
            <w:tcBorders>
              <w:top w:val="single" w:sz="4" w:space="0" w:color="auto"/>
              <w:left w:val="nil"/>
              <w:bottom w:val="nil"/>
              <w:right w:val="nil"/>
            </w:tcBorders>
            <w:vAlign w:val="bottom"/>
          </w:tcPr>
          <w:p w14:paraId="2F7F89EC"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520.7</w:t>
            </w:r>
          </w:p>
        </w:tc>
        <w:tc>
          <w:tcPr>
            <w:tcW w:w="1134" w:type="dxa"/>
            <w:tcBorders>
              <w:top w:val="single" w:sz="4" w:space="0" w:color="auto"/>
              <w:left w:val="nil"/>
              <w:bottom w:val="nil"/>
              <w:right w:val="nil"/>
            </w:tcBorders>
            <w:vAlign w:val="bottom"/>
          </w:tcPr>
          <w:p w14:paraId="4ADAE0A0"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898.8</w:t>
            </w:r>
          </w:p>
        </w:tc>
      </w:tr>
      <w:tr w:rsidR="00A3021A" w:rsidRPr="00701439" w14:paraId="7D8120DC" w14:textId="77777777">
        <w:trPr>
          <w:trHeight w:val="260"/>
        </w:trPr>
        <w:tc>
          <w:tcPr>
            <w:tcW w:w="7513" w:type="dxa"/>
          </w:tcPr>
          <w:p w14:paraId="6C521A12" w14:textId="77777777" w:rsidR="00A3021A" w:rsidRPr="00701439" w:rsidRDefault="00A3021A">
            <w:pPr>
              <w:tabs>
                <w:tab w:val="right" w:pos="4680"/>
              </w:tabs>
              <w:rPr>
                <w:rFonts w:asciiTheme="minorHAnsi" w:hAnsiTheme="minorHAnsi" w:cs="Arial"/>
                <w:sz w:val="20"/>
                <w:szCs w:val="20"/>
              </w:rPr>
            </w:pPr>
            <w:r w:rsidRPr="00701439">
              <w:rPr>
                <w:rFonts w:asciiTheme="minorHAnsi" w:hAnsiTheme="minorHAnsi" w:cs="Arial"/>
                <w:sz w:val="20"/>
                <w:szCs w:val="20"/>
              </w:rPr>
              <w:t>Present value of defined benefit obligation</w:t>
            </w:r>
          </w:p>
        </w:tc>
        <w:tc>
          <w:tcPr>
            <w:tcW w:w="1276" w:type="dxa"/>
            <w:tcBorders>
              <w:top w:val="nil"/>
              <w:left w:val="nil"/>
              <w:bottom w:val="single" w:sz="4" w:space="0" w:color="auto"/>
              <w:right w:val="nil"/>
            </w:tcBorders>
            <w:vAlign w:val="bottom"/>
          </w:tcPr>
          <w:p w14:paraId="24BF26D7"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(490.0)</w:t>
            </w:r>
          </w:p>
        </w:tc>
        <w:tc>
          <w:tcPr>
            <w:tcW w:w="1134" w:type="dxa"/>
            <w:tcBorders>
              <w:top w:val="nil"/>
              <w:left w:val="nil"/>
              <w:bottom w:val="single" w:sz="4" w:space="0" w:color="auto"/>
              <w:right w:val="nil"/>
            </w:tcBorders>
            <w:vAlign w:val="bottom"/>
          </w:tcPr>
          <w:p w14:paraId="5441DB26"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(786.6)</w:t>
            </w:r>
          </w:p>
        </w:tc>
      </w:tr>
      <w:tr w:rsidR="00A3021A" w:rsidRPr="00701439" w14:paraId="3BFFAFEC" w14:textId="77777777">
        <w:tc>
          <w:tcPr>
            <w:tcW w:w="7513" w:type="dxa"/>
          </w:tcPr>
          <w:p w14:paraId="5DD692E1" w14:textId="77777777" w:rsidR="00A3021A" w:rsidRPr="00701439" w:rsidRDefault="00A3021A">
            <w:pPr>
              <w:pStyle w:val="Heading5"/>
              <w:tabs>
                <w:tab w:val="clear" w:pos="720"/>
                <w:tab w:val="right" w:pos="4680"/>
              </w:tabs>
              <w:jc w:val="left"/>
              <w:rPr>
                <w:rFonts w:asciiTheme="minorHAnsi" w:hAnsiTheme="minorHAnsi" w:cs="Arial"/>
                <w:sz w:val="20"/>
              </w:rPr>
            </w:pPr>
            <w:r w:rsidRPr="00701439">
              <w:rPr>
                <w:rFonts w:asciiTheme="minorHAnsi" w:hAnsiTheme="minorHAnsi" w:cs="Arial"/>
                <w:sz w:val="20"/>
              </w:rPr>
              <w:t>Net retirement benefit asset recognised in the balance sheet</w:t>
            </w:r>
          </w:p>
        </w:tc>
        <w:tc>
          <w:tcPr>
            <w:tcW w:w="1276" w:type="dxa"/>
            <w:tcBorders>
              <w:top w:val="single" w:sz="4" w:space="0" w:color="auto"/>
              <w:left w:val="nil"/>
              <w:bottom w:val="single" w:sz="12" w:space="0" w:color="auto"/>
              <w:right w:val="nil"/>
            </w:tcBorders>
            <w:vAlign w:val="bottom"/>
          </w:tcPr>
          <w:p w14:paraId="0BCD9E6E"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30.7</w:t>
            </w:r>
          </w:p>
        </w:tc>
        <w:tc>
          <w:tcPr>
            <w:tcW w:w="1134" w:type="dxa"/>
            <w:tcBorders>
              <w:top w:val="single" w:sz="4" w:space="0" w:color="auto"/>
              <w:left w:val="nil"/>
              <w:bottom w:val="single" w:sz="12" w:space="0" w:color="auto"/>
              <w:right w:val="nil"/>
            </w:tcBorders>
            <w:vAlign w:val="bottom"/>
          </w:tcPr>
          <w:p w14:paraId="6A438985"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112.2</w:t>
            </w:r>
          </w:p>
        </w:tc>
      </w:tr>
    </w:tbl>
    <w:p w14:paraId="5B0CCD32" w14:textId="77777777" w:rsidR="00A3021A" w:rsidRPr="00701439" w:rsidRDefault="00A3021A" w:rsidP="00A3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sz w:val="20"/>
          <w:szCs w:val="20"/>
        </w:rPr>
      </w:pPr>
    </w:p>
    <w:p w14:paraId="1528D68D" w14:textId="77777777" w:rsidR="00A3021A" w:rsidRPr="00701439" w:rsidRDefault="00A3021A" w:rsidP="00A3021A">
      <w:pPr>
        <w:rPr>
          <w:rFonts w:asciiTheme="minorHAnsi" w:hAnsiTheme="minorHAnsi" w:cs="Arial"/>
          <w:sz w:val="20"/>
          <w:szCs w:val="20"/>
        </w:rPr>
      </w:pPr>
      <w:r w:rsidRPr="00701439">
        <w:rPr>
          <w:rFonts w:asciiTheme="minorHAnsi" w:hAnsiTheme="minorHAnsi" w:cs="Arial"/>
          <w:sz w:val="20"/>
          <w:szCs w:val="20"/>
        </w:rPr>
        <w:t>The amounts recognised in the income statement were as follows:</w:t>
      </w:r>
    </w:p>
    <w:p w14:paraId="5ABB9B77" w14:textId="77777777" w:rsidR="00A3021A" w:rsidRPr="00701439" w:rsidRDefault="00A3021A" w:rsidP="00A3021A">
      <w:pPr>
        <w:pStyle w:val="bodycop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Arial"/>
          <w:sz w:val="20"/>
        </w:rPr>
      </w:pPr>
    </w:p>
    <w:tbl>
      <w:tblPr>
        <w:tblW w:w="9923" w:type="dxa"/>
        <w:tblLook w:val="0000" w:firstRow="0" w:lastRow="0" w:firstColumn="0" w:lastColumn="0" w:noHBand="0" w:noVBand="0"/>
      </w:tblPr>
      <w:tblGrid>
        <w:gridCol w:w="7545"/>
        <w:gridCol w:w="1189"/>
        <w:gridCol w:w="1189"/>
      </w:tblGrid>
      <w:tr w:rsidR="00A3021A" w:rsidRPr="00701439" w14:paraId="2ADF8602" w14:textId="77777777">
        <w:tc>
          <w:tcPr>
            <w:tcW w:w="7545" w:type="dxa"/>
          </w:tcPr>
          <w:p w14:paraId="6A47FF91" w14:textId="77777777" w:rsidR="00A3021A" w:rsidRPr="00701439" w:rsidRDefault="00A3021A">
            <w:pPr>
              <w:jc w:val="both"/>
              <w:rPr>
                <w:rFonts w:asciiTheme="minorHAnsi" w:hAnsiTheme="minorHAnsi" w:cs="Arial"/>
                <w:sz w:val="20"/>
                <w:szCs w:val="20"/>
              </w:rPr>
            </w:pPr>
          </w:p>
        </w:tc>
        <w:tc>
          <w:tcPr>
            <w:tcW w:w="1189" w:type="dxa"/>
          </w:tcPr>
          <w:p w14:paraId="6724479F"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2022 </w:t>
            </w:r>
          </w:p>
        </w:tc>
        <w:tc>
          <w:tcPr>
            <w:tcW w:w="1189" w:type="dxa"/>
          </w:tcPr>
          <w:p w14:paraId="75DC98D1"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2021</w:t>
            </w:r>
          </w:p>
        </w:tc>
      </w:tr>
      <w:tr w:rsidR="00A3021A" w:rsidRPr="00701439" w14:paraId="11791559" w14:textId="77777777">
        <w:tc>
          <w:tcPr>
            <w:tcW w:w="7545" w:type="dxa"/>
          </w:tcPr>
          <w:p w14:paraId="5C24CCC6" w14:textId="77777777" w:rsidR="00A3021A" w:rsidRPr="00701439" w:rsidRDefault="00A3021A">
            <w:pPr>
              <w:pStyle w:val="Heading5"/>
              <w:overflowPunct/>
              <w:autoSpaceDE/>
              <w:adjustRightInd/>
              <w:rPr>
                <w:rFonts w:asciiTheme="minorHAnsi" w:hAnsiTheme="minorHAnsi" w:cs="Arial"/>
                <w:bCs/>
                <w:sz w:val="20"/>
              </w:rPr>
            </w:pPr>
          </w:p>
        </w:tc>
        <w:tc>
          <w:tcPr>
            <w:tcW w:w="1189" w:type="dxa"/>
            <w:tcBorders>
              <w:top w:val="nil"/>
              <w:left w:val="nil"/>
              <w:bottom w:val="single" w:sz="4" w:space="0" w:color="auto"/>
              <w:right w:val="nil"/>
            </w:tcBorders>
          </w:tcPr>
          <w:p w14:paraId="0AD09DCD"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£m </w:t>
            </w:r>
          </w:p>
        </w:tc>
        <w:tc>
          <w:tcPr>
            <w:tcW w:w="1189" w:type="dxa"/>
            <w:tcBorders>
              <w:top w:val="nil"/>
              <w:left w:val="nil"/>
              <w:bottom w:val="single" w:sz="4" w:space="0" w:color="auto"/>
              <w:right w:val="nil"/>
            </w:tcBorders>
          </w:tcPr>
          <w:p w14:paraId="00427B19"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£m </w:t>
            </w:r>
          </w:p>
        </w:tc>
      </w:tr>
      <w:tr w:rsidR="00A3021A" w:rsidRPr="00701439" w14:paraId="62F184AB" w14:textId="77777777">
        <w:tc>
          <w:tcPr>
            <w:tcW w:w="7545" w:type="dxa"/>
            <w:vAlign w:val="bottom"/>
          </w:tcPr>
          <w:p w14:paraId="6D34B1B3" w14:textId="77777777" w:rsidR="00A3021A" w:rsidRPr="00701439" w:rsidRDefault="00A3021A">
            <w:pPr>
              <w:tabs>
                <w:tab w:val="right" w:pos="4680"/>
              </w:tabs>
              <w:rPr>
                <w:rFonts w:asciiTheme="minorHAnsi" w:hAnsiTheme="minorHAnsi" w:cs="Arial"/>
                <w:sz w:val="20"/>
                <w:szCs w:val="20"/>
              </w:rPr>
            </w:pPr>
            <w:r w:rsidRPr="00701439">
              <w:rPr>
                <w:rFonts w:asciiTheme="minorHAnsi" w:hAnsiTheme="minorHAnsi" w:cs="Arial"/>
                <w:sz w:val="20"/>
                <w:szCs w:val="20"/>
              </w:rPr>
              <w:t>Current service cost</w:t>
            </w:r>
          </w:p>
        </w:tc>
        <w:tc>
          <w:tcPr>
            <w:tcW w:w="1189" w:type="dxa"/>
            <w:tcBorders>
              <w:top w:val="single" w:sz="4" w:space="0" w:color="auto"/>
              <w:left w:val="nil"/>
              <w:bottom w:val="nil"/>
              <w:right w:val="nil"/>
            </w:tcBorders>
          </w:tcPr>
          <w:p w14:paraId="19921B58"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(1.6)</w:t>
            </w:r>
          </w:p>
        </w:tc>
        <w:tc>
          <w:tcPr>
            <w:tcW w:w="1189" w:type="dxa"/>
            <w:tcBorders>
              <w:top w:val="single" w:sz="4" w:space="0" w:color="auto"/>
              <w:left w:val="nil"/>
              <w:bottom w:val="nil"/>
              <w:right w:val="nil"/>
            </w:tcBorders>
          </w:tcPr>
          <w:p w14:paraId="152FB9A4"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(2.1)</w:t>
            </w:r>
          </w:p>
        </w:tc>
      </w:tr>
      <w:tr w:rsidR="00A3021A" w:rsidRPr="00701439" w14:paraId="6364F78F" w14:textId="77777777">
        <w:tc>
          <w:tcPr>
            <w:tcW w:w="7545" w:type="dxa"/>
            <w:vAlign w:val="bottom"/>
          </w:tcPr>
          <w:p w14:paraId="667B87E2" w14:textId="77777777" w:rsidR="00A3021A" w:rsidRPr="00701439" w:rsidRDefault="00A3021A">
            <w:pPr>
              <w:tabs>
                <w:tab w:val="right" w:pos="4680"/>
              </w:tabs>
              <w:rPr>
                <w:rFonts w:asciiTheme="minorHAnsi" w:hAnsiTheme="minorHAnsi" w:cs="Arial"/>
                <w:sz w:val="20"/>
                <w:szCs w:val="20"/>
              </w:rPr>
            </w:pPr>
            <w:r w:rsidRPr="00701439">
              <w:rPr>
                <w:rFonts w:asciiTheme="minorHAnsi" w:hAnsiTheme="minorHAnsi" w:cs="Arial"/>
                <w:sz w:val="20"/>
                <w:szCs w:val="20"/>
              </w:rPr>
              <w:t>Interest on scheme liabilities</w:t>
            </w:r>
          </w:p>
        </w:tc>
        <w:tc>
          <w:tcPr>
            <w:tcW w:w="1189" w:type="dxa"/>
          </w:tcPr>
          <w:p w14:paraId="2C18DB4B"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(14.4)</w:t>
            </w:r>
          </w:p>
        </w:tc>
        <w:tc>
          <w:tcPr>
            <w:tcW w:w="1189" w:type="dxa"/>
          </w:tcPr>
          <w:p w14:paraId="50A19F31"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(11.8)</w:t>
            </w:r>
          </w:p>
        </w:tc>
      </w:tr>
      <w:tr w:rsidR="00A3021A" w:rsidRPr="00701439" w14:paraId="2D2ED40E" w14:textId="77777777">
        <w:tc>
          <w:tcPr>
            <w:tcW w:w="7545" w:type="dxa"/>
            <w:vAlign w:val="bottom"/>
          </w:tcPr>
          <w:p w14:paraId="337A2435" w14:textId="77777777" w:rsidR="00A3021A" w:rsidRPr="00701439" w:rsidRDefault="00A3021A">
            <w:pPr>
              <w:tabs>
                <w:tab w:val="right" w:pos="4680"/>
              </w:tabs>
              <w:rPr>
                <w:rFonts w:asciiTheme="minorHAnsi" w:hAnsiTheme="minorHAnsi" w:cs="Arial"/>
                <w:sz w:val="20"/>
                <w:szCs w:val="20"/>
              </w:rPr>
            </w:pPr>
            <w:r w:rsidRPr="00701439">
              <w:rPr>
                <w:rFonts w:asciiTheme="minorHAnsi" w:hAnsiTheme="minorHAnsi" w:cs="Arial"/>
                <w:sz w:val="20"/>
                <w:szCs w:val="20"/>
              </w:rPr>
              <w:t>Interest on scheme assets</w:t>
            </w:r>
          </w:p>
        </w:tc>
        <w:tc>
          <w:tcPr>
            <w:tcW w:w="1189" w:type="dxa"/>
            <w:tcBorders>
              <w:top w:val="nil"/>
              <w:left w:val="nil"/>
              <w:bottom w:val="single" w:sz="4" w:space="0" w:color="auto"/>
              <w:right w:val="nil"/>
            </w:tcBorders>
          </w:tcPr>
          <w:p w14:paraId="6FCBD75F"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16.5</w:t>
            </w:r>
          </w:p>
        </w:tc>
        <w:tc>
          <w:tcPr>
            <w:tcW w:w="1189" w:type="dxa"/>
            <w:tcBorders>
              <w:top w:val="nil"/>
              <w:left w:val="nil"/>
              <w:bottom w:val="single" w:sz="4" w:space="0" w:color="auto"/>
              <w:right w:val="nil"/>
            </w:tcBorders>
          </w:tcPr>
          <w:p w14:paraId="7A125AB5"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13.0</w:t>
            </w:r>
          </w:p>
        </w:tc>
      </w:tr>
      <w:tr w:rsidR="00A3021A" w:rsidRPr="00701439" w14:paraId="358980CF" w14:textId="77777777">
        <w:tc>
          <w:tcPr>
            <w:tcW w:w="7545" w:type="dxa"/>
            <w:vAlign w:val="bottom"/>
          </w:tcPr>
          <w:p w14:paraId="7889F220" w14:textId="77777777" w:rsidR="00A3021A" w:rsidRPr="00701439" w:rsidRDefault="00A3021A">
            <w:pPr>
              <w:tabs>
                <w:tab w:val="right" w:pos="4680"/>
              </w:tabs>
              <w:rPr>
                <w:rFonts w:asciiTheme="minorHAnsi" w:hAnsiTheme="minorHAnsi" w:cs="Arial"/>
                <w:b/>
                <w:sz w:val="20"/>
                <w:szCs w:val="20"/>
              </w:rPr>
            </w:pPr>
            <w:r w:rsidRPr="00701439">
              <w:rPr>
                <w:rFonts w:asciiTheme="minorHAnsi" w:hAnsiTheme="minorHAnsi" w:cs="Arial"/>
                <w:b/>
                <w:sz w:val="20"/>
                <w:szCs w:val="20"/>
              </w:rPr>
              <w:t>Net credit/(charge) recognised in the income statement before exceptional past service credit/(charge)</w:t>
            </w:r>
          </w:p>
        </w:tc>
        <w:tc>
          <w:tcPr>
            <w:tcW w:w="1189" w:type="dxa"/>
            <w:tcBorders>
              <w:top w:val="single" w:sz="4" w:space="0" w:color="auto"/>
              <w:left w:val="nil"/>
              <w:bottom w:val="single" w:sz="4" w:space="0" w:color="auto"/>
              <w:right w:val="nil"/>
            </w:tcBorders>
          </w:tcPr>
          <w:p w14:paraId="5F1ABC0B" w14:textId="77777777" w:rsidR="00A3021A" w:rsidRPr="00701439" w:rsidRDefault="00A3021A">
            <w:pPr>
              <w:jc w:val="right"/>
              <w:rPr>
                <w:rFonts w:asciiTheme="minorHAnsi" w:hAnsiTheme="minorHAnsi" w:cs="Arial"/>
                <w:sz w:val="20"/>
                <w:szCs w:val="20"/>
              </w:rPr>
            </w:pPr>
          </w:p>
          <w:p w14:paraId="1FACED1B"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0.5</w:t>
            </w:r>
          </w:p>
        </w:tc>
        <w:tc>
          <w:tcPr>
            <w:tcW w:w="1189" w:type="dxa"/>
            <w:tcBorders>
              <w:top w:val="single" w:sz="4" w:space="0" w:color="auto"/>
              <w:left w:val="nil"/>
              <w:bottom w:val="single" w:sz="4" w:space="0" w:color="auto"/>
              <w:right w:val="nil"/>
            </w:tcBorders>
          </w:tcPr>
          <w:p w14:paraId="4810E8FE" w14:textId="77777777" w:rsidR="00A3021A" w:rsidRPr="00701439" w:rsidRDefault="00A3021A">
            <w:pPr>
              <w:jc w:val="right"/>
              <w:rPr>
                <w:rFonts w:asciiTheme="minorHAnsi" w:hAnsiTheme="minorHAnsi" w:cs="Arial"/>
                <w:sz w:val="20"/>
                <w:szCs w:val="20"/>
              </w:rPr>
            </w:pPr>
          </w:p>
          <w:p w14:paraId="4BC73D5A"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(0.9)</w:t>
            </w:r>
          </w:p>
        </w:tc>
      </w:tr>
      <w:tr w:rsidR="00A3021A" w:rsidRPr="00701439" w14:paraId="26399990" w14:textId="77777777">
        <w:tc>
          <w:tcPr>
            <w:tcW w:w="7545" w:type="dxa"/>
            <w:vAlign w:val="bottom"/>
          </w:tcPr>
          <w:p w14:paraId="771F5A3D" w14:textId="77777777" w:rsidR="00A3021A" w:rsidRPr="00701439" w:rsidRDefault="00A3021A">
            <w:pPr>
              <w:tabs>
                <w:tab w:val="right" w:pos="4680"/>
              </w:tabs>
              <w:rPr>
                <w:rFonts w:asciiTheme="minorHAnsi" w:hAnsiTheme="minorHAnsi" w:cs="Arial"/>
                <w:sz w:val="20"/>
                <w:szCs w:val="20"/>
              </w:rPr>
            </w:pPr>
            <w:r w:rsidRPr="00701439">
              <w:rPr>
                <w:rFonts w:asciiTheme="minorHAnsi" w:hAnsiTheme="minorHAnsi" w:cs="Arial"/>
                <w:sz w:val="20"/>
                <w:szCs w:val="20"/>
              </w:rPr>
              <w:t xml:space="preserve">Exceptional past service credit – Plan amendment (note 3) </w:t>
            </w:r>
          </w:p>
        </w:tc>
        <w:tc>
          <w:tcPr>
            <w:tcW w:w="1189" w:type="dxa"/>
            <w:tcBorders>
              <w:top w:val="single" w:sz="4" w:space="0" w:color="auto"/>
              <w:left w:val="nil"/>
              <w:right w:val="nil"/>
            </w:tcBorders>
          </w:tcPr>
          <w:p w14:paraId="08D5DC96"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c>
          <w:tcPr>
            <w:tcW w:w="1189" w:type="dxa"/>
            <w:tcBorders>
              <w:top w:val="single" w:sz="4" w:space="0" w:color="auto"/>
              <w:left w:val="nil"/>
              <w:right w:val="nil"/>
            </w:tcBorders>
          </w:tcPr>
          <w:p w14:paraId="0F7C14E0"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1.5</w:t>
            </w:r>
          </w:p>
        </w:tc>
      </w:tr>
      <w:tr w:rsidR="00A3021A" w:rsidRPr="00701439" w14:paraId="39B859F6" w14:textId="77777777">
        <w:tc>
          <w:tcPr>
            <w:tcW w:w="7545" w:type="dxa"/>
            <w:vAlign w:val="bottom"/>
          </w:tcPr>
          <w:p w14:paraId="0AC4E808" w14:textId="77777777" w:rsidR="00A3021A" w:rsidRPr="00701439" w:rsidRDefault="00A3021A">
            <w:pPr>
              <w:tabs>
                <w:tab w:val="right" w:pos="4680"/>
              </w:tabs>
              <w:rPr>
                <w:rFonts w:asciiTheme="minorHAnsi" w:hAnsiTheme="minorHAnsi" w:cs="Arial"/>
                <w:sz w:val="20"/>
                <w:szCs w:val="20"/>
              </w:rPr>
            </w:pPr>
            <w:r w:rsidRPr="00701439">
              <w:rPr>
                <w:rFonts w:asciiTheme="minorHAnsi" w:hAnsiTheme="minorHAnsi" w:cs="Arial"/>
                <w:sz w:val="20"/>
                <w:szCs w:val="20"/>
              </w:rPr>
              <w:t>Exceptional past service credit – Curtailment credit (note 3)</w:t>
            </w:r>
          </w:p>
        </w:tc>
        <w:tc>
          <w:tcPr>
            <w:tcW w:w="1189" w:type="dxa"/>
            <w:tcBorders>
              <w:left w:val="nil"/>
              <w:bottom w:val="single" w:sz="4" w:space="0" w:color="auto"/>
              <w:right w:val="nil"/>
            </w:tcBorders>
          </w:tcPr>
          <w:p w14:paraId="3F062FA8"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c>
          <w:tcPr>
            <w:tcW w:w="1189" w:type="dxa"/>
            <w:tcBorders>
              <w:left w:val="nil"/>
              <w:bottom w:val="single" w:sz="4" w:space="0" w:color="auto"/>
              <w:right w:val="nil"/>
            </w:tcBorders>
          </w:tcPr>
          <w:p w14:paraId="6B5F1513"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0.8</w:t>
            </w:r>
          </w:p>
        </w:tc>
      </w:tr>
      <w:tr w:rsidR="00A3021A" w:rsidRPr="00701439" w14:paraId="3D065297" w14:textId="77777777">
        <w:tc>
          <w:tcPr>
            <w:tcW w:w="7545" w:type="dxa"/>
            <w:vAlign w:val="bottom"/>
          </w:tcPr>
          <w:p w14:paraId="7060071C" w14:textId="77777777" w:rsidR="00A3021A" w:rsidRPr="00701439" w:rsidRDefault="00A3021A">
            <w:pPr>
              <w:tabs>
                <w:tab w:val="right" w:pos="4680"/>
              </w:tabs>
              <w:rPr>
                <w:rFonts w:asciiTheme="minorHAnsi" w:hAnsiTheme="minorHAnsi" w:cs="Arial"/>
                <w:b/>
                <w:sz w:val="20"/>
                <w:szCs w:val="20"/>
              </w:rPr>
            </w:pPr>
            <w:r w:rsidRPr="00701439">
              <w:rPr>
                <w:rFonts w:asciiTheme="minorHAnsi" w:hAnsiTheme="minorHAnsi" w:cs="Arial"/>
                <w:b/>
                <w:sz w:val="20"/>
                <w:szCs w:val="20"/>
              </w:rPr>
              <w:t>Exceptional past service credit</w:t>
            </w:r>
          </w:p>
        </w:tc>
        <w:tc>
          <w:tcPr>
            <w:tcW w:w="1189" w:type="dxa"/>
            <w:tcBorders>
              <w:top w:val="single" w:sz="4" w:space="0" w:color="auto"/>
              <w:left w:val="nil"/>
              <w:bottom w:val="single" w:sz="4" w:space="0" w:color="auto"/>
              <w:right w:val="nil"/>
            </w:tcBorders>
          </w:tcPr>
          <w:p w14:paraId="2EFDA7B9"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c>
          <w:tcPr>
            <w:tcW w:w="1189" w:type="dxa"/>
            <w:tcBorders>
              <w:top w:val="single" w:sz="4" w:space="0" w:color="auto"/>
              <w:left w:val="nil"/>
              <w:bottom w:val="single" w:sz="4" w:space="0" w:color="auto"/>
              <w:right w:val="nil"/>
            </w:tcBorders>
          </w:tcPr>
          <w:p w14:paraId="54182312"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2.3</w:t>
            </w:r>
          </w:p>
        </w:tc>
      </w:tr>
      <w:tr w:rsidR="00A3021A" w:rsidRPr="00701439" w14:paraId="6DB81FDE" w14:textId="77777777">
        <w:tc>
          <w:tcPr>
            <w:tcW w:w="7545" w:type="dxa"/>
            <w:vAlign w:val="bottom"/>
          </w:tcPr>
          <w:p w14:paraId="369B37A8" w14:textId="77777777" w:rsidR="00A3021A" w:rsidRPr="00701439" w:rsidRDefault="00A3021A">
            <w:pPr>
              <w:tabs>
                <w:tab w:val="right" w:pos="4680"/>
              </w:tabs>
              <w:rPr>
                <w:rFonts w:asciiTheme="minorHAnsi" w:hAnsiTheme="minorHAnsi" w:cs="Arial"/>
                <w:b/>
                <w:sz w:val="20"/>
                <w:szCs w:val="20"/>
              </w:rPr>
            </w:pPr>
            <w:r w:rsidRPr="00701439">
              <w:rPr>
                <w:rFonts w:asciiTheme="minorHAnsi" w:hAnsiTheme="minorHAnsi" w:cs="Arial"/>
                <w:b/>
                <w:sz w:val="20"/>
                <w:szCs w:val="20"/>
              </w:rPr>
              <w:t>Net credit recognised in the income statement</w:t>
            </w:r>
          </w:p>
        </w:tc>
        <w:tc>
          <w:tcPr>
            <w:tcW w:w="1189" w:type="dxa"/>
            <w:tcBorders>
              <w:top w:val="single" w:sz="4" w:space="0" w:color="auto"/>
              <w:left w:val="nil"/>
              <w:bottom w:val="single" w:sz="12" w:space="0" w:color="auto"/>
              <w:right w:val="nil"/>
            </w:tcBorders>
          </w:tcPr>
          <w:p w14:paraId="7BB308D6"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0.5</w:t>
            </w:r>
          </w:p>
        </w:tc>
        <w:tc>
          <w:tcPr>
            <w:tcW w:w="1189" w:type="dxa"/>
            <w:tcBorders>
              <w:top w:val="single" w:sz="4" w:space="0" w:color="auto"/>
              <w:left w:val="nil"/>
              <w:bottom w:val="single" w:sz="12" w:space="0" w:color="auto"/>
              <w:right w:val="nil"/>
            </w:tcBorders>
          </w:tcPr>
          <w:p w14:paraId="1E66EDA9"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1.4</w:t>
            </w:r>
          </w:p>
        </w:tc>
      </w:tr>
    </w:tbl>
    <w:p w14:paraId="4BAB7FAF" w14:textId="77777777" w:rsidR="00A3021A" w:rsidRPr="00701439" w:rsidRDefault="00A3021A" w:rsidP="00A3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sz w:val="20"/>
          <w:szCs w:val="20"/>
        </w:rPr>
      </w:pPr>
    </w:p>
    <w:p w14:paraId="0D4E361E" w14:textId="77777777" w:rsidR="00A3021A" w:rsidRPr="00701439" w:rsidRDefault="00A3021A" w:rsidP="00A3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sz w:val="20"/>
          <w:szCs w:val="20"/>
        </w:rPr>
      </w:pPr>
      <w:r w:rsidRPr="00701439">
        <w:rPr>
          <w:rFonts w:asciiTheme="minorHAnsi" w:hAnsiTheme="minorHAnsi" w:cs="Arial"/>
          <w:sz w:val="20"/>
          <w:szCs w:val="20"/>
        </w:rPr>
        <w:t>The net credit recognised in the income statement has been included within operating costs.</w:t>
      </w:r>
    </w:p>
    <w:p w14:paraId="0C7ED2B3" w14:textId="77777777" w:rsidR="00A3021A" w:rsidRPr="00701439" w:rsidRDefault="00A3021A" w:rsidP="00A3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sz w:val="20"/>
          <w:szCs w:val="20"/>
        </w:rPr>
      </w:pPr>
    </w:p>
    <w:p w14:paraId="7865E089" w14:textId="77777777" w:rsidR="00A3021A" w:rsidRPr="00701439" w:rsidRDefault="00A3021A" w:rsidP="00A3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sz w:val="20"/>
          <w:szCs w:val="20"/>
        </w:rPr>
      </w:pPr>
      <w:r w:rsidRPr="00701439">
        <w:rPr>
          <w:rFonts w:asciiTheme="minorHAnsi" w:hAnsiTheme="minorHAnsi" w:cs="Arial"/>
          <w:sz w:val="20"/>
          <w:szCs w:val="20"/>
        </w:rPr>
        <w:t>Movements in the fair value of scheme assets were as follows:</w:t>
      </w:r>
    </w:p>
    <w:p w14:paraId="7763DADB" w14:textId="77777777" w:rsidR="00A3021A" w:rsidRPr="00701439" w:rsidRDefault="00A3021A" w:rsidP="00A3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bCs/>
          <w:sz w:val="20"/>
          <w:szCs w:val="20"/>
        </w:rPr>
      </w:pPr>
    </w:p>
    <w:tbl>
      <w:tblPr>
        <w:tblW w:w="9923" w:type="dxa"/>
        <w:tblLook w:val="0000" w:firstRow="0" w:lastRow="0" w:firstColumn="0" w:lastColumn="0" w:noHBand="0" w:noVBand="0"/>
      </w:tblPr>
      <w:tblGrid>
        <w:gridCol w:w="7545"/>
        <w:gridCol w:w="1189"/>
        <w:gridCol w:w="1189"/>
      </w:tblGrid>
      <w:tr w:rsidR="00A3021A" w:rsidRPr="00701439" w14:paraId="052D104E" w14:textId="77777777">
        <w:tc>
          <w:tcPr>
            <w:tcW w:w="7545" w:type="dxa"/>
          </w:tcPr>
          <w:p w14:paraId="4CD003C3" w14:textId="77777777" w:rsidR="00A3021A" w:rsidRPr="00701439" w:rsidRDefault="00A3021A">
            <w:pPr>
              <w:rPr>
                <w:rFonts w:asciiTheme="minorHAnsi" w:hAnsiTheme="minorHAnsi" w:cs="Arial"/>
                <w:sz w:val="20"/>
                <w:szCs w:val="20"/>
              </w:rPr>
            </w:pPr>
          </w:p>
        </w:tc>
        <w:tc>
          <w:tcPr>
            <w:tcW w:w="1189" w:type="dxa"/>
          </w:tcPr>
          <w:p w14:paraId="632D2196"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2022 </w:t>
            </w:r>
          </w:p>
        </w:tc>
        <w:tc>
          <w:tcPr>
            <w:tcW w:w="1189" w:type="dxa"/>
          </w:tcPr>
          <w:p w14:paraId="556E57D9"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2021</w:t>
            </w:r>
          </w:p>
        </w:tc>
      </w:tr>
      <w:tr w:rsidR="00A3021A" w:rsidRPr="00701439" w14:paraId="6FBE698E" w14:textId="77777777">
        <w:tc>
          <w:tcPr>
            <w:tcW w:w="7545" w:type="dxa"/>
          </w:tcPr>
          <w:p w14:paraId="2CD7261A" w14:textId="77777777" w:rsidR="00A3021A" w:rsidRPr="00701439" w:rsidRDefault="00A3021A">
            <w:pPr>
              <w:rPr>
                <w:rFonts w:asciiTheme="minorHAnsi" w:hAnsiTheme="minorHAnsi" w:cs="Arial"/>
                <w:bCs/>
                <w:sz w:val="20"/>
                <w:szCs w:val="20"/>
              </w:rPr>
            </w:pPr>
          </w:p>
        </w:tc>
        <w:tc>
          <w:tcPr>
            <w:tcW w:w="1189" w:type="dxa"/>
            <w:tcBorders>
              <w:top w:val="nil"/>
              <w:left w:val="nil"/>
              <w:bottom w:val="single" w:sz="4" w:space="0" w:color="auto"/>
              <w:right w:val="nil"/>
            </w:tcBorders>
          </w:tcPr>
          <w:p w14:paraId="54DD7BE6"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£m </w:t>
            </w:r>
          </w:p>
        </w:tc>
        <w:tc>
          <w:tcPr>
            <w:tcW w:w="1189" w:type="dxa"/>
            <w:tcBorders>
              <w:top w:val="nil"/>
              <w:left w:val="nil"/>
              <w:bottom w:val="single" w:sz="4" w:space="0" w:color="auto"/>
              <w:right w:val="nil"/>
            </w:tcBorders>
          </w:tcPr>
          <w:p w14:paraId="4FE71932"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£m </w:t>
            </w:r>
          </w:p>
        </w:tc>
      </w:tr>
      <w:tr w:rsidR="00A3021A" w:rsidRPr="00701439" w14:paraId="0062E06A" w14:textId="77777777">
        <w:tc>
          <w:tcPr>
            <w:tcW w:w="7545" w:type="dxa"/>
            <w:vAlign w:val="bottom"/>
          </w:tcPr>
          <w:p w14:paraId="76E456FB"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 xml:space="preserve">Fair value of scheme assets </w:t>
            </w:r>
            <w:proofErr w:type="gramStart"/>
            <w:r w:rsidRPr="00701439">
              <w:rPr>
                <w:rFonts w:asciiTheme="minorHAnsi" w:hAnsiTheme="minorHAnsi" w:cs="Arial"/>
                <w:sz w:val="20"/>
                <w:szCs w:val="20"/>
              </w:rPr>
              <w:t>at</w:t>
            </w:r>
            <w:proofErr w:type="gramEnd"/>
            <w:r w:rsidRPr="00701439">
              <w:rPr>
                <w:rFonts w:asciiTheme="minorHAnsi" w:hAnsiTheme="minorHAnsi" w:cs="Arial"/>
                <w:sz w:val="20"/>
                <w:szCs w:val="20"/>
              </w:rPr>
              <w:t xml:space="preserve"> 1 January</w:t>
            </w:r>
          </w:p>
        </w:tc>
        <w:tc>
          <w:tcPr>
            <w:tcW w:w="1189" w:type="dxa"/>
            <w:tcBorders>
              <w:top w:val="single" w:sz="4" w:space="0" w:color="auto"/>
              <w:left w:val="nil"/>
              <w:bottom w:val="nil"/>
              <w:right w:val="nil"/>
            </w:tcBorders>
            <w:vAlign w:val="bottom"/>
          </w:tcPr>
          <w:p w14:paraId="30E9D8B1"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898.8</w:t>
            </w:r>
          </w:p>
        </w:tc>
        <w:tc>
          <w:tcPr>
            <w:tcW w:w="1189" w:type="dxa"/>
            <w:tcBorders>
              <w:top w:val="single" w:sz="4" w:space="0" w:color="auto"/>
              <w:left w:val="nil"/>
              <w:bottom w:val="nil"/>
              <w:right w:val="nil"/>
            </w:tcBorders>
            <w:vAlign w:val="bottom"/>
          </w:tcPr>
          <w:p w14:paraId="162ABB5F"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933.0</w:t>
            </w:r>
          </w:p>
        </w:tc>
      </w:tr>
      <w:tr w:rsidR="00A3021A" w:rsidRPr="00701439" w14:paraId="4EFC096E" w14:textId="77777777">
        <w:tc>
          <w:tcPr>
            <w:tcW w:w="7545" w:type="dxa"/>
            <w:vAlign w:val="bottom"/>
          </w:tcPr>
          <w:p w14:paraId="6C47FF1F"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Interest on scheme assets</w:t>
            </w:r>
          </w:p>
        </w:tc>
        <w:tc>
          <w:tcPr>
            <w:tcW w:w="1189" w:type="dxa"/>
            <w:vAlign w:val="bottom"/>
          </w:tcPr>
          <w:p w14:paraId="21134672"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16.5</w:t>
            </w:r>
          </w:p>
        </w:tc>
        <w:tc>
          <w:tcPr>
            <w:tcW w:w="1189" w:type="dxa"/>
            <w:vAlign w:val="bottom"/>
          </w:tcPr>
          <w:p w14:paraId="7B8240C7"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13.0</w:t>
            </w:r>
          </w:p>
        </w:tc>
      </w:tr>
      <w:tr w:rsidR="00A3021A" w:rsidRPr="00701439" w14:paraId="63835623" w14:textId="77777777">
        <w:tc>
          <w:tcPr>
            <w:tcW w:w="7545" w:type="dxa"/>
            <w:vAlign w:val="bottom"/>
          </w:tcPr>
          <w:p w14:paraId="3602939C"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Actuarial movements on scheme assets</w:t>
            </w:r>
          </w:p>
        </w:tc>
        <w:tc>
          <w:tcPr>
            <w:tcW w:w="1189" w:type="dxa"/>
            <w:vAlign w:val="bottom"/>
          </w:tcPr>
          <w:p w14:paraId="1BE58890"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(366.2)</w:t>
            </w:r>
          </w:p>
        </w:tc>
        <w:tc>
          <w:tcPr>
            <w:tcW w:w="1189" w:type="dxa"/>
            <w:vAlign w:val="bottom"/>
          </w:tcPr>
          <w:p w14:paraId="4FB4BB54"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(20.2)</w:t>
            </w:r>
          </w:p>
        </w:tc>
      </w:tr>
      <w:tr w:rsidR="00A3021A" w:rsidRPr="00701439" w14:paraId="2B8B4A9B" w14:textId="77777777">
        <w:tc>
          <w:tcPr>
            <w:tcW w:w="7545" w:type="dxa"/>
            <w:vAlign w:val="bottom"/>
          </w:tcPr>
          <w:p w14:paraId="408C67A3"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Contributions by the Group</w:t>
            </w:r>
          </w:p>
        </w:tc>
        <w:tc>
          <w:tcPr>
            <w:tcW w:w="1189" w:type="dxa"/>
            <w:vAlign w:val="bottom"/>
          </w:tcPr>
          <w:p w14:paraId="6570B9C5"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2.2</w:t>
            </w:r>
          </w:p>
        </w:tc>
        <w:tc>
          <w:tcPr>
            <w:tcW w:w="1189" w:type="dxa"/>
            <w:vAlign w:val="bottom"/>
          </w:tcPr>
          <w:p w14:paraId="3093A770"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4.0</w:t>
            </w:r>
          </w:p>
        </w:tc>
      </w:tr>
      <w:tr w:rsidR="00A3021A" w:rsidRPr="00701439" w14:paraId="531F1B85" w14:textId="77777777">
        <w:tc>
          <w:tcPr>
            <w:tcW w:w="7545" w:type="dxa"/>
            <w:vAlign w:val="bottom"/>
          </w:tcPr>
          <w:p w14:paraId="19B9EAC3"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Net benefits paid out</w:t>
            </w:r>
          </w:p>
        </w:tc>
        <w:tc>
          <w:tcPr>
            <w:tcW w:w="1189" w:type="dxa"/>
            <w:tcBorders>
              <w:top w:val="nil"/>
              <w:left w:val="nil"/>
              <w:bottom w:val="single" w:sz="4" w:space="0" w:color="auto"/>
              <w:right w:val="nil"/>
            </w:tcBorders>
            <w:vAlign w:val="bottom"/>
          </w:tcPr>
          <w:p w14:paraId="0C6FF523"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(30.6)</w:t>
            </w:r>
          </w:p>
        </w:tc>
        <w:tc>
          <w:tcPr>
            <w:tcW w:w="1189" w:type="dxa"/>
            <w:tcBorders>
              <w:top w:val="nil"/>
              <w:left w:val="nil"/>
              <w:bottom w:val="single" w:sz="4" w:space="0" w:color="auto"/>
              <w:right w:val="nil"/>
            </w:tcBorders>
            <w:vAlign w:val="bottom"/>
          </w:tcPr>
          <w:p w14:paraId="3E1BFF54"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(31.0)</w:t>
            </w:r>
          </w:p>
        </w:tc>
      </w:tr>
      <w:tr w:rsidR="00A3021A" w:rsidRPr="00701439" w14:paraId="70DE2BF3" w14:textId="77777777">
        <w:tc>
          <w:tcPr>
            <w:tcW w:w="7545" w:type="dxa"/>
            <w:vAlign w:val="bottom"/>
          </w:tcPr>
          <w:p w14:paraId="6B6FADA2" w14:textId="77777777" w:rsidR="00A3021A" w:rsidRPr="00701439" w:rsidRDefault="00A3021A">
            <w:pPr>
              <w:rPr>
                <w:rFonts w:asciiTheme="minorHAnsi" w:hAnsiTheme="minorHAnsi" w:cs="Arial"/>
                <w:b/>
                <w:sz w:val="20"/>
                <w:szCs w:val="20"/>
              </w:rPr>
            </w:pPr>
            <w:r w:rsidRPr="00701439">
              <w:rPr>
                <w:rFonts w:asciiTheme="minorHAnsi" w:hAnsiTheme="minorHAnsi" w:cs="Arial"/>
                <w:b/>
                <w:sz w:val="20"/>
                <w:szCs w:val="20"/>
              </w:rPr>
              <w:t xml:space="preserve">Fair value of scheme assets </w:t>
            </w:r>
            <w:proofErr w:type="gramStart"/>
            <w:r w:rsidRPr="00701439">
              <w:rPr>
                <w:rFonts w:asciiTheme="minorHAnsi" w:hAnsiTheme="minorHAnsi" w:cs="Arial"/>
                <w:b/>
                <w:sz w:val="20"/>
                <w:szCs w:val="20"/>
              </w:rPr>
              <w:t>at</w:t>
            </w:r>
            <w:proofErr w:type="gramEnd"/>
            <w:r w:rsidRPr="00701439">
              <w:rPr>
                <w:rFonts w:asciiTheme="minorHAnsi" w:hAnsiTheme="minorHAnsi" w:cs="Arial"/>
                <w:b/>
                <w:sz w:val="20"/>
                <w:szCs w:val="20"/>
              </w:rPr>
              <w:t xml:space="preserve"> 31 December</w:t>
            </w:r>
          </w:p>
        </w:tc>
        <w:tc>
          <w:tcPr>
            <w:tcW w:w="1189" w:type="dxa"/>
            <w:tcBorders>
              <w:top w:val="single" w:sz="4" w:space="0" w:color="auto"/>
              <w:left w:val="nil"/>
              <w:bottom w:val="single" w:sz="12" w:space="0" w:color="auto"/>
              <w:right w:val="nil"/>
            </w:tcBorders>
            <w:vAlign w:val="bottom"/>
          </w:tcPr>
          <w:p w14:paraId="36650468"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520.7</w:t>
            </w:r>
          </w:p>
        </w:tc>
        <w:tc>
          <w:tcPr>
            <w:tcW w:w="1189" w:type="dxa"/>
            <w:tcBorders>
              <w:top w:val="single" w:sz="4" w:space="0" w:color="auto"/>
              <w:left w:val="nil"/>
              <w:bottom w:val="single" w:sz="12" w:space="0" w:color="auto"/>
              <w:right w:val="nil"/>
            </w:tcBorders>
            <w:vAlign w:val="bottom"/>
          </w:tcPr>
          <w:p w14:paraId="5C66DAA1"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898.8</w:t>
            </w:r>
          </w:p>
        </w:tc>
      </w:tr>
    </w:tbl>
    <w:p w14:paraId="164904D6" w14:textId="77777777" w:rsidR="00A3021A" w:rsidRPr="00701439" w:rsidRDefault="00A3021A" w:rsidP="00A3021A">
      <w:pPr>
        <w:rPr>
          <w:rFonts w:asciiTheme="minorHAnsi" w:hAnsiTheme="minorHAnsi" w:cs="Arial"/>
          <w:sz w:val="20"/>
          <w:szCs w:val="20"/>
        </w:rPr>
      </w:pPr>
    </w:p>
    <w:p w14:paraId="40AC51EA" w14:textId="77777777" w:rsidR="001B00C9" w:rsidRDefault="001B00C9" w:rsidP="00A3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hanging="600"/>
        <w:rPr>
          <w:rFonts w:asciiTheme="minorHAnsi" w:hAnsiTheme="minorHAnsi" w:cs="Arial"/>
          <w:sz w:val="20"/>
          <w:szCs w:val="20"/>
        </w:rPr>
      </w:pPr>
    </w:p>
    <w:p w14:paraId="07ABE306" w14:textId="77777777" w:rsidR="001B00C9" w:rsidRDefault="001B00C9" w:rsidP="00A3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hanging="600"/>
        <w:rPr>
          <w:rFonts w:asciiTheme="minorHAnsi" w:hAnsiTheme="minorHAnsi" w:cs="Arial"/>
          <w:sz w:val="20"/>
          <w:szCs w:val="20"/>
        </w:rPr>
      </w:pPr>
    </w:p>
    <w:p w14:paraId="7F30DC3D" w14:textId="77777777" w:rsidR="005E7DED" w:rsidRDefault="005E7DED" w:rsidP="00A3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hanging="600"/>
        <w:rPr>
          <w:rFonts w:asciiTheme="minorHAnsi" w:hAnsiTheme="minorHAnsi" w:cs="Arial"/>
          <w:sz w:val="20"/>
          <w:szCs w:val="20"/>
        </w:rPr>
      </w:pPr>
    </w:p>
    <w:p w14:paraId="3D19918C" w14:textId="77777777" w:rsidR="001B00C9" w:rsidRDefault="001B00C9" w:rsidP="00A3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hanging="600"/>
        <w:rPr>
          <w:rFonts w:asciiTheme="minorHAnsi" w:hAnsiTheme="minorHAnsi" w:cs="Arial"/>
          <w:sz w:val="20"/>
          <w:szCs w:val="20"/>
        </w:rPr>
      </w:pPr>
    </w:p>
    <w:p w14:paraId="52C186E1" w14:textId="77777777" w:rsidR="001B00C9" w:rsidRPr="00701439" w:rsidRDefault="001B00C9" w:rsidP="001B00C9">
      <w:pPr>
        <w:rPr>
          <w:rFonts w:asciiTheme="minorHAnsi" w:hAnsiTheme="minorHAnsi" w:cs="Arial"/>
          <w:b/>
          <w:color w:val="4747FF"/>
          <w:sz w:val="22"/>
          <w:szCs w:val="22"/>
        </w:rPr>
      </w:pPr>
      <w:r w:rsidRPr="00701439">
        <w:rPr>
          <w:rFonts w:asciiTheme="minorHAnsi" w:hAnsiTheme="minorHAnsi" w:cs="Arial"/>
          <w:b/>
          <w:color w:val="4747FF"/>
          <w:sz w:val="22"/>
          <w:szCs w:val="22"/>
        </w:rPr>
        <w:lastRenderedPageBreak/>
        <w:t>11.</w:t>
      </w:r>
      <w:r w:rsidRPr="00701439">
        <w:rPr>
          <w:rFonts w:asciiTheme="minorHAnsi" w:hAnsiTheme="minorHAnsi" w:cs="Arial"/>
          <w:b/>
          <w:color w:val="4747FF"/>
          <w:sz w:val="22"/>
          <w:szCs w:val="22"/>
        </w:rPr>
        <w:tab/>
        <w:t>Retirement benefit asset (continued)</w:t>
      </w:r>
    </w:p>
    <w:p w14:paraId="29A5A541" w14:textId="77777777" w:rsidR="001B00C9" w:rsidRDefault="001B00C9" w:rsidP="00A3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hanging="600"/>
        <w:rPr>
          <w:rFonts w:asciiTheme="minorHAnsi" w:hAnsiTheme="minorHAnsi" w:cs="Arial"/>
          <w:sz w:val="20"/>
          <w:szCs w:val="20"/>
        </w:rPr>
      </w:pPr>
    </w:p>
    <w:p w14:paraId="0A4B4D74" w14:textId="1C6A0099" w:rsidR="00A3021A" w:rsidRPr="00701439" w:rsidRDefault="00A3021A" w:rsidP="00A3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hanging="600"/>
        <w:rPr>
          <w:rFonts w:asciiTheme="minorHAnsi" w:hAnsiTheme="minorHAnsi" w:cs="Arial"/>
          <w:sz w:val="20"/>
          <w:szCs w:val="20"/>
        </w:rPr>
      </w:pPr>
      <w:r w:rsidRPr="00701439">
        <w:rPr>
          <w:rFonts w:asciiTheme="minorHAnsi" w:hAnsiTheme="minorHAnsi" w:cs="Arial"/>
          <w:sz w:val="20"/>
          <w:szCs w:val="20"/>
        </w:rPr>
        <w:t>Movements in the present value of the defined benefit obligation were as follows:</w:t>
      </w:r>
    </w:p>
    <w:p w14:paraId="05E7081A" w14:textId="77777777" w:rsidR="00A3021A" w:rsidRPr="00701439" w:rsidRDefault="00A3021A" w:rsidP="00A3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bCs/>
          <w:sz w:val="20"/>
          <w:szCs w:val="20"/>
        </w:rPr>
      </w:pPr>
    </w:p>
    <w:tbl>
      <w:tblPr>
        <w:tblW w:w="9923" w:type="dxa"/>
        <w:tblLook w:val="0000" w:firstRow="0" w:lastRow="0" w:firstColumn="0" w:lastColumn="0" w:noHBand="0" w:noVBand="0"/>
      </w:tblPr>
      <w:tblGrid>
        <w:gridCol w:w="7545"/>
        <w:gridCol w:w="1189"/>
        <w:gridCol w:w="1189"/>
      </w:tblGrid>
      <w:tr w:rsidR="00A3021A" w:rsidRPr="00701439" w14:paraId="1AEF9E97" w14:textId="77777777">
        <w:tc>
          <w:tcPr>
            <w:tcW w:w="7545" w:type="dxa"/>
          </w:tcPr>
          <w:p w14:paraId="0B2E8053" w14:textId="77777777" w:rsidR="00A3021A" w:rsidRPr="00701439" w:rsidRDefault="00A3021A">
            <w:pPr>
              <w:jc w:val="both"/>
              <w:rPr>
                <w:rFonts w:asciiTheme="minorHAnsi" w:hAnsiTheme="minorHAnsi" w:cs="Arial"/>
                <w:sz w:val="20"/>
                <w:szCs w:val="20"/>
              </w:rPr>
            </w:pPr>
          </w:p>
        </w:tc>
        <w:tc>
          <w:tcPr>
            <w:tcW w:w="1189" w:type="dxa"/>
          </w:tcPr>
          <w:p w14:paraId="11FDB072"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2022 </w:t>
            </w:r>
          </w:p>
        </w:tc>
        <w:tc>
          <w:tcPr>
            <w:tcW w:w="1189" w:type="dxa"/>
          </w:tcPr>
          <w:p w14:paraId="4C66B30C"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2021 </w:t>
            </w:r>
          </w:p>
        </w:tc>
      </w:tr>
      <w:tr w:rsidR="00A3021A" w:rsidRPr="00701439" w14:paraId="0811ED20" w14:textId="77777777">
        <w:tc>
          <w:tcPr>
            <w:tcW w:w="7545" w:type="dxa"/>
          </w:tcPr>
          <w:p w14:paraId="75A3C86A" w14:textId="77777777" w:rsidR="00A3021A" w:rsidRPr="00701439" w:rsidRDefault="00A3021A">
            <w:pPr>
              <w:pStyle w:val="Heading5"/>
              <w:overflowPunct/>
              <w:autoSpaceDE/>
              <w:adjustRightInd/>
              <w:rPr>
                <w:rFonts w:asciiTheme="minorHAnsi" w:hAnsiTheme="minorHAnsi" w:cs="Arial"/>
                <w:bCs/>
                <w:sz w:val="20"/>
              </w:rPr>
            </w:pPr>
          </w:p>
        </w:tc>
        <w:tc>
          <w:tcPr>
            <w:tcW w:w="1189" w:type="dxa"/>
            <w:tcBorders>
              <w:top w:val="nil"/>
              <w:left w:val="nil"/>
              <w:bottom w:val="single" w:sz="4" w:space="0" w:color="auto"/>
              <w:right w:val="nil"/>
            </w:tcBorders>
          </w:tcPr>
          <w:p w14:paraId="274C883D"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£m </w:t>
            </w:r>
          </w:p>
        </w:tc>
        <w:tc>
          <w:tcPr>
            <w:tcW w:w="1189" w:type="dxa"/>
            <w:tcBorders>
              <w:top w:val="nil"/>
              <w:left w:val="nil"/>
              <w:bottom w:val="single" w:sz="4" w:space="0" w:color="auto"/>
              <w:right w:val="nil"/>
            </w:tcBorders>
          </w:tcPr>
          <w:p w14:paraId="3E135E35"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£m </w:t>
            </w:r>
          </w:p>
        </w:tc>
      </w:tr>
      <w:tr w:rsidR="00A3021A" w:rsidRPr="00701439" w14:paraId="7EAE34CE" w14:textId="77777777">
        <w:tc>
          <w:tcPr>
            <w:tcW w:w="7545" w:type="dxa"/>
            <w:vAlign w:val="bottom"/>
          </w:tcPr>
          <w:p w14:paraId="32C29E3F" w14:textId="77777777" w:rsidR="00A3021A" w:rsidRPr="00701439" w:rsidRDefault="00A3021A">
            <w:pPr>
              <w:tabs>
                <w:tab w:val="right" w:pos="4680"/>
              </w:tabs>
              <w:rPr>
                <w:rFonts w:asciiTheme="minorHAnsi" w:hAnsiTheme="minorHAnsi" w:cs="Arial"/>
                <w:sz w:val="20"/>
                <w:szCs w:val="20"/>
              </w:rPr>
            </w:pPr>
            <w:r w:rsidRPr="00701439">
              <w:rPr>
                <w:rFonts w:asciiTheme="minorHAnsi" w:hAnsiTheme="minorHAnsi" w:cs="Arial"/>
                <w:sz w:val="20"/>
                <w:szCs w:val="20"/>
              </w:rPr>
              <w:t xml:space="preserve">Present value of defined benefit obligation </w:t>
            </w:r>
            <w:proofErr w:type="gramStart"/>
            <w:r w:rsidRPr="00701439">
              <w:rPr>
                <w:rFonts w:asciiTheme="minorHAnsi" w:hAnsiTheme="minorHAnsi" w:cs="Arial"/>
                <w:sz w:val="20"/>
                <w:szCs w:val="20"/>
              </w:rPr>
              <w:t>at</w:t>
            </w:r>
            <w:proofErr w:type="gramEnd"/>
            <w:r w:rsidRPr="00701439">
              <w:rPr>
                <w:rFonts w:asciiTheme="minorHAnsi" w:hAnsiTheme="minorHAnsi" w:cs="Arial"/>
                <w:sz w:val="20"/>
                <w:szCs w:val="20"/>
              </w:rPr>
              <w:t xml:space="preserve"> 1 January</w:t>
            </w:r>
          </w:p>
        </w:tc>
        <w:tc>
          <w:tcPr>
            <w:tcW w:w="1189" w:type="dxa"/>
            <w:tcBorders>
              <w:top w:val="single" w:sz="4" w:space="0" w:color="auto"/>
              <w:left w:val="nil"/>
              <w:bottom w:val="nil"/>
              <w:right w:val="nil"/>
            </w:tcBorders>
            <w:vAlign w:val="bottom"/>
          </w:tcPr>
          <w:p w14:paraId="6F3DA483"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(786.6)</w:t>
            </w:r>
          </w:p>
        </w:tc>
        <w:tc>
          <w:tcPr>
            <w:tcW w:w="1189" w:type="dxa"/>
            <w:tcBorders>
              <w:top w:val="single" w:sz="4" w:space="0" w:color="auto"/>
              <w:left w:val="nil"/>
              <w:bottom w:val="nil"/>
              <w:right w:val="nil"/>
            </w:tcBorders>
            <w:vAlign w:val="bottom"/>
          </w:tcPr>
          <w:p w14:paraId="2ADD1653"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(853.3)</w:t>
            </w:r>
          </w:p>
        </w:tc>
      </w:tr>
      <w:tr w:rsidR="00A3021A" w:rsidRPr="00701439" w14:paraId="360C9C41" w14:textId="77777777">
        <w:tc>
          <w:tcPr>
            <w:tcW w:w="7545" w:type="dxa"/>
            <w:vAlign w:val="bottom"/>
          </w:tcPr>
          <w:p w14:paraId="7C2CCE0D" w14:textId="77777777" w:rsidR="00A3021A" w:rsidRPr="00701439" w:rsidRDefault="00A3021A">
            <w:pPr>
              <w:tabs>
                <w:tab w:val="right" w:pos="4680"/>
              </w:tabs>
              <w:rPr>
                <w:rFonts w:asciiTheme="minorHAnsi" w:hAnsiTheme="minorHAnsi" w:cs="Arial"/>
                <w:sz w:val="20"/>
                <w:szCs w:val="20"/>
              </w:rPr>
            </w:pPr>
            <w:r w:rsidRPr="00701439">
              <w:rPr>
                <w:rFonts w:asciiTheme="minorHAnsi" w:hAnsiTheme="minorHAnsi" w:cs="Arial"/>
                <w:sz w:val="20"/>
                <w:szCs w:val="20"/>
              </w:rPr>
              <w:t>Current service cost</w:t>
            </w:r>
          </w:p>
        </w:tc>
        <w:tc>
          <w:tcPr>
            <w:tcW w:w="1189" w:type="dxa"/>
            <w:vAlign w:val="bottom"/>
          </w:tcPr>
          <w:p w14:paraId="5DE9B571"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(1.6)</w:t>
            </w:r>
          </w:p>
        </w:tc>
        <w:tc>
          <w:tcPr>
            <w:tcW w:w="1189" w:type="dxa"/>
            <w:vAlign w:val="bottom"/>
          </w:tcPr>
          <w:p w14:paraId="69E29F78"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(2.1)</w:t>
            </w:r>
          </w:p>
        </w:tc>
      </w:tr>
      <w:tr w:rsidR="00A3021A" w:rsidRPr="00701439" w14:paraId="515C5236" w14:textId="77777777">
        <w:tc>
          <w:tcPr>
            <w:tcW w:w="7545" w:type="dxa"/>
            <w:vAlign w:val="bottom"/>
          </w:tcPr>
          <w:p w14:paraId="1CD34567" w14:textId="77777777" w:rsidR="00A3021A" w:rsidRPr="00701439" w:rsidRDefault="00A3021A">
            <w:pPr>
              <w:tabs>
                <w:tab w:val="right" w:pos="4680"/>
              </w:tabs>
              <w:rPr>
                <w:rFonts w:asciiTheme="minorHAnsi" w:hAnsiTheme="minorHAnsi" w:cs="Arial"/>
                <w:sz w:val="20"/>
                <w:szCs w:val="20"/>
              </w:rPr>
            </w:pPr>
            <w:r w:rsidRPr="00701439">
              <w:rPr>
                <w:rFonts w:asciiTheme="minorHAnsi" w:hAnsiTheme="minorHAnsi" w:cs="Arial"/>
                <w:sz w:val="20"/>
                <w:szCs w:val="20"/>
              </w:rPr>
              <w:t>Interest on scheme liabilities</w:t>
            </w:r>
          </w:p>
        </w:tc>
        <w:tc>
          <w:tcPr>
            <w:tcW w:w="1189" w:type="dxa"/>
            <w:vAlign w:val="bottom"/>
          </w:tcPr>
          <w:p w14:paraId="701A4773"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(14.4)</w:t>
            </w:r>
          </w:p>
        </w:tc>
        <w:tc>
          <w:tcPr>
            <w:tcW w:w="1189" w:type="dxa"/>
            <w:vAlign w:val="bottom"/>
          </w:tcPr>
          <w:p w14:paraId="3B33E81C"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(11.8)</w:t>
            </w:r>
          </w:p>
        </w:tc>
      </w:tr>
      <w:tr w:rsidR="00A3021A" w:rsidRPr="00701439" w14:paraId="5D4DE94A" w14:textId="77777777">
        <w:tc>
          <w:tcPr>
            <w:tcW w:w="7545" w:type="dxa"/>
            <w:vAlign w:val="bottom"/>
          </w:tcPr>
          <w:p w14:paraId="5DCACBDD" w14:textId="77777777" w:rsidR="00A3021A" w:rsidRPr="00701439" w:rsidRDefault="00A3021A">
            <w:pPr>
              <w:tabs>
                <w:tab w:val="right" w:pos="4680"/>
              </w:tabs>
              <w:rPr>
                <w:rFonts w:asciiTheme="minorHAnsi" w:hAnsiTheme="minorHAnsi" w:cs="Arial"/>
                <w:sz w:val="20"/>
                <w:szCs w:val="20"/>
              </w:rPr>
            </w:pPr>
            <w:r w:rsidRPr="00701439">
              <w:rPr>
                <w:rFonts w:asciiTheme="minorHAnsi" w:hAnsiTheme="minorHAnsi" w:cs="Arial"/>
                <w:sz w:val="20"/>
                <w:szCs w:val="20"/>
              </w:rPr>
              <w:t xml:space="preserve">Exceptional past service credit – Plan amendment (note 3) </w:t>
            </w:r>
          </w:p>
        </w:tc>
        <w:tc>
          <w:tcPr>
            <w:tcW w:w="1189" w:type="dxa"/>
            <w:vAlign w:val="bottom"/>
          </w:tcPr>
          <w:p w14:paraId="47FBCCDA"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c>
          <w:tcPr>
            <w:tcW w:w="1189" w:type="dxa"/>
            <w:vAlign w:val="bottom"/>
          </w:tcPr>
          <w:p w14:paraId="21EEB2CB"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1.5</w:t>
            </w:r>
          </w:p>
        </w:tc>
      </w:tr>
      <w:tr w:rsidR="00A3021A" w:rsidRPr="00701439" w14:paraId="4953972A" w14:textId="77777777">
        <w:tc>
          <w:tcPr>
            <w:tcW w:w="7545" w:type="dxa"/>
            <w:vAlign w:val="bottom"/>
          </w:tcPr>
          <w:p w14:paraId="10FBAA08" w14:textId="77777777" w:rsidR="00A3021A" w:rsidRPr="00701439" w:rsidRDefault="00A3021A">
            <w:pPr>
              <w:tabs>
                <w:tab w:val="right" w:pos="4680"/>
              </w:tabs>
              <w:rPr>
                <w:rFonts w:asciiTheme="minorHAnsi" w:hAnsiTheme="minorHAnsi" w:cs="Arial"/>
                <w:sz w:val="20"/>
                <w:szCs w:val="20"/>
              </w:rPr>
            </w:pPr>
            <w:r w:rsidRPr="00701439">
              <w:rPr>
                <w:rFonts w:asciiTheme="minorHAnsi" w:hAnsiTheme="minorHAnsi" w:cs="Arial"/>
                <w:sz w:val="20"/>
                <w:szCs w:val="20"/>
              </w:rPr>
              <w:t>Exceptional past service credit – Curtailment credit (note 3)</w:t>
            </w:r>
          </w:p>
        </w:tc>
        <w:tc>
          <w:tcPr>
            <w:tcW w:w="1189" w:type="dxa"/>
            <w:vAlign w:val="bottom"/>
          </w:tcPr>
          <w:p w14:paraId="21B6A8D5"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c>
          <w:tcPr>
            <w:tcW w:w="1189" w:type="dxa"/>
            <w:vAlign w:val="bottom"/>
          </w:tcPr>
          <w:p w14:paraId="7777C87F"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0.8</w:t>
            </w:r>
          </w:p>
        </w:tc>
      </w:tr>
      <w:tr w:rsidR="00A3021A" w:rsidRPr="00701439" w14:paraId="582BEAF2" w14:textId="77777777">
        <w:tc>
          <w:tcPr>
            <w:tcW w:w="7545" w:type="dxa"/>
            <w:vAlign w:val="bottom"/>
          </w:tcPr>
          <w:p w14:paraId="26DAF6CF" w14:textId="77777777" w:rsidR="00A3021A" w:rsidRPr="00701439" w:rsidRDefault="00A3021A">
            <w:pPr>
              <w:tabs>
                <w:tab w:val="right" w:pos="4680"/>
              </w:tabs>
              <w:rPr>
                <w:rFonts w:asciiTheme="minorHAnsi" w:hAnsiTheme="minorHAnsi" w:cs="Arial"/>
                <w:sz w:val="20"/>
                <w:szCs w:val="20"/>
              </w:rPr>
            </w:pPr>
            <w:r w:rsidRPr="00701439">
              <w:rPr>
                <w:rFonts w:asciiTheme="minorHAnsi" w:hAnsiTheme="minorHAnsi" w:cs="Arial"/>
                <w:sz w:val="20"/>
                <w:szCs w:val="20"/>
              </w:rPr>
              <w:t xml:space="preserve">Actuarial movement – experience </w:t>
            </w:r>
          </w:p>
        </w:tc>
        <w:tc>
          <w:tcPr>
            <w:tcW w:w="1189" w:type="dxa"/>
            <w:vAlign w:val="bottom"/>
          </w:tcPr>
          <w:p w14:paraId="393B20CB"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(6.6)</w:t>
            </w:r>
          </w:p>
        </w:tc>
        <w:tc>
          <w:tcPr>
            <w:tcW w:w="1189" w:type="dxa"/>
            <w:vAlign w:val="bottom"/>
          </w:tcPr>
          <w:p w14:paraId="2C65CB10"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(10.3)</w:t>
            </w:r>
          </w:p>
        </w:tc>
      </w:tr>
      <w:tr w:rsidR="00A3021A" w:rsidRPr="00701439" w14:paraId="50D723FE" w14:textId="77777777">
        <w:tc>
          <w:tcPr>
            <w:tcW w:w="7545" w:type="dxa"/>
            <w:vAlign w:val="bottom"/>
          </w:tcPr>
          <w:p w14:paraId="27E1205B" w14:textId="77777777" w:rsidR="00A3021A" w:rsidRPr="00701439" w:rsidRDefault="00A3021A">
            <w:pPr>
              <w:tabs>
                <w:tab w:val="right" w:pos="4680"/>
              </w:tabs>
              <w:rPr>
                <w:rFonts w:asciiTheme="minorHAnsi" w:hAnsiTheme="minorHAnsi" w:cs="Arial"/>
                <w:sz w:val="20"/>
                <w:szCs w:val="20"/>
              </w:rPr>
            </w:pPr>
            <w:r w:rsidRPr="00701439">
              <w:rPr>
                <w:rFonts w:asciiTheme="minorHAnsi" w:hAnsiTheme="minorHAnsi" w:cs="Arial"/>
                <w:sz w:val="20"/>
                <w:szCs w:val="20"/>
              </w:rPr>
              <w:t>Actuarial movement – demographic assumptions</w:t>
            </w:r>
          </w:p>
        </w:tc>
        <w:tc>
          <w:tcPr>
            <w:tcW w:w="1189" w:type="dxa"/>
            <w:vAlign w:val="bottom"/>
          </w:tcPr>
          <w:p w14:paraId="02A2FFC1"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5.4</w:t>
            </w:r>
          </w:p>
        </w:tc>
        <w:tc>
          <w:tcPr>
            <w:tcW w:w="1189" w:type="dxa"/>
            <w:vAlign w:val="bottom"/>
          </w:tcPr>
          <w:p w14:paraId="423A4789"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12.9</w:t>
            </w:r>
          </w:p>
        </w:tc>
      </w:tr>
      <w:tr w:rsidR="00A3021A" w:rsidRPr="00701439" w14:paraId="2EB5ECE0" w14:textId="77777777">
        <w:tc>
          <w:tcPr>
            <w:tcW w:w="7545" w:type="dxa"/>
            <w:vAlign w:val="bottom"/>
          </w:tcPr>
          <w:p w14:paraId="688CB438" w14:textId="77777777" w:rsidR="00A3021A" w:rsidRPr="00701439" w:rsidRDefault="00A3021A">
            <w:pPr>
              <w:tabs>
                <w:tab w:val="right" w:pos="4680"/>
              </w:tabs>
              <w:rPr>
                <w:rFonts w:asciiTheme="minorHAnsi" w:hAnsiTheme="minorHAnsi" w:cs="Arial"/>
                <w:sz w:val="20"/>
                <w:szCs w:val="20"/>
              </w:rPr>
            </w:pPr>
            <w:r w:rsidRPr="00701439">
              <w:rPr>
                <w:rFonts w:asciiTheme="minorHAnsi" w:hAnsiTheme="minorHAnsi" w:cs="Arial"/>
                <w:sz w:val="20"/>
                <w:szCs w:val="20"/>
              </w:rPr>
              <w:t>Actuarial movement – financial assumptions</w:t>
            </w:r>
          </w:p>
        </w:tc>
        <w:tc>
          <w:tcPr>
            <w:tcW w:w="1189" w:type="dxa"/>
            <w:vAlign w:val="bottom"/>
          </w:tcPr>
          <w:p w14:paraId="78EAA63A"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283.2</w:t>
            </w:r>
          </w:p>
        </w:tc>
        <w:tc>
          <w:tcPr>
            <w:tcW w:w="1189" w:type="dxa"/>
            <w:vAlign w:val="bottom"/>
          </w:tcPr>
          <w:p w14:paraId="5CF7EFC3"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44.7</w:t>
            </w:r>
          </w:p>
        </w:tc>
      </w:tr>
      <w:tr w:rsidR="00A3021A" w:rsidRPr="00701439" w14:paraId="4B4E972D" w14:textId="77777777">
        <w:tc>
          <w:tcPr>
            <w:tcW w:w="7545" w:type="dxa"/>
            <w:vAlign w:val="bottom"/>
          </w:tcPr>
          <w:p w14:paraId="144D0978" w14:textId="77777777" w:rsidR="00A3021A" w:rsidRPr="00701439" w:rsidRDefault="00A3021A">
            <w:pPr>
              <w:tabs>
                <w:tab w:val="right" w:pos="4680"/>
              </w:tabs>
              <w:rPr>
                <w:rFonts w:asciiTheme="minorHAnsi" w:hAnsiTheme="minorHAnsi" w:cs="Arial"/>
                <w:sz w:val="20"/>
                <w:szCs w:val="20"/>
              </w:rPr>
            </w:pPr>
            <w:r w:rsidRPr="00701439">
              <w:rPr>
                <w:rFonts w:asciiTheme="minorHAnsi" w:hAnsiTheme="minorHAnsi" w:cs="Arial"/>
                <w:sz w:val="20"/>
                <w:szCs w:val="20"/>
              </w:rPr>
              <w:t>Net benefits paid out</w:t>
            </w:r>
          </w:p>
        </w:tc>
        <w:tc>
          <w:tcPr>
            <w:tcW w:w="1189" w:type="dxa"/>
            <w:tcBorders>
              <w:top w:val="nil"/>
              <w:left w:val="nil"/>
              <w:bottom w:val="single" w:sz="4" w:space="0" w:color="auto"/>
              <w:right w:val="nil"/>
            </w:tcBorders>
            <w:vAlign w:val="bottom"/>
          </w:tcPr>
          <w:p w14:paraId="6A710DFE"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30.6</w:t>
            </w:r>
          </w:p>
        </w:tc>
        <w:tc>
          <w:tcPr>
            <w:tcW w:w="1189" w:type="dxa"/>
            <w:tcBorders>
              <w:top w:val="nil"/>
              <w:left w:val="nil"/>
              <w:bottom w:val="single" w:sz="4" w:space="0" w:color="auto"/>
              <w:right w:val="nil"/>
            </w:tcBorders>
            <w:vAlign w:val="bottom"/>
          </w:tcPr>
          <w:p w14:paraId="0E32BB78"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31.0</w:t>
            </w:r>
          </w:p>
        </w:tc>
      </w:tr>
      <w:tr w:rsidR="00A3021A" w:rsidRPr="00701439" w14:paraId="568F3372" w14:textId="77777777">
        <w:tc>
          <w:tcPr>
            <w:tcW w:w="7545" w:type="dxa"/>
            <w:vAlign w:val="bottom"/>
          </w:tcPr>
          <w:p w14:paraId="210A761C" w14:textId="77777777" w:rsidR="00A3021A" w:rsidRPr="00701439" w:rsidRDefault="00A3021A">
            <w:pPr>
              <w:rPr>
                <w:rFonts w:asciiTheme="minorHAnsi" w:hAnsiTheme="minorHAnsi" w:cs="Arial"/>
                <w:b/>
                <w:sz w:val="20"/>
                <w:szCs w:val="20"/>
              </w:rPr>
            </w:pPr>
            <w:r w:rsidRPr="00701439">
              <w:rPr>
                <w:rFonts w:asciiTheme="minorHAnsi" w:hAnsiTheme="minorHAnsi" w:cs="Arial"/>
                <w:b/>
                <w:sz w:val="20"/>
                <w:szCs w:val="20"/>
              </w:rPr>
              <w:t xml:space="preserve">Present value of defined benefit obligation </w:t>
            </w:r>
            <w:proofErr w:type="gramStart"/>
            <w:r w:rsidRPr="00701439">
              <w:rPr>
                <w:rFonts w:asciiTheme="minorHAnsi" w:hAnsiTheme="minorHAnsi" w:cs="Arial"/>
                <w:b/>
                <w:sz w:val="20"/>
                <w:szCs w:val="20"/>
              </w:rPr>
              <w:t>at</w:t>
            </w:r>
            <w:proofErr w:type="gramEnd"/>
            <w:r w:rsidRPr="00701439">
              <w:rPr>
                <w:rFonts w:asciiTheme="minorHAnsi" w:hAnsiTheme="minorHAnsi" w:cs="Arial"/>
                <w:b/>
                <w:sz w:val="20"/>
                <w:szCs w:val="20"/>
              </w:rPr>
              <w:t xml:space="preserve"> 31 December</w:t>
            </w:r>
          </w:p>
        </w:tc>
        <w:tc>
          <w:tcPr>
            <w:tcW w:w="1189" w:type="dxa"/>
            <w:tcBorders>
              <w:top w:val="single" w:sz="4" w:space="0" w:color="auto"/>
              <w:left w:val="nil"/>
              <w:bottom w:val="single" w:sz="12" w:space="0" w:color="auto"/>
              <w:right w:val="nil"/>
            </w:tcBorders>
            <w:vAlign w:val="bottom"/>
          </w:tcPr>
          <w:p w14:paraId="2961E511"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(490.0)</w:t>
            </w:r>
          </w:p>
        </w:tc>
        <w:tc>
          <w:tcPr>
            <w:tcW w:w="1189" w:type="dxa"/>
            <w:tcBorders>
              <w:top w:val="single" w:sz="4" w:space="0" w:color="auto"/>
              <w:left w:val="nil"/>
              <w:bottom w:val="single" w:sz="12" w:space="0" w:color="auto"/>
              <w:right w:val="nil"/>
            </w:tcBorders>
            <w:vAlign w:val="bottom"/>
          </w:tcPr>
          <w:p w14:paraId="2B9D8F4C"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(786.6)</w:t>
            </w:r>
          </w:p>
        </w:tc>
      </w:tr>
    </w:tbl>
    <w:p w14:paraId="4EB57847" w14:textId="77777777" w:rsidR="00A3021A" w:rsidRPr="00701439" w:rsidRDefault="00A3021A" w:rsidP="00A3021A">
      <w:pPr>
        <w:rPr>
          <w:rFonts w:asciiTheme="minorHAnsi" w:hAnsiTheme="minorHAnsi" w:cs="Arial"/>
          <w:b/>
          <w:sz w:val="20"/>
          <w:szCs w:val="20"/>
        </w:rPr>
      </w:pPr>
    </w:p>
    <w:p w14:paraId="22D409CC" w14:textId="77777777" w:rsidR="00A3021A" w:rsidRPr="00701439" w:rsidRDefault="00A3021A" w:rsidP="00A3021A">
      <w:pPr>
        <w:rPr>
          <w:rFonts w:asciiTheme="minorHAnsi" w:hAnsiTheme="minorHAnsi" w:cs="Arial"/>
          <w:b/>
          <w:sz w:val="20"/>
          <w:szCs w:val="20"/>
        </w:rPr>
      </w:pPr>
    </w:p>
    <w:p w14:paraId="1F5D9CB5" w14:textId="77777777" w:rsidR="00A3021A" w:rsidRPr="00701439" w:rsidRDefault="00A3021A" w:rsidP="00A3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sz w:val="20"/>
          <w:szCs w:val="20"/>
        </w:rPr>
      </w:pPr>
      <w:r w:rsidRPr="00701439">
        <w:rPr>
          <w:rFonts w:asciiTheme="minorHAnsi" w:hAnsiTheme="minorHAnsi" w:cs="Arial"/>
          <w:sz w:val="20"/>
          <w:szCs w:val="20"/>
        </w:rPr>
        <w:t>The principal actuarial assumptions used at the balance sheet date were as follows:</w:t>
      </w:r>
    </w:p>
    <w:p w14:paraId="65518094" w14:textId="77777777" w:rsidR="00A3021A" w:rsidRPr="00701439" w:rsidRDefault="00A3021A" w:rsidP="00A3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sectionheadernumber"/>
          <w:rFonts w:asciiTheme="minorHAnsi" w:hAnsiTheme="minorHAnsi" w:cs="Arial"/>
          <w:sz w:val="20"/>
          <w:szCs w:val="20"/>
        </w:rPr>
      </w:pPr>
    </w:p>
    <w:tbl>
      <w:tblPr>
        <w:tblW w:w="9923" w:type="dxa"/>
        <w:tblLook w:val="0000" w:firstRow="0" w:lastRow="0" w:firstColumn="0" w:lastColumn="0" w:noHBand="0" w:noVBand="0"/>
      </w:tblPr>
      <w:tblGrid>
        <w:gridCol w:w="7513"/>
        <w:gridCol w:w="1276"/>
        <w:gridCol w:w="1134"/>
      </w:tblGrid>
      <w:tr w:rsidR="00A3021A" w:rsidRPr="00701439" w14:paraId="263D2683" w14:textId="77777777">
        <w:tc>
          <w:tcPr>
            <w:tcW w:w="7513" w:type="dxa"/>
          </w:tcPr>
          <w:p w14:paraId="02BE89C8" w14:textId="77777777" w:rsidR="00A3021A" w:rsidRPr="00701439" w:rsidRDefault="00A3021A">
            <w:pPr>
              <w:jc w:val="both"/>
              <w:rPr>
                <w:rFonts w:asciiTheme="minorHAnsi" w:hAnsiTheme="minorHAnsi" w:cs="Arial"/>
                <w:sz w:val="20"/>
                <w:szCs w:val="20"/>
              </w:rPr>
            </w:pPr>
          </w:p>
        </w:tc>
        <w:tc>
          <w:tcPr>
            <w:tcW w:w="1276" w:type="dxa"/>
          </w:tcPr>
          <w:p w14:paraId="62B8733A"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2022 </w:t>
            </w:r>
          </w:p>
        </w:tc>
        <w:tc>
          <w:tcPr>
            <w:tcW w:w="1134" w:type="dxa"/>
          </w:tcPr>
          <w:p w14:paraId="59297367"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2021 </w:t>
            </w:r>
          </w:p>
        </w:tc>
      </w:tr>
      <w:tr w:rsidR="00A3021A" w:rsidRPr="00701439" w14:paraId="7392FF2B" w14:textId="77777777">
        <w:tc>
          <w:tcPr>
            <w:tcW w:w="7513" w:type="dxa"/>
          </w:tcPr>
          <w:p w14:paraId="12FB3F3E" w14:textId="77777777" w:rsidR="00A3021A" w:rsidRPr="00701439" w:rsidRDefault="00A3021A">
            <w:pPr>
              <w:pStyle w:val="Heading5"/>
              <w:overflowPunct/>
              <w:autoSpaceDE/>
              <w:adjustRightInd/>
              <w:rPr>
                <w:rFonts w:asciiTheme="minorHAnsi" w:hAnsiTheme="minorHAnsi" w:cs="Arial"/>
                <w:bCs/>
                <w:sz w:val="20"/>
              </w:rPr>
            </w:pPr>
          </w:p>
        </w:tc>
        <w:tc>
          <w:tcPr>
            <w:tcW w:w="1276" w:type="dxa"/>
            <w:tcBorders>
              <w:top w:val="nil"/>
              <w:left w:val="nil"/>
              <w:bottom w:val="single" w:sz="4" w:space="0" w:color="auto"/>
              <w:right w:val="nil"/>
            </w:tcBorders>
          </w:tcPr>
          <w:p w14:paraId="4BB5E439"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 </w:t>
            </w:r>
          </w:p>
        </w:tc>
        <w:tc>
          <w:tcPr>
            <w:tcW w:w="1134" w:type="dxa"/>
            <w:tcBorders>
              <w:top w:val="nil"/>
              <w:left w:val="nil"/>
              <w:bottom w:val="single" w:sz="4" w:space="0" w:color="auto"/>
              <w:right w:val="nil"/>
            </w:tcBorders>
          </w:tcPr>
          <w:p w14:paraId="1C01291D"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 </w:t>
            </w:r>
          </w:p>
        </w:tc>
      </w:tr>
      <w:tr w:rsidR="00A3021A" w:rsidRPr="00701439" w14:paraId="5728B1C7" w14:textId="77777777">
        <w:tc>
          <w:tcPr>
            <w:tcW w:w="7513" w:type="dxa"/>
            <w:vAlign w:val="bottom"/>
          </w:tcPr>
          <w:p w14:paraId="69541951"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 xml:space="preserve">Price inflation – RPI </w:t>
            </w:r>
          </w:p>
        </w:tc>
        <w:tc>
          <w:tcPr>
            <w:tcW w:w="1276" w:type="dxa"/>
            <w:tcBorders>
              <w:top w:val="single" w:sz="4" w:space="0" w:color="auto"/>
              <w:left w:val="nil"/>
              <w:bottom w:val="nil"/>
              <w:right w:val="nil"/>
            </w:tcBorders>
            <w:vAlign w:val="bottom"/>
          </w:tcPr>
          <w:p w14:paraId="5A5C2CA3"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3.25</w:t>
            </w:r>
          </w:p>
        </w:tc>
        <w:tc>
          <w:tcPr>
            <w:tcW w:w="1134" w:type="dxa"/>
            <w:tcBorders>
              <w:top w:val="single" w:sz="4" w:space="0" w:color="auto"/>
              <w:left w:val="nil"/>
              <w:bottom w:val="nil"/>
              <w:right w:val="nil"/>
            </w:tcBorders>
            <w:vAlign w:val="bottom"/>
          </w:tcPr>
          <w:p w14:paraId="1D295EDB"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3.40</w:t>
            </w:r>
          </w:p>
        </w:tc>
      </w:tr>
      <w:tr w:rsidR="00A3021A" w:rsidRPr="00701439" w14:paraId="37844742" w14:textId="77777777">
        <w:tc>
          <w:tcPr>
            <w:tcW w:w="7513" w:type="dxa"/>
            <w:vAlign w:val="bottom"/>
          </w:tcPr>
          <w:p w14:paraId="4F38FE4D"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 xml:space="preserve">Price inflation – CPI </w:t>
            </w:r>
          </w:p>
        </w:tc>
        <w:tc>
          <w:tcPr>
            <w:tcW w:w="1276" w:type="dxa"/>
            <w:vAlign w:val="bottom"/>
          </w:tcPr>
          <w:p w14:paraId="5880B619"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2.75</w:t>
            </w:r>
          </w:p>
        </w:tc>
        <w:tc>
          <w:tcPr>
            <w:tcW w:w="1134" w:type="dxa"/>
            <w:vAlign w:val="bottom"/>
          </w:tcPr>
          <w:p w14:paraId="5CD6CD06"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3.00</w:t>
            </w:r>
          </w:p>
        </w:tc>
      </w:tr>
      <w:tr w:rsidR="00A3021A" w:rsidRPr="00701439" w14:paraId="2CB7B6E4" w14:textId="77777777">
        <w:tc>
          <w:tcPr>
            <w:tcW w:w="7513" w:type="dxa"/>
            <w:vAlign w:val="bottom"/>
          </w:tcPr>
          <w:p w14:paraId="68AE6DEA"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Rate of increase to pensions in payment</w:t>
            </w:r>
          </w:p>
        </w:tc>
        <w:tc>
          <w:tcPr>
            <w:tcW w:w="1276" w:type="dxa"/>
            <w:vAlign w:val="bottom"/>
          </w:tcPr>
          <w:p w14:paraId="06BB9A08"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3.05</w:t>
            </w:r>
          </w:p>
        </w:tc>
        <w:tc>
          <w:tcPr>
            <w:tcW w:w="1134" w:type="dxa"/>
            <w:vAlign w:val="bottom"/>
          </w:tcPr>
          <w:p w14:paraId="6610C739"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3.00</w:t>
            </w:r>
          </w:p>
        </w:tc>
      </w:tr>
      <w:tr w:rsidR="00A3021A" w:rsidRPr="00701439" w14:paraId="6AFE664E" w14:textId="77777777">
        <w:tc>
          <w:tcPr>
            <w:tcW w:w="7513" w:type="dxa"/>
            <w:vAlign w:val="bottom"/>
          </w:tcPr>
          <w:p w14:paraId="1EF012DC"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Inflationary increases to pensions in deferment</w:t>
            </w:r>
          </w:p>
        </w:tc>
        <w:tc>
          <w:tcPr>
            <w:tcW w:w="1276" w:type="dxa"/>
            <w:tcBorders>
              <w:top w:val="nil"/>
              <w:left w:val="nil"/>
              <w:right w:val="nil"/>
            </w:tcBorders>
            <w:vAlign w:val="bottom"/>
          </w:tcPr>
          <w:p w14:paraId="7B104714"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2.75</w:t>
            </w:r>
          </w:p>
        </w:tc>
        <w:tc>
          <w:tcPr>
            <w:tcW w:w="1134" w:type="dxa"/>
            <w:tcBorders>
              <w:top w:val="nil"/>
              <w:left w:val="nil"/>
              <w:right w:val="nil"/>
            </w:tcBorders>
            <w:vAlign w:val="bottom"/>
          </w:tcPr>
          <w:p w14:paraId="3A83BD35"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3.00</w:t>
            </w:r>
          </w:p>
        </w:tc>
      </w:tr>
      <w:tr w:rsidR="00A3021A" w:rsidRPr="00701439" w14:paraId="42B8C62E" w14:textId="77777777">
        <w:tc>
          <w:tcPr>
            <w:tcW w:w="7513" w:type="dxa"/>
            <w:vAlign w:val="bottom"/>
          </w:tcPr>
          <w:p w14:paraId="3CA7A630"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Discount rate</w:t>
            </w:r>
          </w:p>
        </w:tc>
        <w:tc>
          <w:tcPr>
            <w:tcW w:w="1276" w:type="dxa"/>
            <w:tcBorders>
              <w:left w:val="nil"/>
              <w:bottom w:val="single" w:sz="12" w:space="0" w:color="auto"/>
              <w:right w:val="nil"/>
            </w:tcBorders>
            <w:vAlign w:val="bottom"/>
          </w:tcPr>
          <w:p w14:paraId="069F4FFD"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4.80</w:t>
            </w:r>
          </w:p>
        </w:tc>
        <w:tc>
          <w:tcPr>
            <w:tcW w:w="1134" w:type="dxa"/>
            <w:tcBorders>
              <w:left w:val="nil"/>
              <w:bottom w:val="single" w:sz="12" w:space="0" w:color="auto"/>
              <w:right w:val="nil"/>
            </w:tcBorders>
            <w:vAlign w:val="bottom"/>
          </w:tcPr>
          <w:p w14:paraId="28CC5A81"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1.85</w:t>
            </w:r>
          </w:p>
        </w:tc>
      </w:tr>
    </w:tbl>
    <w:p w14:paraId="459798D8" w14:textId="77777777" w:rsidR="00A3021A" w:rsidRPr="00701439" w:rsidRDefault="00A3021A" w:rsidP="00A3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sz w:val="20"/>
          <w:szCs w:val="20"/>
        </w:rPr>
      </w:pPr>
    </w:p>
    <w:p w14:paraId="63CF70E8" w14:textId="77777777" w:rsidR="00A3021A" w:rsidRPr="00701439" w:rsidRDefault="00A3021A" w:rsidP="00A3021A">
      <w:pPr>
        <w:autoSpaceDE w:val="0"/>
        <w:autoSpaceDN w:val="0"/>
        <w:adjustRightInd w:val="0"/>
        <w:jc w:val="both"/>
        <w:rPr>
          <w:rFonts w:asciiTheme="minorHAnsi" w:hAnsiTheme="minorHAnsi" w:cs="Poppins-Light"/>
          <w:sz w:val="20"/>
          <w:szCs w:val="20"/>
        </w:rPr>
      </w:pPr>
      <w:r w:rsidRPr="00701439">
        <w:rPr>
          <w:rFonts w:asciiTheme="minorHAnsi" w:hAnsiTheme="minorHAnsi" w:cs="Poppins-Light"/>
          <w:sz w:val="20"/>
          <w:szCs w:val="20"/>
        </w:rPr>
        <w:t>The mortality assumptions are based on the self-administered pension scheme (SAPS) series 3 tables (2021: SAPS series 2 tables):</w:t>
      </w:r>
    </w:p>
    <w:p w14:paraId="282B5757" w14:textId="77777777" w:rsidR="00A3021A" w:rsidRPr="00701439" w:rsidRDefault="00A3021A" w:rsidP="00A3021A">
      <w:pPr>
        <w:autoSpaceDE w:val="0"/>
        <w:autoSpaceDN w:val="0"/>
        <w:adjustRightInd w:val="0"/>
        <w:jc w:val="both"/>
        <w:rPr>
          <w:rFonts w:asciiTheme="minorHAnsi" w:hAnsiTheme="minorHAnsi" w:cs="Poppins-Light"/>
          <w:sz w:val="20"/>
          <w:szCs w:val="20"/>
        </w:rPr>
      </w:pPr>
    </w:p>
    <w:p w14:paraId="21C25D07" w14:textId="77777777" w:rsidR="00A3021A" w:rsidRPr="00701439" w:rsidRDefault="00A3021A" w:rsidP="00A3021A">
      <w:pPr>
        <w:pStyle w:val="ListParagraph"/>
        <w:numPr>
          <w:ilvl w:val="0"/>
          <w:numId w:val="41"/>
        </w:numPr>
        <w:autoSpaceDE w:val="0"/>
        <w:autoSpaceDN w:val="0"/>
        <w:adjustRightInd w:val="0"/>
        <w:jc w:val="both"/>
        <w:rPr>
          <w:rFonts w:asciiTheme="minorHAnsi" w:hAnsiTheme="minorHAnsi" w:cs="Poppins-Light"/>
          <w:sz w:val="20"/>
          <w:szCs w:val="20"/>
        </w:rPr>
      </w:pPr>
      <w:r w:rsidRPr="00701439">
        <w:rPr>
          <w:rFonts w:asciiTheme="minorHAnsi" w:hAnsiTheme="minorHAnsi" w:cs="Poppins-Light"/>
          <w:sz w:val="20"/>
          <w:szCs w:val="20"/>
        </w:rPr>
        <w:t>female non-pensioners: 105% of the ‘Middle’ table (2021: 101% of the ‘All’ table</w:t>
      </w:r>
      <w:proofErr w:type="gramStart"/>
      <w:r w:rsidRPr="00701439">
        <w:rPr>
          <w:rFonts w:asciiTheme="minorHAnsi" w:hAnsiTheme="minorHAnsi" w:cs="Poppins-Light"/>
          <w:sz w:val="20"/>
          <w:szCs w:val="20"/>
        </w:rPr>
        <w:t>);</w:t>
      </w:r>
      <w:proofErr w:type="gramEnd"/>
    </w:p>
    <w:p w14:paraId="3877A6C4" w14:textId="77777777" w:rsidR="00A3021A" w:rsidRPr="00701439" w:rsidRDefault="00A3021A" w:rsidP="00A3021A">
      <w:pPr>
        <w:pStyle w:val="ListParagraph"/>
        <w:numPr>
          <w:ilvl w:val="0"/>
          <w:numId w:val="41"/>
        </w:numPr>
        <w:autoSpaceDE w:val="0"/>
        <w:autoSpaceDN w:val="0"/>
        <w:adjustRightInd w:val="0"/>
        <w:jc w:val="both"/>
        <w:rPr>
          <w:rFonts w:asciiTheme="minorHAnsi" w:hAnsiTheme="minorHAnsi" w:cs="Poppins-Light"/>
          <w:sz w:val="20"/>
          <w:szCs w:val="20"/>
        </w:rPr>
      </w:pPr>
      <w:r w:rsidRPr="00701439">
        <w:rPr>
          <w:rFonts w:asciiTheme="minorHAnsi" w:hAnsiTheme="minorHAnsi" w:cs="Poppins-Light"/>
          <w:sz w:val="20"/>
          <w:szCs w:val="20"/>
        </w:rPr>
        <w:t>male non-pensioners: 105% of the ‘Middle’ table (2021: 96% of the ‘All’ table</w:t>
      </w:r>
      <w:proofErr w:type="gramStart"/>
      <w:r w:rsidRPr="00701439">
        <w:rPr>
          <w:rFonts w:asciiTheme="minorHAnsi" w:hAnsiTheme="minorHAnsi" w:cs="Poppins-Light"/>
          <w:sz w:val="20"/>
          <w:szCs w:val="20"/>
        </w:rPr>
        <w:t>);</w:t>
      </w:r>
      <w:proofErr w:type="gramEnd"/>
    </w:p>
    <w:p w14:paraId="61458325" w14:textId="77777777" w:rsidR="00A3021A" w:rsidRPr="00701439" w:rsidRDefault="00A3021A" w:rsidP="00A3021A">
      <w:pPr>
        <w:pStyle w:val="ListParagraph"/>
        <w:numPr>
          <w:ilvl w:val="0"/>
          <w:numId w:val="41"/>
        </w:numPr>
        <w:autoSpaceDE w:val="0"/>
        <w:autoSpaceDN w:val="0"/>
        <w:adjustRightInd w:val="0"/>
        <w:jc w:val="both"/>
        <w:rPr>
          <w:rFonts w:asciiTheme="minorHAnsi" w:hAnsiTheme="minorHAnsi" w:cs="Poppins-Light"/>
          <w:sz w:val="20"/>
          <w:szCs w:val="20"/>
        </w:rPr>
      </w:pPr>
      <w:r w:rsidRPr="00701439">
        <w:rPr>
          <w:rFonts w:asciiTheme="minorHAnsi" w:hAnsiTheme="minorHAnsi" w:cs="Poppins-Light"/>
          <w:sz w:val="20"/>
          <w:szCs w:val="20"/>
        </w:rPr>
        <w:t>female pensioners: 102% of the ‘Middle’ table (2021: 101% of the ‘All’ table); and</w:t>
      </w:r>
    </w:p>
    <w:p w14:paraId="42C50965" w14:textId="77777777" w:rsidR="00A3021A" w:rsidRPr="00701439" w:rsidRDefault="00A3021A" w:rsidP="00A3021A">
      <w:pPr>
        <w:pStyle w:val="ListParagraph"/>
        <w:numPr>
          <w:ilvl w:val="0"/>
          <w:numId w:val="41"/>
        </w:numPr>
        <w:autoSpaceDE w:val="0"/>
        <w:autoSpaceDN w:val="0"/>
        <w:adjustRightInd w:val="0"/>
        <w:jc w:val="both"/>
        <w:rPr>
          <w:rFonts w:asciiTheme="minorHAnsi" w:hAnsiTheme="minorHAnsi" w:cs="Poppins-Light"/>
          <w:sz w:val="20"/>
          <w:szCs w:val="20"/>
        </w:rPr>
      </w:pPr>
      <w:r w:rsidRPr="00701439">
        <w:rPr>
          <w:rFonts w:asciiTheme="minorHAnsi" w:hAnsiTheme="minorHAnsi" w:cs="Poppins-Light"/>
          <w:sz w:val="20"/>
          <w:szCs w:val="20"/>
        </w:rPr>
        <w:t>male pensioners: 99% of the ‘All’ table (2021: 96% of the ‘All’ table).</w:t>
      </w:r>
    </w:p>
    <w:p w14:paraId="1C063133" w14:textId="77777777" w:rsidR="00A3021A" w:rsidRPr="00701439" w:rsidRDefault="00A3021A" w:rsidP="00A3021A">
      <w:pPr>
        <w:pStyle w:val="ListParagraph"/>
        <w:autoSpaceDE w:val="0"/>
        <w:autoSpaceDN w:val="0"/>
        <w:adjustRightInd w:val="0"/>
        <w:jc w:val="both"/>
        <w:rPr>
          <w:rFonts w:asciiTheme="minorHAnsi" w:hAnsiTheme="minorHAnsi" w:cs="Poppins-Light"/>
          <w:sz w:val="20"/>
          <w:szCs w:val="20"/>
        </w:rPr>
      </w:pPr>
    </w:p>
    <w:p w14:paraId="349A2C46" w14:textId="77777777" w:rsidR="00A3021A" w:rsidRPr="00701439" w:rsidRDefault="00A3021A" w:rsidP="00A3021A">
      <w:pPr>
        <w:autoSpaceDE w:val="0"/>
        <w:autoSpaceDN w:val="0"/>
        <w:adjustRightInd w:val="0"/>
        <w:jc w:val="both"/>
        <w:rPr>
          <w:rFonts w:asciiTheme="minorHAnsi" w:hAnsiTheme="minorHAnsi" w:cs="Poppins-Light"/>
          <w:sz w:val="20"/>
          <w:szCs w:val="20"/>
        </w:rPr>
      </w:pPr>
      <w:r w:rsidRPr="00701439">
        <w:rPr>
          <w:rFonts w:asciiTheme="minorHAnsi" w:hAnsiTheme="minorHAnsi" w:cs="Poppins-Light"/>
          <w:sz w:val="20"/>
          <w:szCs w:val="20"/>
        </w:rPr>
        <w:t>The above multipliers and table types were chosen following a study of the scheme’s membership. Where the multiplier is greater than 100%, this reflects a shorter life expectancy within the scheme compared to average pension schemes, with the opposite being true where the multiplier is less than 100%. Also, the use of the ‘Middle’ table typically leads to slightly lower life expectancy compared to using the corresponding ‘All’ table.</w:t>
      </w:r>
    </w:p>
    <w:p w14:paraId="19A13C7E" w14:textId="77777777" w:rsidR="00A3021A" w:rsidRPr="00701439" w:rsidRDefault="00A3021A" w:rsidP="00A3021A">
      <w:pPr>
        <w:autoSpaceDE w:val="0"/>
        <w:autoSpaceDN w:val="0"/>
        <w:adjustRightInd w:val="0"/>
        <w:jc w:val="both"/>
        <w:rPr>
          <w:rFonts w:asciiTheme="minorHAnsi" w:hAnsiTheme="minorHAnsi" w:cs="Poppins-Light"/>
          <w:sz w:val="20"/>
          <w:szCs w:val="20"/>
        </w:rPr>
      </w:pPr>
    </w:p>
    <w:p w14:paraId="599A770D" w14:textId="77777777" w:rsidR="00A3021A" w:rsidRPr="00701439" w:rsidRDefault="00A3021A" w:rsidP="00A3021A">
      <w:pPr>
        <w:autoSpaceDE w:val="0"/>
        <w:autoSpaceDN w:val="0"/>
        <w:adjustRightInd w:val="0"/>
        <w:jc w:val="both"/>
        <w:rPr>
          <w:rStyle w:val="bodycopynumber"/>
          <w:rFonts w:asciiTheme="minorHAnsi" w:hAnsiTheme="minorHAnsi" w:cs="Poppins-Light"/>
          <w:sz w:val="20"/>
          <w:szCs w:val="20"/>
        </w:rPr>
      </w:pPr>
      <w:r w:rsidRPr="00701439">
        <w:rPr>
          <w:rFonts w:asciiTheme="minorHAnsi" w:hAnsiTheme="minorHAnsi" w:cs="Poppins-Light"/>
          <w:sz w:val="20"/>
          <w:szCs w:val="20"/>
        </w:rPr>
        <w:t>Future improvements in mortality are based on the Continuous Mortality Investigation (CMI) 2021 model with a long-term improvement trend of 1.00% per annum and a modest allowance (5%) for the experience during 2020 and 2021 (where mortality was higher due to coronavirus, which leads to lower assumed future improvements in mortality). All other available parameters for the mortality improvements model were adopted at the default (core) level. Under these mortality assumptions, the life expectancies of members are as follows:</w:t>
      </w:r>
    </w:p>
    <w:tbl>
      <w:tblPr>
        <w:tblW w:w="9915" w:type="dxa"/>
        <w:tblInd w:w="8" w:type="dxa"/>
        <w:tblLayout w:type="fixed"/>
        <w:tblLook w:val="0000" w:firstRow="0" w:lastRow="0" w:firstColumn="0" w:lastColumn="0" w:noHBand="0" w:noVBand="0"/>
      </w:tblPr>
      <w:tblGrid>
        <w:gridCol w:w="4387"/>
        <w:gridCol w:w="1382"/>
        <w:gridCol w:w="1311"/>
        <w:gridCol w:w="71"/>
        <w:gridCol w:w="1382"/>
        <w:gridCol w:w="1382"/>
      </w:tblGrid>
      <w:tr w:rsidR="00A3021A" w:rsidRPr="00701439" w14:paraId="35534454" w14:textId="77777777">
        <w:tc>
          <w:tcPr>
            <w:tcW w:w="4387" w:type="dxa"/>
            <w:tcBorders>
              <w:top w:val="nil"/>
              <w:left w:val="nil"/>
              <w:bottom w:val="nil"/>
              <w:right w:val="nil"/>
            </w:tcBorders>
            <w:vAlign w:val="bottom"/>
          </w:tcPr>
          <w:p w14:paraId="15D6204A" w14:textId="77777777" w:rsidR="00A3021A" w:rsidRPr="00701439" w:rsidRDefault="00A3021A">
            <w:pPr>
              <w:rPr>
                <w:rFonts w:asciiTheme="minorHAnsi" w:hAnsiTheme="minorHAnsi" w:cs="Arial"/>
                <w:sz w:val="20"/>
                <w:szCs w:val="20"/>
              </w:rPr>
            </w:pPr>
          </w:p>
        </w:tc>
        <w:tc>
          <w:tcPr>
            <w:tcW w:w="2693" w:type="dxa"/>
            <w:gridSpan w:val="2"/>
            <w:tcBorders>
              <w:top w:val="nil"/>
              <w:left w:val="nil"/>
              <w:bottom w:val="nil"/>
              <w:right w:val="nil"/>
            </w:tcBorders>
          </w:tcPr>
          <w:p w14:paraId="52A1864E" w14:textId="77777777" w:rsidR="00A3021A" w:rsidRPr="00701439" w:rsidRDefault="00A3021A">
            <w:pPr>
              <w:jc w:val="center"/>
              <w:rPr>
                <w:rFonts w:asciiTheme="minorHAnsi" w:hAnsiTheme="minorHAnsi" w:cs="Arial"/>
                <w:sz w:val="20"/>
                <w:szCs w:val="20"/>
              </w:rPr>
            </w:pPr>
            <w:r w:rsidRPr="00701439">
              <w:rPr>
                <w:rFonts w:asciiTheme="minorHAnsi" w:hAnsiTheme="minorHAnsi" w:cs="Arial"/>
                <w:sz w:val="20"/>
                <w:szCs w:val="20"/>
              </w:rPr>
              <w:t xml:space="preserve">                   Male</w:t>
            </w:r>
          </w:p>
        </w:tc>
        <w:tc>
          <w:tcPr>
            <w:tcW w:w="2835" w:type="dxa"/>
            <w:gridSpan w:val="3"/>
            <w:tcBorders>
              <w:top w:val="nil"/>
              <w:left w:val="nil"/>
              <w:bottom w:val="nil"/>
              <w:right w:val="nil"/>
            </w:tcBorders>
          </w:tcPr>
          <w:p w14:paraId="19AA4CDC" w14:textId="77777777" w:rsidR="00A3021A" w:rsidRPr="00701439" w:rsidRDefault="00A3021A">
            <w:pPr>
              <w:jc w:val="center"/>
              <w:rPr>
                <w:rFonts w:asciiTheme="minorHAnsi" w:hAnsiTheme="minorHAnsi" w:cs="Arial"/>
                <w:sz w:val="20"/>
                <w:szCs w:val="20"/>
              </w:rPr>
            </w:pPr>
            <w:r w:rsidRPr="00701439">
              <w:rPr>
                <w:rFonts w:asciiTheme="minorHAnsi" w:hAnsiTheme="minorHAnsi" w:cs="Arial"/>
                <w:sz w:val="20"/>
                <w:szCs w:val="20"/>
              </w:rPr>
              <w:t xml:space="preserve">                 Female</w:t>
            </w:r>
          </w:p>
        </w:tc>
      </w:tr>
      <w:tr w:rsidR="00A3021A" w:rsidRPr="00701439" w14:paraId="34A31AE0" w14:textId="77777777">
        <w:tc>
          <w:tcPr>
            <w:tcW w:w="4387" w:type="dxa"/>
            <w:tcBorders>
              <w:top w:val="nil"/>
              <w:left w:val="nil"/>
              <w:bottom w:val="nil"/>
              <w:right w:val="nil"/>
            </w:tcBorders>
            <w:vAlign w:val="bottom"/>
          </w:tcPr>
          <w:p w14:paraId="56710B07" w14:textId="77777777" w:rsidR="00A3021A" w:rsidRPr="00701439" w:rsidRDefault="00A3021A">
            <w:pPr>
              <w:rPr>
                <w:rFonts w:asciiTheme="minorHAnsi" w:hAnsiTheme="minorHAnsi" w:cs="Arial"/>
                <w:sz w:val="20"/>
                <w:szCs w:val="20"/>
              </w:rPr>
            </w:pPr>
          </w:p>
        </w:tc>
        <w:tc>
          <w:tcPr>
            <w:tcW w:w="1382" w:type="dxa"/>
            <w:tcBorders>
              <w:top w:val="nil"/>
              <w:left w:val="nil"/>
              <w:bottom w:val="nil"/>
              <w:right w:val="nil"/>
            </w:tcBorders>
          </w:tcPr>
          <w:p w14:paraId="49C0F471" w14:textId="77777777" w:rsidR="00A3021A" w:rsidRPr="00701439" w:rsidRDefault="00A3021A">
            <w:pPr>
              <w:ind w:left="-108"/>
              <w:jc w:val="right"/>
              <w:rPr>
                <w:rFonts w:asciiTheme="minorHAnsi" w:hAnsiTheme="minorHAnsi" w:cs="Arial"/>
                <w:sz w:val="20"/>
                <w:szCs w:val="20"/>
              </w:rPr>
            </w:pPr>
            <w:r w:rsidRPr="00701439">
              <w:rPr>
                <w:rFonts w:asciiTheme="minorHAnsi" w:hAnsiTheme="minorHAnsi" w:cs="Arial"/>
                <w:sz w:val="20"/>
                <w:szCs w:val="20"/>
              </w:rPr>
              <w:t>2022</w:t>
            </w:r>
          </w:p>
        </w:tc>
        <w:tc>
          <w:tcPr>
            <w:tcW w:w="1382" w:type="dxa"/>
            <w:gridSpan w:val="2"/>
            <w:tcBorders>
              <w:top w:val="nil"/>
              <w:left w:val="nil"/>
              <w:bottom w:val="nil"/>
              <w:right w:val="nil"/>
            </w:tcBorders>
            <w:vAlign w:val="bottom"/>
          </w:tcPr>
          <w:p w14:paraId="0A6E7848"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2021</w:t>
            </w:r>
          </w:p>
        </w:tc>
        <w:tc>
          <w:tcPr>
            <w:tcW w:w="1382" w:type="dxa"/>
            <w:tcBorders>
              <w:top w:val="nil"/>
              <w:left w:val="nil"/>
              <w:bottom w:val="nil"/>
              <w:right w:val="nil"/>
            </w:tcBorders>
          </w:tcPr>
          <w:p w14:paraId="4B0924D8"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2022</w:t>
            </w:r>
          </w:p>
        </w:tc>
        <w:tc>
          <w:tcPr>
            <w:tcW w:w="1382" w:type="dxa"/>
            <w:tcBorders>
              <w:top w:val="nil"/>
              <w:left w:val="nil"/>
              <w:bottom w:val="nil"/>
              <w:right w:val="nil"/>
            </w:tcBorders>
            <w:vAlign w:val="bottom"/>
          </w:tcPr>
          <w:p w14:paraId="38D73F45"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2021</w:t>
            </w:r>
          </w:p>
        </w:tc>
      </w:tr>
      <w:tr w:rsidR="00A3021A" w:rsidRPr="00701439" w14:paraId="464EB4E3" w14:textId="77777777">
        <w:tc>
          <w:tcPr>
            <w:tcW w:w="4387" w:type="dxa"/>
            <w:tcBorders>
              <w:top w:val="nil"/>
              <w:left w:val="nil"/>
              <w:bottom w:val="nil"/>
              <w:right w:val="nil"/>
            </w:tcBorders>
            <w:vAlign w:val="bottom"/>
          </w:tcPr>
          <w:p w14:paraId="704AD0EC" w14:textId="77777777" w:rsidR="00A3021A" w:rsidRPr="00701439" w:rsidRDefault="00A3021A">
            <w:pPr>
              <w:pStyle w:val="Heading5"/>
              <w:jc w:val="left"/>
              <w:rPr>
                <w:rFonts w:asciiTheme="minorHAnsi" w:hAnsiTheme="minorHAnsi" w:cs="Arial"/>
                <w:b w:val="0"/>
                <w:bCs/>
                <w:sz w:val="20"/>
              </w:rPr>
            </w:pPr>
          </w:p>
        </w:tc>
        <w:tc>
          <w:tcPr>
            <w:tcW w:w="1382" w:type="dxa"/>
            <w:tcBorders>
              <w:top w:val="nil"/>
              <w:left w:val="nil"/>
              <w:bottom w:val="single" w:sz="4" w:space="0" w:color="auto"/>
              <w:right w:val="nil"/>
            </w:tcBorders>
          </w:tcPr>
          <w:p w14:paraId="013DEDDE" w14:textId="77777777" w:rsidR="00A3021A" w:rsidRPr="00701439" w:rsidRDefault="00A3021A">
            <w:pPr>
              <w:ind w:left="-108"/>
              <w:jc w:val="right"/>
              <w:rPr>
                <w:rFonts w:asciiTheme="minorHAnsi" w:hAnsiTheme="minorHAnsi" w:cs="Arial"/>
                <w:sz w:val="20"/>
                <w:szCs w:val="20"/>
              </w:rPr>
            </w:pPr>
            <w:r w:rsidRPr="00701439">
              <w:rPr>
                <w:rFonts w:asciiTheme="minorHAnsi" w:hAnsiTheme="minorHAnsi" w:cs="Arial"/>
                <w:sz w:val="20"/>
                <w:szCs w:val="20"/>
              </w:rPr>
              <w:t>years</w:t>
            </w:r>
          </w:p>
        </w:tc>
        <w:tc>
          <w:tcPr>
            <w:tcW w:w="1382" w:type="dxa"/>
            <w:gridSpan w:val="2"/>
            <w:tcBorders>
              <w:top w:val="nil"/>
              <w:left w:val="nil"/>
              <w:bottom w:val="single" w:sz="4" w:space="0" w:color="auto"/>
              <w:right w:val="nil"/>
            </w:tcBorders>
            <w:vAlign w:val="bottom"/>
          </w:tcPr>
          <w:p w14:paraId="3FDB0224"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years</w:t>
            </w:r>
          </w:p>
        </w:tc>
        <w:tc>
          <w:tcPr>
            <w:tcW w:w="1382" w:type="dxa"/>
            <w:tcBorders>
              <w:top w:val="nil"/>
              <w:left w:val="nil"/>
              <w:bottom w:val="single" w:sz="4" w:space="0" w:color="auto"/>
              <w:right w:val="nil"/>
            </w:tcBorders>
          </w:tcPr>
          <w:p w14:paraId="4FEDE42A"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years</w:t>
            </w:r>
          </w:p>
        </w:tc>
        <w:tc>
          <w:tcPr>
            <w:tcW w:w="1382" w:type="dxa"/>
            <w:tcBorders>
              <w:top w:val="nil"/>
              <w:left w:val="nil"/>
              <w:bottom w:val="single" w:sz="4" w:space="0" w:color="auto"/>
              <w:right w:val="nil"/>
            </w:tcBorders>
            <w:vAlign w:val="bottom"/>
          </w:tcPr>
          <w:p w14:paraId="7456F054"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years</w:t>
            </w:r>
          </w:p>
        </w:tc>
      </w:tr>
      <w:tr w:rsidR="00A3021A" w:rsidRPr="00701439" w14:paraId="43AD8E5C" w14:textId="77777777">
        <w:tc>
          <w:tcPr>
            <w:tcW w:w="4387" w:type="dxa"/>
            <w:tcBorders>
              <w:top w:val="nil"/>
              <w:left w:val="nil"/>
              <w:bottom w:val="nil"/>
              <w:right w:val="nil"/>
            </w:tcBorders>
            <w:vAlign w:val="bottom"/>
          </w:tcPr>
          <w:p w14:paraId="547E315F"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 xml:space="preserve">Current pensioner aged 65 </w:t>
            </w:r>
          </w:p>
        </w:tc>
        <w:tc>
          <w:tcPr>
            <w:tcW w:w="1382" w:type="dxa"/>
            <w:tcBorders>
              <w:top w:val="single" w:sz="4" w:space="0" w:color="auto"/>
              <w:left w:val="nil"/>
              <w:bottom w:val="nil"/>
              <w:right w:val="nil"/>
            </w:tcBorders>
          </w:tcPr>
          <w:p w14:paraId="0838D93D" w14:textId="77777777" w:rsidR="00A3021A" w:rsidRPr="00701439" w:rsidRDefault="00A3021A">
            <w:pPr>
              <w:ind w:left="-108"/>
              <w:jc w:val="right"/>
              <w:rPr>
                <w:rFonts w:asciiTheme="minorHAnsi" w:hAnsiTheme="minorHAnsi" w:cs="Arial"/>
                <w:sz w:val="20"/>
                <w:szCs w:val="20"/>
              </w:rPr>
            </w:pPr>
            <w:r w:rsidRPr="00701439">
              <w:rPr>
                <w:rFonts w:asciiTheme="minorHAnsi" w:hAnsiTheme="minorHAnsi" w:cs="Arial"/>
                <w:sz w:val="20"/>
                <w:szCs w:val="20"/>
              </w:rPr>
              <w:t>21.7</w:t>
            </w:r>
          </w:p>
        </w:tc>
        <w:tc>
          <w:tcPr>
            <w:tcW w:w="1382" w:type="dxa"/>
            <w:gridSpan w:val="2"/>
            <w:tcBorders>
              <w:top w:val="single" w:sz="4" w:space="0" w:color="auto"/>
              <w:left w:val="nil"/>
              <w:bottom w:val="nil"/>
              <w:right w:val="nil"/>
            </w:tcBorders>
          </w:tcPr>
          <w:p w14:paraId="07F2B6D4"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21.7</w:t>
            </w:r>
          </w:p>
        </w:tc>
        <w:tc>
          <w:tcPr>
            <w:tcW w:w="1382" w:type="dxa"/>
            <w:tcBorders>
              <w:top w:val="single" w:sz="4" w:space="0" w:color="auto"/>
              <w:left w:val="nil"/>
              <w:bottom w:val="nil"/>
              <w:right w:val="nil"/>
            </w:tcBorders>
          </w:tcPr>
          <w:p w14:paraId="055CA94D"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23.3</w:t>
            </w:r>
          </w:p>
        </w:tc>
        <w:tc>
          <w:tcPr>
            <w:tcW w:w="1382" w:type="dxa"/>
            <w:tcBorders>
              <w:top w:val="single" w:sz="4" w:space="0" w:color="auto"/>
              <w:left w:val="nil"/>
              <w:bottom w:val="nil"/>
              <w:right w:val="nil"/>
            </w:tcBorders>
          </w:tcPr>
          <w:p w14:paraId="4ED7B0FC"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23.4</w:t>
            </w:r>
          </w:p>
        </w:tc>
      </w:tr>
      <w:tr w:rsidR="00A3021A" w:rsidRPr="00701439" w14:paraId="69BBA953" w14:textId="77777777">
        <w:tc>
          <w:tcPr>
            <w:tcW w:w="4387" w:type="dxa"/>
            <w:tcBorders>
              <w:top w:val="nil"/>
              <w:left w:val="nil"/>
              <w:bottom w:val="nil"/>
              <w:right w:val="nil"/>
            </w:tcBorders>
            <w:vAlign w:val="bottom"/>
          </w:tcPr>
          <w:p w14:paraId="743B3EF4"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Current member aged 45 from age 65</w:t>
            </w:r>
          </w:p>
        </w:tc>
        <w:tc>
          <w:tcPr>
            <w:tcW w:w="1382" w:type="dxa"/>
            <w:tcBorders>
              <w:top w:val="nil"/>
              <w:left w:val="nil"/>
              <w:bottom w:val="single" w:sz="4" w:space="0" w:color="auto"/>
              <w:right w:val="nil"/>
            </w:tcBorders>
          </w:tcPr>
          <w:p w14:paraId="1FEB072F" w14:textId="77777777" w:rsidR="00A3021A" w:rsidRPr="00701439" w:rsidRDefault="00A3021A">
            <w:pPr>
              <w:ind w:left="-108"/>
              <w:jc w:val="right"/>
              <w:rPr>
                <w:rFonts w:asciiTheme="minorHAnsi" w:hAnsiTheme="minorHAnsi" w:cs="Arial"/>
                <w:sz w:val="20"/>
                <w:szCs w:val="20"/>
              </w:rPr>
            </w:pPr>
            <w:r w:rsidRPr="00701439">
              <w:rPr>
                <w:rFonts w:asciiTheme="minorHAnsi" w:hAnsiTheme="minorHAnsi" w:cs="Arial"/>
                <w:sz w:val="20"/>
                <w:szCs w:val="20"/>
              </w:rPr>
              <w:t>21.6</w:t>
            </w:r>
          </w:p>
        </w:tc>
        <w:tc>
          <w:tcPr>
            <w:tcW w:w="1382" w:type="dxa"/>
            <w:gridSpan w:val="2"/>
            <w:tcBorders>
              <w:top w:val="nil"/>
              <w:left w:val="nil"/>
              <w:bottom w:val="single" w:sz="4" w:space="0" w:color="auto"/>
              <w:right w:val="nil"/>
            </w:tcBorders>
          </w:tcPr>
          <w:p w14:paraId="167F6953"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22.7</w:t>
            </w:r>
          </w:p>
        </w:tc>
        <w:tc>
          <w:tcPr>
            <w:tcW w:w="1382" w:type="dxa"/>
            <w:tcBorders>
              <w:top w:val="nil"/>
              <w:left w:val="nil"/>
              <w:bottom w:val="single" w:sz="4" w:space="0" w:color="auto"/>
              <w:right w:val="nil"/>
            </w:tcBorders>
          </w:tcPr>
          <w:p w14:paraId="30F84110" w14:textId="56E43A38"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w:t>
            </w:r>
            <w:r w:rsidR="00C05EC8" w:rsidRPr="00701439">
              <w:rPr>
                <w:rFonts w:asciiTheme="minorHAnsi" w:hAnsiTheme="minorHAnsi" w:cs="Arial"/>
                <w:sz w:val="20"/>
                <w:szCs w:val="20"/>
              </w:rPr>
              <w:t>4.3</w:t>
            </w:r>
          </w:p>
        </w:tc>
        <w:tc>
          <w:tcPr>
            <w:tcW w:w="1382" w:type="dxa"/>
            <w:tcBorders>
              <w:top w:val="nil"/>
              <w:left w:val="nil"/>
              <w:bottom w:val="single" w:sz="4" w:space="0" w:color="auto"/>
              <w:right w:val="nil"/>
            </w:tcBorders>
          </w:tcPr>
          <w:p w14:paraId="3EE4C739"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24.6</w:t>
            </w:r>
          </w:p>
        </w:tc>
      </w:tr>
    </w:tbl>
    <w:p w14:paraId="5F5BCA44" w14:textId="77777777" w:rsidR="00A3021A" w:rsidRPr="00701439" w:rsidRDefault="00A3021A" w:rsidP="00A3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sz w:val="20"/>
          <w:szCs w:val="20"/>
        </w:rPr>
      </w:pPr>
    </w:p>
    <w:p w14:paraId="5F6B68DE" w14:textId="75728E27" w:rsidR="00A3021A" w:rsidRPr="00701439" w:rsidRDefault="00A3021A" w:rsidP="00A3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sz w:val="20"/>
          <w:szCs w:val="20"/>
        </w:rPr>
      </w:pPr>
      <w:r w:rsidRPr="00701439">
        <w:rPr>
          <w:rFonts w:asciiTheme="minorHAnsi" w:hAnsiTheme="minorHAnsi" w:cs="Arial"/>
          <w:sz w:val="20"/>
          <w:szCs w:val="20"/>
        </w:rPr>
        <w:t xml:space="preserve">If the discount rate decreased by </w:t>
      </w:r>
      <w:r w:rsidR="004D58B2" w:rsidRPr="00701439">
        <w:rPr>
          <w:rFonts w:asciiTheme="minorHAnsi" w:hAnsiTheme="minorHAnsi" w:cs="Arial"/>
          <w:sz w:val="20"/>
          <w:szCs w:val="20"/>
        </w:rPr>
        <w:t>2</w:t>
      </w:r>
      <w:r w:rsidRPr="00701439">
        <w:rPr>
          <w:rFonts w:asciiTheme="minorHAnsi" w:hAnsiTheme="minorHAnsi" w:cs="Arial"/>
          <w:sz w:val="20"/>
          <w:szCs w:val="20"/>
        </w:rPr>
        <w:t>% (202</w:t>
      </w:r>
      <w:r w:rsidR="0083402E" w:rsidRPr="00701439">
        <w:rPr>
          <w:rFonts w:asciiTheme="minorHAnsi" w:hAnsiTheme="minorHAnsi" w:cs="Arial"/>
          <w:sz w:val="20"/>
          <w:szCs w:val="20"/>
        </w:rPr>
        <w:t>1</w:t>
      </w:r>
      <w:r w:rsidRPr="00701439">
        <w:rPr>
          <w:rFonts w:asciiTheme="minorHAnsi" w:hAnsiTheme="minorHAnsi" w:cs="Arial"/>
          <w:sz w:val="20"/>
          <w:szCs w:val="20"/>
        </w:rPr>
        <w:t>: 0.5%), the net retirement benefit asset would have been increased by approximately £</w:t>
      </w:r>
      <w:r w:rsidR="004B2D3C" w:rsidRPr="00701439">
        <w:rPr>
          <w:rFonts w:asciiTheme="minorHAnsi" w:hAnsiTheme="minorHAnsi" w:cs="Arial"/>
          <w:sz w:val="20"/>
          <w:szCs w:val="20"/>
        </w:rPr>
        <w:t>160</w:t>
      </w:r>
      <w:r w:rsidRPr="00701439">
        <w:rPr>
          <w:rFonts w:asciiTheme="minorHAnsi" w:hAnsiTheme="minorHAnsi" w:cs="Arial"/>
          <w:sz w:val="20"/>
          <w:szCs w:val="20"/>
        </w:rPr>
        <w:t>m (202</w:t>
      </w:r>
      <w:r w:rsidR="0083402E" w:rsidRPr="00701439">
        <w:rPr>
          <w:rFonts w:asciiTheme="minorHAnsi" w:hAnsiTheme="minorHAnsi" w:cs="Arial"/>
          <w:sz w:val="20"/>
          <w:szCs w:val="20"/>
        </w:rPr>
        <w:t>1</w:t>
      </w:r>
      <w:r w:rsidRPr="00701439">
        <w:rPr>
          <w:rFonts w:asciiTheme="minorHAnsi" w:hAnsiTheme="minorHAnsi" w:cs="Arial"/>
          <w:sz w:val="20"/>
          <w:szCs w:val="20"/>
        </w:rPr>
        <w:t>: £</w:t>
      </w:r>
      <w:r w:rsidR="00FC6F46" w:rsidRPr="00701439">
        <w:rPr>
          <w:rFonts w:asciiTheme="minorHAnsi" w:hAnsiTheme="minorHAnsi" w:cstheme="minorHAnsi"/>
          <w:sz w:val="20"/>
          <w:szCs w:val="20"/>
        </w:rPr>
        <w:t>64</w:t>
      </w:r>
      <w:r w:rsidRPr="00701439">
        <w:rPr>
          <w:rFonts w:asciiTheme="minorHAnsi" w:hAnsiTheme="minorHAnsi" w:cs="Arial"/>
          <w:sz w:val="20"/>
          <w:szCs w:val="20"/>
        </w:rPr>
        <w:t>m).</w:t>
      </w:r>
    </w:p>
    <w:p w14:paraId="36A30881" w14:textId="77777777" w:rsidR="00A3021A" w:rsidRPr="00701439" w:rsidRDefault="00A3021A" w:rsidP="00A3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sz w:val="20"/>
          <w:szCs w:val="20"/>
        </w:rPr>
      </w:pPr>
    </w:p>
    <w:p w14:paraId="2A77BA3C" w14:textId="77777777" w:rsidR="001B00C9" w:rsidRDefault="001B00C9" w:rsidP="00A3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bCs/>
          <w:sz w:val="20"/>
          <w:szCs w:val="20"/>
        </w:rPr>
      </w:pPr>
    </w:p>
    <w:p w14:paraId="2FFE5EA9" w14:textId="77777777" w:rsidR="001B00C9" w:rsidRDefault="001B00C9" w:rsidP="00A3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bCs/>
          <w:sz w:val="20"/>
          <w:szCs w:val="20"/>
        </w:rPr>
      </w:pPr>
    </w:p>
    <w:p w14:paraId="3A4AC9D0" w14:textId="77777777" w:rsidR="001B00C9" w:rsidRDefault="001B00C9" w:rsidP="00A3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bCs/>
          <w:sz w:val="20"/>
          <w:szCs w:val="20"/>
        </w:rPr>
      </w:pPr>
    </w:p>
    <w:p w14:paraId="25D8D27C" w14:textId="77777777" w:rsidR="005E7DED" w:rsidRPr="00701439" w:rsidRDefault="005E7DED" w:rsidP="005E7DED">
      <w:pPr>
        <w:rPr>
          <w:rFonts w:asciiTheme="minorHAnsi" w:hAnsiTheme="minorHAnsi" w:cs="Arial"/>
          <w:b/>
          <w:color w:val="4747FF"/>
          <w:sz w:val="22"/>
          <w:szCs w:val="22"/>
        </w:rPr>
      </w:pPr>
      <w:r w:rsidRPr="00701439">
        <w:rPr>
          <w:rFonts w:asciiTheme="minorHAnsi" w:hAnsiTheme="minorHAnsi" w:cs="Arial"/>
          <w:b/>
          <w:color w:val="4747FF"/>
          <w:sz w:val="22"/>
          <w:szCs w:val="22"/>
        </w:rPr>
        <w:lastRenderedPageBreak/>
        <w:t>11.</w:t>
      </w:r>
      <w:r w:rsidRPr="00701439">
        <w:rPr>
          <w:rFonts w:asciiTheme="minorHAnsi" w:hAnsiTheme="minorHAnsi" w:cs="Arial"/>
          <w:b/>
          <w:color w:val="4747FF"/>
          <w:sz w:val="22"/>
          <w:szCs w:val="22"/>
        </w:rPr>
        <w:tab/>
        <w:t>Retirement benefit asset (continued)</w:t>
      </w:r>
    </w:p>
    <w:p w14:paraId="603859DB" w14:textId="77777777" w:rsidR="005E7DED" w:rsidRDefault="005E7DED" w:rsidP="00A3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bCs/>
          <w:sz w:val="20"/>
          <w:szCs w:val="20"/>
        </w:rPr>
      </w:pPr>
    </w:p>
    <w:p w14:paraId="5066CAF3" w14:textId="77777777" w:rsidR="005E7DED" w:rsidRDefault="005E7DED" w:rsidP="00A3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bCs/>
          <w:sz w:val="20"/>
          <w:szCs w:val="20"/>
        </w:rPr>
      </w:pPr>
    </w:p>
    <w:p w14:paraId="278A205F" w14:textId="6CDC0989" w:rsidR="00A3021A" w:rsidRPr="00701439" w:rsidRDefault="00A3021A" w:rsidP="00A3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bCs/>
          <w:sz w:val="20"/>
          <w:szCs w:val="20"/>
        </w:rPr>
      </w:pPr>
      <w:r w:rsidRPr="00701439">
        <w:rPr>
          <w:rFonts w:asciiTheme="minorHAnsi" w:hAnsiTheme="minorHAnsi" w:cs="Arial"/>
          <w:bCs/>
          <w:sz w:val="20"/>
          <w:szCs w:val="20"/>
        </w:rPr>
        <w:t>An analysis of amounts recognised in the statement of comprehensive income is set out below:</w:t>
      </w:r>
    </w:p>
    <w:p w14:paraId="79089860" w14:textId="77777777" w:rsidR="00A3021A" w:rsidRPr="00701439" w:rsidRDefault="00A3021A" w:rsidP="00A3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bCs/>
          <w:sz w:val="20"/>
          <w:szCs w:val="20"/>
        </w:rPr>
      </w:pPr>
    </w:p>
    <w:tbl>
      <w:tblPr>
        <w:tblW w:w="9610" w:type="dxa"/>
        <w:tblLook w:val="0000" w:firstRow="0" w:lastRow="0" w:firstColumn="0" w:lastColumn="0" w:noHBand="0" w:noVBand="0"/>
      </w:tblPr>
      <w:tblGrid>
        <w:gridCol w:w="7200"/>
        <w:gridCol w:w="1221"/>
        <w:gridCol w:w="1189"/>
      </w:tblGrid>
      <w:tr w:rsidR="00A3021A" w:rsidRPr="00701439" w14:paraId="5B4BB45B" w14:textId="77777777">
        <w:tc>
          <w:tcPr>
            <w:tcW w:w="7200" w:type="dxa"/>
          </w:tcPr>
          <w:p w14:paraId="59CAA019" w14:textId="77777777" w:rsidR="00A3021A" w:rsidRPr="00701439" w:rsidRDefault="00A3021A">
            <w:pPr>
              <w:jc w:val="both"/>
              <w:rPr>
                <w:rFonts w:asciiTheme="minorHAnsi" w:hAnsiTheme="minorHAnsi" w:cs="Arial"/>
                <w:sz w:val="20"/>
                <w:szCs w:val="20"/>
              </w:rPr>
            </w:pPr>
          </w:p>
        </w:tc>
        <w:tc>
          <w:tcPr>
            <w:tcW w:w="1221" w:type="dxa"/>
          </w:tcPr>
          <w:p w14:paraId="4D6CB76C"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2022 </w:t>
            </w:r>
          </w:p>
        </w:tc>
        <w:tc>
          <w:tcPr>
            <w:tcW w:w="1189" w:type="dxa"/>
          </w:tcPr>
          <w:p w14:paraId="5EC589FE"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2021</w:t>
            </w:r>
          </w:p>
        </w:tc>
      </w:tr>
      <w:tr w:rsidR="00A3021A" w:rsidRPr="00701439" w14:paraId="16ADEB36" w14:textId="77777777">
        <w:tc>
          <w:tcPr>
            <w:tcW w:w="7200" w:type="dxa"/>
          </w:tcPr>
          <w:p w14:paraId="0252F429" w14:textId="77777777" w:rsidR="00A3021A" w:rsidRPr="00701439" w:rsidRDefault="00A3021A">
            <w:pPr>
              <w:pStyle w:val="Heading5"/>
              <w:overflowPunct/>
              <w:autoSpaceDE/>
              <w:adjustRightInd/>
              <w:rPr>
                <w:rFonts w:asciiTheme="minorHAnsi" w:hAnsiTheme="minorHAnsi" w:cs="Arial"/>
                <w:bCs/>
                <w:sz w:val="20"/>
              </w:rPr>
            </w:pPr>
          </w:p>
        </w:tc>
        <w:tc>
          <w:tcPr>
            <w:tcW w:w="1221" w:type="dxa"/>
            <w:tcBorders>
              <w:top w:val="nil"/>
              <w:left w:val="nil"/>
              <w:bottom w:val="single" w:sz="4" w:space="0" w:color="auto"/>
              <w:right w:val="nil"/>
            </w:tcBorders>
          </w:tcPr>
          <w:p w14:paraId="436D67FD"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£m </w:t>
            </w:r>
          </w:p>
        </w:tc>
        <w:tc>
          <w:tcPr>
            <w:tcW w:w="1189" w:type="dxa"/>
            <w:tcBorders>
              <w:top w:val="nil"/>
              <w:left w:val="nil"/>
              <w:bottom w:val="single" w:sz="4" w:space="0" w:color="auto"/>
              <w:right w:val="nil"/>
            </w:tcBorders>
          </w:tcPr>
          <w:p w14:paraId="573B3D5D"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£m </w:t>
            </w:r>
          </w:p>
        </w:tc>
      </w:tr>
      <w:tr w:rsidR="00A3021A" w:rsidRPr="00701439" w14:paraId="34C279CB" w14:textId="77777777">
        <w:tc>
          <w:tcPr>
            <w:tcW w:w="7200" w:type="dxa"/>
            <w:vAlign w:val="bottom"/>
          </w:tcPr>
          <w:p w14:paraId="2925229A" w14:textId="77777777" w:rsidR="00A3021A" w:rsidRPr="00701439" w:rsidRDefault="00A3021A">
            <w:pPr>
              <w:tabs>
                <w:tab w:val="right" w:pos="4680"/>
              </w:tabs>
              <w:rPr>
                <w:rFonts w:asciiTheme="minorHAnsi" w:hAnsiTheme="minorHAnsi" w:cs="Arial"/>
                <w:sz w:val="20"/>
                <w:szCs w:val="20"/>
              </w:rPr>
            </w:pPr>
            <w:r w:rsidRPr="00701439">
              <w:rPr>
                <w:rFonts w:asciiTheme="minorHAnsi" w:hAnsiTheme="minorHAnsi" w:cs="Arial"/>
                <w:sz w:val="20"/>
                <w:szCs w:val="20"/>
              </w:rPr>
              <w:t>Actuarial movements on scheme assets</w:t>
            </w:r>
          </w:p>
        </w:tc>
        <w:tc>
          <w:tcPr>
            <w:tcW w:w="1221" w:type="dxa"/>
            <w:tcBorders>
              <w:top w:val="single" w:sz="4" w:space="0" w:color="auto"/>
              <w:left w:val="nil"/>
              <w:bottom w:val="nil"/>
              <w:right w:val="nil"/>
            </w:tcBorders>
            <w:vAlign w:val="bottom"/>
          </w:tcPr>
          <w:p w14:paraId="10AD3954"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(366.2)</w:t>
            </w:r>
          </w:p>
        </w:tc>
        <w:tc>
          <w:tcPr>
            <w:tcW w:w="1189" w:type="dxa"/>
            <w:tcBorders>
              <w:top w:val="single" w:sz="4" w:space="0" w:color="auto"/>
              <w:left w:val="nil"/>
              <w:bottom w:val="nil"/>
              <w:right w:val="nil"/>
            </w:tcBorders>
            <w:vAlign w:val="bottom"/>
          </w:tcPr>
          <w:p w14:paraId="607CF4A6"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(20.2)</w:t>
            </w:r>
          </w:p>
        </w:tc>
      </w:tr>
      <w:tr w:rsidR="00A3021A" w:rsidRPr="00701439" w14:paraId="43DA7D10" w14:textId="77777777">
        <w:tc>
          <w:tcPr>
            <w:tcW w:w="7200" w:type="dxa"/>
            <w:vAlign w:val="bottom"/>
          </w:tcPr>
          <w:p w14:paraId="23C73365" w14:textId="77777777" w:rsidR="00A3021A" w:rsidRPr="00701439" w:rsidRDefault="00A3021A">
            <w:pPr>
              <w:tabs>
                <w:tab w:val="right" w:pos="4680"/>
              </w:tabs>
              <w:rPr>
                <w:rFonts w:asciiTheme="minorHAnsi" w:hAnsiTheme="minorHAnsi" w:cs="Arial"/>
                <w:sz w:val="20"/>
                <w:szCs w:val="20"/>
              </w:rPr>
            </w:pPr>
            <w:r w:rsidRPr="00701439">
              <w:rPr>
                <w:rFonts w:asciiTheme="minorHAnsi" w:hAnsiTheme="minorHAnsi" w:cs="Arial"/>
                <w:sz w:val="20"/>
                <w:szCs w:val="20"/>
              </w:rPr>
              <w:t>Actuarial movements on scheme liabilities</w:t>
            </w:r>
          </w:p>
        </w:tc>
        <w:tc>
          <w:tcPr>
            <w:tcW w:w="1221" w:type="dxa"/>
            <w:tcBorders>
              <w:top w:val="nil"/>
              <w:left w:val="nil"/>
              <w:bottom w:val="single" w:sz="4" w:space="0" w:color="auto"/>
              <w:right w:val="nil"/>
            </w:tcBorders>
            <w:vAlign w:val="bottom"/>
          </w:tcPr>
          <w:p w14:paraId="2C0B6A95"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282.0</w:t>
            </w:r>
          </w:p>
        </w:tc>
        <w:tc>
          <w:tcPr>
            <w:tcW w:w="1189" w:type="dxa"/>
            <w:tcBorders>
              <w:top w:val="nil"/>
              <w:left w:val="nil"/>
              <w:bottom w:val="single" w:sz="4" w:space="0" w:color="auto"/>
              <w:right w:val="nil"/>
            </w:tcBorders>
            <w:vAlign w:val="bottom"/>
          </w:tcPr>
          <w:p w14:paraId="4D049525"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47.3</w:t>
            </w:r>
          </w:p>
        </w:tc>
      </w:tr>
      <w:tr w:rsidR="00A3021A" w:rsidRPr="00701439" w14:paraId="6F7B6D17" w14:textId="77777777">
        <w:tc>
          <w:tcPr>
            <w:tcW w:w="7200" w:type="dxa"/>
            <w:vAlign w:val="bottom"/>
          </w:tcPr>
          <w:p w14:paraId="2FFCB9BD" w14:textId="77777777" w:rsidR="00A3021A" w:rsidRPr="00701439" w:rsidRDefault="00A3021A">
            <w:pPr>
              <w:tabs>
                <w:tab w:val="right" w:pos="4680"/>
              </w:tabs>
              <w:rPr>
                <w:rFonts w:asciiTheme="minorHAnsi" w:hAnsiTheme="minorHAnsi" w:cs="Arial"/>
                <w:b/>
                <w:sz w:val="20"/>
                <w:szCs w:val="20"/>
              </w:rPr>
            </w:pPr>
            <w:r w:rsidRPr="00701439">
              <w:rPr>
                <w:rFonts w:asciiTheme="minorHAnsi" w:hAnsiTheme="minorHAnsi" w:cs="Arial"/>
                <w:b/>
                <w:sz w:val="20"/>
                <w:szCs w:val="20"/>
              </w:rPr>
              <w:t>Actuarial movements recognised in the statement of comprehensive income in the year</w:t>
            </w:r>
          </w:p>
        </w:tc>
        <w:tc>
          <w:tcPr>
            <w:tcW w:w="1221" w:type="dxa"/>
            <w:tcBorders>
              <w:top w:val="single" w:sz="4" w:space="0" w:color="auto"/>
              <w:left w:val="nil"/>
              <w:bottom w:val="single" w:sz="4" w:space="0" w:color="auto"/>
              <w:right w:val="nil"/>
            </w:tcBorders>
            <w:vAlign w:val="bottom"/>
          </w:tcPr>
          <w:p w14:paraId="0D6E42DB"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(84.2)</w:t>
            </w:r>
          </w:p>
        </w:tc>
        <w:tc>
          <w:tcPr>
            <w:tcW w:w="1189" w:type="dxa"/>
            <w:tcBorders>
              <w:top w:val="single" w:sz="4" w:space="0" w:color="auto"/>
              <w:left w:val="nil"/>
              <w:bottom w:val="single" w:sz="4" w:space="0" w:color="auto"/>
              <w:right w:val="nil"/>
            </w:tcBorders>
            <w:vAlign w:val="bottom"/>
          </w:tcPr>
          <w:p w14:paraId="5A079211"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27.1</w:t>
            </w:r>
          </w:p>
        </w:tc>
      </w:tr>
      <w:tr w:rsidR="00A3021A" w:rsidRPr="00701439" w14:paraId="1C74D856" w14:textId="77777777">
        <w:tc>
          <w:tcPr>
            <w:tcW w:w="7200" w:type="dxa"/>
            <w:vAlign w:val="bottom"/>
          </w:tcPr>
          <w:p w14:paraId="6D15002B" w14:textId="77777777" w:rsidR="00A3021A" w:rsidRPr="00701439" w:rsidRDefault="00A3021A">
            <w:pPr>
              <w:tabs>
                <w:tab w:val="right" w:pos="4680"/>
              </w:tabs>
              <w:rPr>
                <w:rFonts w:asciiTheme="minorHAnsi" w:hAnsiTheme="minorHAnsi" w:cs="Arial"/>
                <w:b/>
                <w:sz w:val="20"/>
                <w:szCs w:val="20"/>
              </w:rPr>
            </w:pPr>
            <w:r w:rsidRPr="00701439">
              <w:rPr>
                <w:rFonts w:asciiTheme="minorHAnsi" w:hAnsiTheme="minorHAnsi" w:cs="Poppins-Regular"/>
                <w:b/>
                <w:sz w:val="20"/>
                <w:szCs w:val="20"/>
              </w:rPr>
              <w:t>Cumulative movement recognised in other comprehensive income</w:t>
            </w:r>
          </w:p>
        </w:tc>
        <w:tc>
          <w:tcPr>
            <w:tcW w:w="1221" w:type="dxa"/>
            <w:tcBorders>
              <w:top w:val="single" w:sz="4" w:space="0" w:color="auto"/>
              <w:left w:val="nil"/>
              <w:bottom w:val="single" w:sz="12" w:space="0" w:color="auto"/>
              <w:right w:val="nil"/>
            </w:tcBorders>
            <w:vAlign w:val="bottom"/>
          </w:tcPr>
          <w:p w14:paraId="59B4525A" w14:textId="46C46E4C" w:rsidR="00A3021A" w:rsidRPr="00701439" w:rsidRDefault="0020461D">
            <w:pPr>
              <w:jc w:val="right"/>
              <w:rPr>
                <w:rFonts w:asciiTheme="minorHAnsi" w:hAnsiTheme="minorHAnsi" w:cs="Arial"/>
                <w:sz w:val="20"/>
                <w:szCs w:val="20"/>
              </w:rPr>
            </w:pPr>
            <w:r w:rsidRPr="00701439">
              <w:rPr>
                <w:rFonts w:asciiTheme="minorHAnsi" w:hAnsiTheme="minorHAnsi" w:cs="Arial"/>
                <w:sz w:val="20"/>
                <w:szCs w:val="20"/>
              </w:rPr>
              <w:t>(154.7)</w:t>
            </w:r>
          </w:p>
        </w:tc>
        <w:tc>
          <w:tcPr>
            <w:tcW w:w="1189" w:type="dxa"/>
            <w:tcBorders>
              <w:top w:val="single" w:sz="4" w:space="0" w:color="auto"/>
              <w:left w:val="nil"/>
              <w:bottom w:val="single" w:sz="12" w:space="0" w:color="auto"/>
              <w:right w:val="nil"/>
            </w:tcBorders>
            <w:vAlign w:val="bottom"/>
          </w:tcPr>
          <w:p w14:paraId="75C833B7"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(70.5)</w:t>
            </w:r>
          </w:p>
        </w:tc>
      </w:tr>
    </w:tbl>
    <w:p w14:paraId="499C2199" w14:textId="77777777" w:rsidR="00A3021A" w:rsidRPr="00701439" w:rsidRDefault="00A3021A" w:rsidP="00A3021A">
      <w:pPr>
        <w:rPr>
          <w:rFonts w:asciiTheme="minorHAnsi" w:hAnsiTheme="minorHAnsi" w:cs="Arial"/>
          <w:b/>
          <w:bCs/>
          <w:sz w:val="20"/>
          <w:szCs w:val="20"/>
        </w:rPr>
      </w:pPr>
    </w:p>
    <w:p w14:paraId="23924EFB" w14:textId="77777777" w:rsidR="00A3021A" w:rsidRPr="00701439" w:rsidRDefault="00A3021A" w:rsidP="00A3021A">
      <w:pPr>
        <w:ind w:left="567" w:hanging="567"/>
        <w:jc w:val="both"/>
        <w:rPr>
          <w:rFonts w:asciiTheme="minorHAnsi" w:hAnsiTheme="minorHAnsi" w:cs="Arial"/>
          <w:b/>
          <w:color w:val="4747FF"/>
          <w:sz w:val="22"/>
          <w:szCs w:val="22"/>
        </w:rPr>
      </w:pPr>
    </w:p>
    <w:p w14:paraId="3EECACBB" w14:textId="77777777" w:rsidR="00A3021A" w:rsidRPr="00701439" w:rsidRDefault="00A3021A" w:rsidP="00A3021A">
      <w:pPr>
        <w:ind w:left="567" w:hanging="567"/>
        <w:jc w:val="both"/>
        <w:rPr>
          <w:rFonts w:asciiTheme="minorHAnsi" w:hAnsiTheme="minorHAnsi" w:cs="Arial"/>
          <w:b/>
          <w:color w:val="4747FF"/>
          <w:sz w:val="22"/>
          <w:szCs w:val="22"/>
        </w:rPr>
      </w:pPr>
      <w:r w:rsidRPr="00701439">
        <w:rPr>
          <w:rFonts w:asciiTheme="minorHAnsi" w:hAnsiTheme="minorHAnsi" w:cs="Arial"/>
          <w:b/>
          <w:color w:val="4747FF"/>
          <w:sz w:val="22"/>
          <w:szCs w:val="22"/>
        </w:rPr>
        <w:t xml:space="preserve">12.     </w:t>
      </w:r>
      <w:r w:rsidRPr="00701439">
        <w:rPr>
          <w:rFonts w:asciiTheme="minorHAnsi" w:hAnsiTheme="minorHAnsi" w:cs="Arial"/>
          <w:b/>
          <w:color w:val="4747FF"/>
          <w:sz w:val="22"/>
          <w:szCs w:val="22"/>
        </w:rPr>
        <w:tab/>
        <w:t>Provisions</w:t>
      </w:r>
    </w:p>
    <w:tbl>
      <w:tblPr>
        <w:tblW w:w="14883" w:type="dxa"/>
        <w:tblLook w:val="0000" w:firstRow="0" w:lastRow="0" w:firstColumn="0" w:lastColumn="0" w:noHBand="0" w:noVBand="0"/>
      </w:tblPr>
      <w:tblGrid>
        <w:gridCol w:w="3544"/>
        <w:gridCol w:w="1276"/>
        <w:gridCol w:w="992"/>
        <w:gridCol w:w="851"/>
        <w:gridCol w:w="1134"/>
        <w:gridCol w:w="992"/>
        <w:gridCol w:w="1016"/>
        <w:gridCol w:w="18"/>
        <w:gridCol w:w="2530"/>
        <w:gridCol w:w="2530"/>
      </w:tblGrid>
      <w:tr w:rsidR="00A3021A" w:rsidRPr="00701439" w14:paraId="338A073F" w14:textId="77777777">
        <w:trPr>
          <w:trHeight w:val="249"/>
        </w:trPr>
        <w:tc>
          <w:tcPr>
            <w:tcW w:w="3544" w:type="dxa"/>
          </w:tcPr>
          <w:p w14:paraId="7E0CADB5" w14:textId="77777777" w:rsidR="00A3021A" w:rsidRPr="00701439" w:rsidRDefault="00A3021A">
            <w:pPr>
              <w:rPr>
                <w:rFonts w:asciiTheme="minorHAnsi" w:hAnsiTheme="minorHAnsi" w:cs="Arial"/>
                <w:sz w:val="20"/>
                <w:szCs w:val="20"/>
              </w:rPr>
            </w:pPr>
          </w:p>
        </w:tc>
        <w:tc>
          <w:tcPr>
            <w:tcW w:w="3119" w:type="dxa"/>
            <w:gridSpan w:val="3"/>
          </w:tcPr>
          <w:p w14:paraId="4770E553" w14:textId="1ECAB023" w:rsidR="00A3021A" w:rsidRPr="00701439" w:rsidRDefault="00A3021A" w:rsidP="00DF7EDD">
            <w:pPr>
              <w:jc w:val="center"/>
              <w:rPr>
                <w:rFonts w:asciiTheme="minorHAnsi" w:hAnsiTheme="minorHAnsi" w:cs="Arial"/>
                <w:sz w:val="20"/>
                <w:szCs w:val="20"/>
              </w:rPr>
            </w:pPr>
            <w:r w:rsidRPr="00701439">
              <w:rPr>
                <w:rFonts w:asciiTheme="minorHAnsi" w:hAnsiTheme="minorHAnsi" w:cs="Arial"/>
                <w:sz w:val="20"/>
                <w:szCs w:val="20"/>
              </w:rPr>
              <w:t>2022</w:t>
            </w:r>
          </w:p>
        </w:tc>
        <w:tc>
          <w:tcPr>
            <w:tcW w:w="3160" w:type="dxa"/>
            <w:gridSpan w:val="4"/>
          </w:tcPr>
          <w:p w14:paraId="511A82A2" w14:textId="77777777" w:rsidR="00A3021A" w:rsidRPr="00701439" w:rsidRDefault="00A3021A">
            <w:pPr>
              <w:jc w:val="center"/>
              <w:rPr>
                <w:rFonts w:asciiTheme="minorHAnsi" w:hAnsiTheme="minorHAnsi" w:cs="Arial"/>
                <w:sz w:val="20"/>
                <w:szCs w:val="20"/>
              </w:rPr>
            </w:pPr>
            <w:r w:rsidRPr="00701439">
              <w:rPr>
                <w:rFonts w:asciiTheme="minorHAnsi" w:hAnsiTheme="minorHAnsi" w:cs="Arial"/>
                <w:sz w:val="20"/>
                <w:szCs w:val="20"/>
              </w:rPr>
              <w:t>2021 </w:t>
            </w:r>
          </w:p>
        </w:tc>
        <w:tc>
          <w:tcPr>
            <w:tcW w:w="2530" w:type="dxa"/>
          </w:tcPr>
          <w:p w14:paraId="011266C2" w14:textId="77777777" w:rsidR="00A3021A" w:rsidRPr="00701439" w:rsidRDefault="00A3021A">
            <w:pPr>
              <w:jc w:val="center"/>
              <w:rPr>
                <w:rFonts w:asciiTheme="minorHAnsi" w:hAnsiTheme="minorHAnsi" w:cs="Arial"/>
                <w:sz w:val="20"/>
                <w:szCs w:val="20"/>
              </w:rPr>
            </w:pPr>
          </w:p>
        </w:tc>
        <w:tc>
          <w:tcPr>
            <w:tcW w:w="2530" w:type="dxa"/>
          </w:tcPr>
          <w:p w14:paraId="39FCD527" w14:textId="77777777" w:rsidR="00A3021A" w:rsidRPr="00701439" w:rsidRDefault="00A3021A">
            <w:pPr>
              <w:jc w:val="center"/>
              <w:rPr>
                <w:rFonts w:asciiTheme="minorHAnsi" w:hAnsiTheme="minorHAnsi" w:cs="Arial"/>
                <w:sz w:val="20"/>
                <w:szCs w:val="20"/>
              </w:rPr>
            </w:pPr>
          </w:p>
        </w:tc>
      </w:tr>
      <w:tr w:rsidR="00A3021A" w:rsidRPr="00701439" w14:paraId="210E782E" w14:textId="77777777">
        <w:trPr>
          <w:gridAfter w:val="3"/>
          <w:wAfter w:w="5078" w:type="dxa"/>
          <w:trHeight w:val="176"/>
        </w:trPr>
        <w:tc>
          <w:tcPr>
            <w:tcW w:w="3544" w:type="dxa"/>
            <w:vAlign w:val="bottom"/>
          </w:tcPr>
          <w:p w14:paraId="5BA74413" w14:textId="77777777" w:rsidR="00A3021A" w:rsidRPr="00701439" w:rsidRDefault="00A3021A">
            <w:pPr>
              <w:rPr>
                <w:rFonts w:asciiTheme="minorHAnsi" w:hAnsiTheme="minorHAnsi" w:cs="Arial"/>
                <w:sz w:val="20"/>
                <w:szCs w:val="20"/>
              </w:rPr>
            </w:pPr>
          </w:p>
        </w:tc>
        <w:tc>
          <w:tcPr>
            <w:tcW w:w="1276" w:type="dxa"/>
            <w:tcBorders>
              <w:top w:val="single" w:sz="4" w:space="0" w:color="auto"/>
              <w:bottom w:val="single" w:sz="4" w:space="0" w:color="auto"/>
            </w:tcBorders>
          </w:tcPr>
          <w:p w14:paraId="3AEB7B6C"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Scheme</w:t>
            </w:r>
          </w:p>
          <w:p w14:paraId="76EAB500"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£m</w:t>
            </w:r>
          </w:p>
        </w:tc>
        <w:tc>
          <w:tcPr>
            <w:tcW w:w="992" w:type="dxa"/>
            <w:tcBorders>
              <w:top w:val="single" w:sz="4" w:space="0" w:color="auto"/>
              <w:bottom w:val="single" w:sz="4" w:space="0" w:color="auto"/>
            </w:tcBorders>
          </w:tcPr>
          <w:p w14:paraId="252EA7E1"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Others</w:t>
            </w:r>
          </w:p>
          <w:p w14:paraId="09EB255A"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£m</w:t>
            </w:r>
          </w:p>
        </w:tc>
        <w:tc>
          <w:tcPr>
            <w:tcW w:w="851" w:type="dxa"/>
            <w:tcBorders>
              <w:top w:val="single" w:sz="4" w:space="0" w:color="auto"/>
              <w:bottom w:val="single" w:sz="4" w:space="0" w:color="auto"/>
            </w:tcBorders>
            <w:vAlign w:val="bottom"/>
          </w:tcPr>
          <w:p w14:paraId="1D04B388"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Total</w:t>
            </w:r>
          </w:p>
          <w:p w14:paraId="586826F8"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£m</w:t>
            </w:r>
          </w:p>
        </w:tc>
        <w:tc>
          <w:tcPr>
            <w:tcW w:w="1134" w:type="dxa"/>
            <w:tcBorders>
              <w:top w:val="single" w:sz="4" w:space="0" w:color="auto"/>
              <w:bottom w:val="single" w:sz="4" w:space="0" w:color="auto"/>
            </w:tcBorders>
            <w:vAlign w:val="bottom"/>
          </w:tcPr>
          <w:p w14:paraId="2EABEBA2"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Scheme £m</w:t>
            </w:r>
          </w:p>
        </w:tc>
        <w:tc>
          <w:tcPr>
            <w:tcW w:w="992" w:type="dxa"/>
            <w:tcBorders>
              <w:top w:val="single" w:sz="4" w:space="0" w:color="auto"/>
              <w:bottom w:val="single" w:sz="4" w:space="0" w:color="auto"/>
            </w:tcBorders>
            <w:vAlign w:val="bottom"/>
          </w:tcPr>
          <w:p w14:paraId="147B8324"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Others</w:t>
            </w:r>
          </w:p>
          <w:p w14:paraId="6162B506"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£m</w:t>
            </w:r>
          </w:p>
        </w:tc>
        <w:tc>
          <w:tcPr>
            <w:tcW w:w="1016" w:type="dxa"/>
            <w:tcBorders>
              <w:top w:val="single" w:sz="4" w:space="0" w:color="auto"/>
              <w:bottom w:val="single" w:sz="4" w:space="0" w:color="auto"/>
            </w:tcBorders>
            <w:vAlign w:val="bottom"/>
          </w:tcPr>
          <w:p w14:paraId="22C782D2"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Total</w:t>
            </w:r>
          </w:p>
          <w:p w14:paraId="5AF26B62"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£m</w:t>
            </w:r>
          </w:p>
        </w:tc>
      </w:tr>
      <w:tr w:rsidR="00A3021A" w:rsidRPr="00701439" w14:paraId="5AB74D09" w14:textId="77777777">
        <w:trPr>
          <w:gridAfter w:val="3"/>
          <w:wAfter w:w="5078" w:type="dxa"/>
          <w:trHeight w:val="176"/>
        </w:trPr>
        <w:tc>
          <w:tcPr>
            <w:tcW w:w="3544" w:type="dxa"/>
            <w:vAlign w:val="bottom"/>
          </w:tcPr>
          <w:p w14:paraId="43252D90" w14:textId="77777777" w:rsidR="00A3021A" w:rsidRPr="00701439" w:rsidRDefault="00A3021A">
            <w:pPr>
              <w:rPr>
                <w:rFonts w:asciiTheme="minorHAnsi" w:hAnsiTheme="minorHAnsi" w:cs="Arial"/>
                <w:sz w:val="20"/>
                <w:szCs w:val="20"/>
              </w:rPr>
            </w:pPr>
            <w:proofErr w:type="gramStart"/>
            <w:r w:rsidRPr="00701439">
              <w:rPr>
                <w:rFonts w:asciiTheme="minorHAnsi" w:hAnsiTheme="minorHAnsi" w:cs="Arial"/>
                <w:sz w:val="20"/>
                <w:szCs w:val="20"/>
              </w:rPr>
              <w:t>At</w:t>
            </w:r>
            <w:proofErr w:type="gramEnd"/>
            <w:r w:rsidRPr="00701439">
              <w:rPr>
                <w:rFonts w:asciiTheme="minorHAnsi" w:hAnsiTheme="minorHAnsi" w:cs="Arial"/>
                <w:sz w:val="20"/>
                <w:szCs w:val="20"/>
              </w:rPr>
              <w:t xml:space="preserve"> 1 January</w:t>
            </w:r>
          </w:p>
        </w:tc>
        <w:tc>
          <w:tcPr>
            <w:tcW w:w="1276" w:type="dxa"/>
            <w:tcBorders>
              <w:top w:val="single" w:sz="4" w:space="0" w:color="auto"/>
            </w:tcBorders>
          </w:tcPr>
          <w:p w14:paraId="0451D7A4"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53.5</w:t>
            </w:r>
          </w:p>
        </w:tc>
        <w:tc>
          <w:tcPr>
            <w:tcW w:w="992" w:type="dxa"/>
            <w:tcBorders>
              <w:top w:val="single" w:sz="4" w:space="0" w:color="auto"/>
            </w:tcBorders>
          </w:tcPr>
          <w:p w14:paraId="52CA5863"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18.6</w:t>
            </w:r>
          </w:p>
        </w:tc>
        <w:tc>
          <w:tcPr>
            <w:tcW w:w="851" w:type="dxa"/>
            <w:tcBorders>
              <w:top w:val="single" w:sz="4" w:space="0" w:color="auto"/>
            </w:tcBorders>
            <w:vAlign w:val="bottom"/>
          </w:tcPr>
          <w:p w14:paraId="37ADB571"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72.1</w:t>
            </w:r>
          </w:p>
        </w:tc>
        <w:tc>
          <w:tcPr>
            <w:tcW w:w="1134" w:type="dxa"/>
            <w:tcBorders>
              <w:top w:val="single" w:sz="4" w:space="0" w:color="auto"/>
            </w:tcBorders>
          </w:tcPr>
          <w:p w14:paraId="1E1683F9"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65.0</w:t>
            </w:r>
          </w:p>
        </w:tc>
        <w:tc>
          <w:tcPr>
            <w:tcW w:w="992" w:type="dxa"/>
            <w:tcBorders>
              <w:top w:val="single" w:sz="4" w:space="0" w:color="auto"/>
            </w:tcBorders>
          </w:tcPr>
          <w:p w14:paraId="60D1ABB7"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26.0</w:t>
            </w:r>
          </w:p>
        </w:tc>
        <w:tc>
          <w:tcPr>
            <w:tcW w:w="1016" w:type="dxa"/>
            <w:tcBorders>
              <w:top w:val="single" w:sz="4" w:space="0" w:color="auto"/>
            </w:tcBorders>
            <w:vAlign w:val="bottom"/>
          </w:tcPr>
          <w:p w14:paraId="66B57786" w14:textId="77777777" w:rsidR="00A3021A" w:rsidRPr="00701439" w:rsidRDefault="00A3021A">
            <w:pPr>
              <w:jc w:val="right"/>
              <w:rPr>
                <w:rFonts w:asciiTheme="minorHAnsi" w:hAnsiTheme="minorHAnsi" w:cs="Arial"/>
                <w:color w:val="FF0000"/>
                <w:sz w:val="20"/>
                <w:szCs w:val="20"/>
              </w:rPr>
            </w:pPr>
            <w:r w:rsidRPr="00701439">
              <w:rPr>
                <w:rFonts w:asciiTheme="minorHAnsi" w:hAnsiTheme="minorHAnsi" w:cs="Arial"/>
                <w:sz w:val="20"/>
                <w:szCs w:val="20"/>
              </w:rPr>
              <w:t>91.0</w:t>
            </w:r>
          </w:p>
        </w:tc>
      </w:tr>
      <w:tr w:rsidR="00A3021A" w:rsidRPr="00701439" w14:paraId="2C82953E" w14:textId="77777777">
        <w:trPr>
          <w:gridAfter w:val="3"/>
          <w:wAfter w:w="5078" w:type="dxa"/>
          <w:trHeight w:val="176"/>
        </w:trPr>
        <w:tc>
          <w:tcPr>
            <w:tcW w:w="3544" w:type="dxa"/>
            <w:vAlign w:val="bottom"/>
          </w:tcPr>
          <w:p w14:paraId="451327B0" w14:textId="77777777" w:rsidR="00A3021A" w:rsidRPr="00701439" w:rsidRDefault="00A3021A">
            <w:pPr>
              <w:tabs>
                <w:tab w:val="right" w:pos="4680"/>
              </w:tabs>
              <w:rPr>
                <w:rFonts w:asciiTheme="minorHAnsi" w:hAnsiTheme="minorHAnsi" w:cs="Arial"/>
                <w:sz w:val="20"/>
                <w:szCs w:val="20"/>
              </w:rPr>
            </w:pPr>
            <w:r w:rsidRPr="00701439">
              <w:rPr>
                <w:rFonts w:asciiTheme="minorHAnsi" w:hAnsiTheme="minorHAnsi" w:cs="Arial"/>
                <w:sz w:val="20"/>
                <w:szCs w:val="20"/>
              </w:rPr>
              <w:t>Created in the year</w:t>
            </w:r>
          </w:p>
        </w:tc>
        <w:tc>
          <w:tcPr>
            <w:tcW w:w="1276" w:type="dxa"/>
          </w:tcPr>
          <w:p w14:paraId="0AE6677A"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2.6</w:t>
            </w:r>
          </w:p>
        </w:tc>
        <w:tc>
          <w:tcPr>
            <w:tcW w:w="992" w:type="dxa"/>
          </w:tcPr>
          <w:p w14:paraId="441C734F"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1.1</w:t>
            </w:r>
          </w:p>
        </w:tc>
        <w:tc>
          <w:tcPr>
            <w:tcW w:w="851" w:type="dxa"/>
            <w:vAlign w:val="bottom"/>
          </w:tcPr>
          <w:p w14:paraId="12807C30"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3.7</w:t>
            </w:r>
          </w:p>
        </w:tc>
        <w:tc>
          <w:tcPr>
            <w:tcW w:w="1134" w:type="dxa"/>
          </w:tcPr>
          <w:p w14:paraId="6628F2C9"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5.0</w:t>
            </w:r>
          </w:p>
        </w:tc>
        <w:tc>
          <w:tcPr>
            <w:tcW w:w="992" w:type="dxa"/>
          </w:tcPr>
          <w:p w14:paraId="4BF6EF72"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17.4</w:t>
            </w:r>
          </w:p>
        </w:tc>
        <w:tc>
          <w:tcPr>
            <w:tcW w:w="1016" w:type="dxa"/>
            <w:vAlign w:val="bottom"/>
          </w:tcPr>
          <w:p w14:paraId="5B4CCDDE"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22.4</w:t>
            </w:r>
          </w:p>
        </w:tc>
      </w:tr>
      <w:tr w:rsidR="00A3021A" w:rsidRPr="00701439" w14:paraId="0E8F941C" w14:textId="77777777">
        <w:trPr>
          <w:gridAfter w:val="3"/>
          <w:wAfter w:w="5078" w:type="dxa"/>
          <w:trHeight w:val="176"/>
        </w:trPr>
        <w:tc>
          <w:tcPr>
            <w:tcW w:w="3544" w:type="dxa"/>
            <w:vAlign w:val="bottom"/>
          </w:tcPr>
          <w:p w14:paraId="28A42BF7" w14:textId="77777777" w:rsidR="00A3021A" w:rsidRPr="00701439" w:rsidRDefault="00A3021A">
            <w:pPr>
              <w:tabs>
                <w:tab w:val="right" w:pos="4680"/>
              </w:tabs>
              <w:rPr>
                <w:rFonts w:asciiTheme="minorHAnsi" w:hAnsiTheme="minorHAnsi" w:cs="Arial"/>
                <w:sz w:val="20"/>
                <w:szCs w:val="20"/>
              </w:rPr>
            </w:pPr>
            <w:r w:rsidRPr="00701439">
              <w:rPr>
                <w:rFonts w:asciiTheme="minorHAnsi" w:hAnsiTheme="minorHAnsi" w:cs="Arial"/>
                <w:sz w:val="20"/>
                <w:szCs w:val="20"/>
              </w:rPr>
              <w:t>Reclassified in the year</w:t>
            </w:r>
          </w:p>
        </w:tc>
        <w:tc>
          <w:tcPr>
            <w:tcW w:w="1276" w:type="dxa"/>
          </w:tcPr>
          <w:p w14:paraId="3D375E4D"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c>
          <w:tcPr>
            <w:tcW w:w="992" w:type="dxa"/>
          </w:tcPr>
          <w:p w14:paraId="102972F6" w14:textId="673E26B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w:t>
            </w:r>
            <w:r w:rsidR="00961279" w:rsidRPr="00701439">
              <w:rPr>
                <w:rFonts w:asciiTheme="minorHAnsi" w:hAnsiTheme="minorHAnsi" w:cs="Arial"/>
                <w:sz w:val="20"/>
                <w:szCs w:val="20"/>
              </w:rPr>
              <w:t>6</w:t>
            </w:r>
          </w:p>
        </w:tc>
        <w:tc>
          <w:tcPr>
            <w:tcW w:w="851" w:type="dxa"/>
            <w:vAlign w:val="bottom"/>
          </w:tcPr>
          <w:p w14:paraId="212C09AE" w14:textId="56602554"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w:t>
            </w:r>
            <w:r w:rsidR="00961279" w:rsidRPr="00701439">
              <w:rPr>
                <w:rFonts w:asciiTheme="minorHAnsi" w:hAnsiTheme="minorHAnsi" w:cs="Arial"/>
                <w:sz w:val="20"/>
                <w:szCs w:val="20"/>
              </w:rPr>
              <w:t>6</w:t>
            </w:r>
          </w:p>
        </w:tc>
        <w:tc>
          <w:tcPr>
            <w:tcW w:w="1134" w:type="dxa"/>
          </w:tcPr>
          <w:p w14:paraId="317C2889"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c>
          <w:tcPr>
            <w:tcW w:w="992" w:type="dxa"/>
          </w:tcPr>
          <w:p w14:paraId="032BDED3"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c>
          <w:tcPr>
            <w:tcW w:w="1016" w:type="dxa"/>
            <w:vAlign w:val="bottom"/>
          </w:tcPr>
          <w:p w14:paraId="450FE9F7"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r>
      <w:tr w:rsidR="00A3021A" w:rsidRPr="00701439" w14:paraId="07EF7E55" w14:textId="77777777">
        <w:trPr>
          <w:gridAfter w:val="3"/>
          <w:wAfter w:w="5078" w:type="dxa"/>
          <w:trHeight w:val="176"/>
        </w:trPr>
        <w:tc>
          <w:tcPr>
            <w:tcW w:w="3544" w:type="dxa"/>
            <w:vAlign w:val="bottom"/>
          </w:tcPr>
          <w:p w14:paraId="3531A574" w14:textId="77777777" w:rsidR="00A3021A" w:rsidRPr="00701439" w:rsidRDefault="00A3021A">
            <w:pPr>
              <w:tabs>
                <w:tab w:val="right" w:pos="4680"/>
              </w:tabs>
              <w:rPr>
                <w:rFonts w:asciiTheme="minorHAnsi" w:hAnsiTheme="minorHAnsi" w:cs="Arial"/>
                <w:sz w:val="20"/>
                <w:szCs w:val="20"/>
              </w:rPr>
            </w:pPr>
            <w:r w:rsidRPr="00701439">
              <w:rPr>
                <w:rFonts w:asciiTheme="minorHAnsi" w:hAnsiTheme="minorHAnsi" w:cs="Arial"/>
                <w:sz w:val="20"/>
                <w:szCs w:val="20"/>
              </w:rPr>
              <w:t xml:space="preserve">Utilised in the year </w:t>
            </w:r>
          </w:p>
        </w:tc>
        <w:tc>
          <w:tcPr>
            <w:tcW w:w="1276" w:type="dxa"/>
          </w:tcPr>
          <w:p w14:paraId="4CA51E38" w14:textId="4184E21B"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(5</w:t>
            </w:r>
            <w:r w:rsidR="00961279" w:rsidRPr="00701439">
              <w:rPr>
                <w:rFonts w:asciiTheme="minorHAnsi" w:hAnsiTheme="minorHAnsi" w:cs="Arial"/>
                <w:sz w:val="20"/>
                <w:szCs w:val="20"/>
              </w:rPr>
              <w:t>4.9</w:t>
            </w:r>
            <w:r w:rsidRPr="00701439">
              <w:rPr>
                <w:rFonts w:asciiTheme="minorHAnsi" w:hAnsiTheme="minorHAnsi" w:cs="Arial"/>
                <w:sz w:val="20"/>
                <w:szCs w:val="20"/>
              </w:rPr>
              <w:t>)</w:t>
            </w:r>
          </w:p>
        </w:tc>
        <w:tc>
          <w:tcPr>
            <w:tcW w:w="992" w:type="dxa"/>
          </w:tcPr>
          <w:p w14:paraId="75852454"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(9.1)</w:t>
            </w:r>
          </w:p>
        </w:tc>
        <w:tc>
          <w:tcPr>
            <w:tcW w:w="851" w:type="dxa"/>
            <w:vAlign w:val="bottom"/>
          </w:tcPr>
          <w:p w14:paraId="0FCFB07E" w14:textId="21E2F070"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(64.</w:t>
            </w:r>
            <w:r w:rsidR="00961279" w:rsidRPr="00701439">
              <w:rPr>
                <w:rFonts w:asciiTheme="minorHAnsi" w:hAnsiTheme="minorHAnsi" w:cs="Arial"/>
                <w:sz w:val="20"/>
                <w:szCs w:val="20"/>
              </w:rPr>
              <w:t>0</w:t>
            </w:r>
            <w:r w:rsidRPr="00701439">
              <w:rPr>
                <w:rFonts w:asciiTheme="minorHAnsi" w:hAnsiTheme="minorHAnsi" w:cs="Arial"/>
                <w:sz w:val="20"/>
                <w:szCs w:val="20"/>
              </w:rPr>
              <w:t>)</w:t>
            </w:r>
          </w:p>
        </w:tc>
        <w:tc>
          <w:tcPr>
            <w:tcW w:w="1134" w:type="dxa"/>
          </w:tcPr>
          <w:p w14:paraId="2DB27C8F"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(16.5)</w:t>
            </w:r>
          </w:p>
        </w:tc>
        <w:tc>
          <w:tcPr>
            <w:tcW w:w="992" w:type="dxa"/>
          </w:tcPr>
          <w:p w14:paraId="336148ED"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(24.8)</w:t>
            </w:r>
          </w:p>
        </w:tc>
        <w:tc>
          <w:tcPr>
            <w:tcW w:w="1016" w:type="dxa"/>
            <w:vAlign w:val="bottom"/>
          </w:tcPr>
          <w:p w14:paraId="363770CF"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(41.3)</w:t>
            </w:r>
          </w:p>
        </w:tc>
      </w:tr>
      <w:tr w:rsidR="00A3021A" w:rsidRPr="00701439" w14:paraId="43F1FCCC" w14:textId="77777777">
        <w:trPr>
          <w:gridAfter w:val="3"/>
          <w:wAfter w:w="5078" w:type="dxa"/>
          <w:trHeight w:val="193"/>
        </w:trPr>
        <w:tc>
          <w:tcPr>
            <w:tcW w:w="3544" w:type="dxa"/>
            <w:vAlign w:val="bottom"/>
          </w:tcPr>
          <w:p w14:paraId="09CE4126" w14:textId="77777777" w:rsidR="00A3021A" w:rsidRPr="00701439" w:rsidRDefault="00A3021A">
            <w:pPr>
              <w:tabs>
                <w:tab w:val="right" w:pos="4680"/>
              </w:tabs>
              <w:rPr>
                <w:rFonts w:asciiTheme="minorHAnsi" w:hAnsiTheme="minorHAnsi" w:cs="Arial"/>
                <w:sz w:val="20"/>
                <w:szCs w:val="20"/>
              </w:rPr>
            </w:pPr>
            <w:r w:rsidRPr="00701439">
              <w:rPr>
                <w:rFonts w:asciiTheme="minorHAnsi" w:hAnsiTheme="minorHAnsi" w:cs="Arial"/>
                <w:sz w:val="20"/>
                <w:szCs w:val="20"/>
              </w:rPr>
              <w:t>Released in the year</w:t>
            </w:r>
          </w:p>
        </w:tc>
        <w:tc>
          <w:tcPr>
            <w:tcW w:w="1276" w:type="dxa"/>
            <w:tcBorders>
              <w:bottom w:val="single" w:sz="4" w:space="0" w:color="auto"/>
            </w:tcBorders>
          </w:tcPr>
          <w:p w14:paraId="48A6001B"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c>
          <w:tcPr>
            <w:tcW w:w="992" w:type="dxa"/>
          </w:tcPr>
          <w:p w14:paraId="235EF995"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(8.2)</w:t>
            </w:r>
          </w:p>
        </w:tc>
        <w:tc>
          <w:tcPr>
            <w:tcW w:w="851" w:type="dxa"/>
            <w:vAlign w:val="bottom"/>
          </w:tcPr>
          <w:p w14:paraId="0D998094"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(8.2)</w:t>
            </w:r>
          </w:p>
        </w:tc>
        <w:tc>
          <w:tcPr>
            <w:tcW w:w="1134" w:type="dxa"/>
          </w:tcPr>
          <w:p w14:paraId="54E67120"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c>
          <w:tcPr>
            <w:tcW w:w="992" w:type="dxa"/>
          </w:tcPr>
          <w:p w14:paraId="278EBDC8"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c>
          <w:tcPr>
            <w:tcW w:w="1016" w:type="dxa"/>
            <w:vAlign w:val="bottom"/>
          </w:tcPr>
          <w:p w14:paraId="2A135D60"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r>
      <w:tr w:rsidR="00A3021A" w:rsidRPr="00701439" w14:paraId="3A701A38" w14:textId="77777777">
        <w:trPr>
          <w:gridAfter w:val="3"/>
          <w:wAfter w:w="5078" w:type="dxa"/>
          <w:trHeight w:val="176"/>
        </w:trPr>
        <w:tc>
          <w:tcPr>
            <w:tcW w:w="3544" w:type="dxa"/>
            <w:vAlign w:val="bottom"/>
          </w:tcPr>
          <w:p w14:paraId="357BFE8B" w14:textId="77777777" w:rsidR="00A3021A" w:rsidRPr="00701439" w:rsidRDefault="00A3021A">
            <w:pPr>
              <w:rPr>
                <w:rFonts w:asciiTheme="minorHAnsi" w:hAnsiTheme="minorHAnsi" w:cs="Arial"/>
                <w:sz w:val="20"/>
                <w:szCs w:val="20"/>
                <w:lang w:val="en-US"/>
              </w:rPr>
            </w:pPr>
            <w:proofErr w:type="gramStart"/>
            <w:r w:rsidRPr="00701439">
              <w:rPr>
                <w:rFonts w:asciiTheme="minorHAnsi" w:hAnsiTheme="minorHAnsi" w:cs="Arial"/>
                <w:sz w:val="20"/>
                <w:szCs w:val="20"/>
                <w:lang w:val="en-US"/>
              </w:rPr>
              <w:t>At</w:t>
            </w:r>
            <w:proofErr w:type="gramEnd"/>
            <w:r w:rsidRPr="00701439">
              <w:rPr>
                <w:rFonts w:asciiTheme="minorHAnsi" w:hAnsiTheme="minorHAnsi" w:cs="Arial"/>
                <w:sz w:val="20"/>
                <w:szCs w:val="20"/>
                <w:lang w:val="en-US"/>
              </w:rPr>
              <w:t xml:space="preserve"> 31 December</w:t>
            </w:r>
          </w:p>
        </w:tc>
        <w:tc>
          <w:tcPr>
            <w:tcW w:w="1276" w:type="dxa"/>
            <w:tcBorders>
              <w:top w:val="single" w:sz="4" w:space="0" w:color="auto"/>
              <w:bottom w:val="single" w:sz="12" w:space="0" w:color="auto"/>
            </w:tcBorders>
          </w:tcPr>
          <w:p w14:paraId="70E0EB91" w14:textId="1A2ECF3B"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w:t>
            </w:r>
            <w:r w:rsidR="00961279" w:rsidRPr="00701439">
              <w:rPr>
                <w:rFonts w:asciiTheme="minorHAnsi" w:hAnsiTheme="minorHAnsi" w:cs="Arial"/>
                <w:sz w:val="20"/>
                <w:szCs w:val="20"/>
              </w:rPr>
              <w:t>2</w:t>
            </w:r>
          </w:p>
        </w:tc>
        <w:tc>
          <w:tcPr>
            <w:tcW w:w="992" w:type="dxa"/>
            <w:tcBorders>
              <w:top w:val="single" w:sz="4" w:space="0" w:color="auto"/>
              <w:bottom w:val="single" w:sz="12" w:space="0" w:color="auto"/>
            </w:tcBorders>
          </w:tcPr>
          <w:p w14:paraId="7FBA080B" w14:textId="10D0DC69"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4.</w:t>
            </w:r>
            <w:r w:rsidR="00961279" w:rsidRPr="00701439">
              <w:rPr>
                <w:rFonts w:asciiTheme="minorHAnsi" w:hAnsiTheme="minorHAnsi" w:cs="Arial"/>
                <w:sz w:val="20"/>
                <w:szCs w:val="20"/>
              </w:rPr>
              <w:t>0</w:t>
            </w:r>
          </w:p>
        </w:tc>
        <w:tc>
          <w:tcPr>
            <w:tcW w:w="851" w:type="dxa"/>
            <w:tcBorders>
              <w:top w:val="single" w:sz="4" w:space="0" w:color="auto"/>
              <w:bottom w:val="single" w:sz="12" w:space="0" w:color="auto"/>
            </w:tcBorders>
            <w:vAlign w:val="bottom"/>
          </w:tcPr>
          <w:p w14:paraId="1ED37D44"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5.2</w:t>
            </w:r>
          </w:p>
        </w:tc>
        <w:tc>
          <w:tcPr>
            <w:tcW w:w="1134" w:type="dxa"/>
            <w:tcBorders>
              <w:top w:val="single" w:sz="4" w:space="0" w:color="auto"/>
              <w:bottom w:val="single" w:sz="12" w:space="0" w:color="auto"/>
            </w:tcBorders>
          </w:tcPr>
          <w:p w14:paraId="32796981"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53.5</w:t>
            </w:r>
          </w:p>
        </w:tc>
        <w:tc>
          <w:tcPr>
            <w:tcW w:w="992" w:type="dxa"/>
            <w:tcBorders>
              <w:top w:val="single" w:sz="4" w:space="0" w:color="auto"/>
              <w:left w:val="nil"/>
              <w:bottom w:val="single" w:sz="12" w:space="0" w:color="auto"/>
              <w:right w:val="nil"/>
            </w:tcBorders>
          </w:tcPr>
          <w:p w14:paraId="76D13E7F"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18.6</w:t>
            </w:r>
          </w:p>
        </w:tc>
        <w:tc>
          <w:tcPr>
            <w:tcW w:w="1016" w:type="dxa"/>
            <w:tcBorders>
              <w:top w:val="single" w:sz="4" w:space="0" w:color="auto"/>
              <w:left w:val="nil"/>
              <w:bottom w:val="single" w:sz="12" w:space="0" w:color="auto"/>
              <w:right w:val="nil"/>
            </w:tcBorders>
            <w:vAlign w:val="bottom"/>
          </w:tcPr>
          <w:p w14:paraId="545776A9" w14:textId="77777777" w:rsidR="00A3021A" w:rsidRPr="00701439" w:rsidRDefault="00A3021A">
            <w:pPr>
              <w:jc w:val="right"/>
              <w:rPr>
                <w:rFonts w:asciiTheme="minorHAnsi" w:hAnsiTheme="minorHAnsi" w:cs="Arial"/>
                <w:sz w:val="20"/>
                <w:szCs w:val="20"/>
                <w:lang w:val="en-US"/>
              </w:rPr>
            </w:pPr>
            <w:r w:rsidRPr="00701439">
              <w:rPr>
                <w:rFonts w:asciiTheme="minorHAnsi" w:hAnsiTheme="minorHAnsi" w:cs="Arial"/>
                <w:sz w:val="20"/>
                <w:szCs w:val="20"/>
              </w:rPr>
              <w:t>72.1</w:t>
            </w:r>
          </w:p>
        </w:tc>
      </w:tr>
    </w:tbl>
    <w:p w14:paraId="79AAB49A" w14:textId="77777777" w:rsidR="00A3021A" w:rsidRPr="00701439" w:rsidRDefault="00A3021A" w:rsidP="00A3021A">
      <w:pPr>
        <w:tabs>
          <w:tab w:val="left" w:pos="500"/>
        </w:tabs>
        <w:jc w:val="both"/>
        <w:rPr>
          <w:rFonts w:asciiTheme="minorHAnsi" w:hAnsiTheme="minorHAnsi" w:cs="Arial"/>
          <w:sz w:val="20"/>
          <w:szCs w:val="20"/>
        </w:rPr>
      </w:pPr>
    </w:p>
    <w:p w14:paraId="24DF651E" w14:textId="6FFD7BAD" w:rsidR="00A3021A" w:rsidRPr="00701439" w:rsidRDefault="00A3021A" w:rsidP="00A3021A">
      <w:pPr>
        <w:autoSpaceDE w:val="0"/>
        <w:autoSpaceDN w:val="0"/>
        <w:adjustRightInd w:val="0"/>
        <w:jc w:val="both"/>
        <w:rPr>
          <w:rFonts w:asciiTheme="minorHAnsi" w:hAnsiTheme="minorHAnsi" w:cs="Arial"/>
          <w:b/>
          <w:sz w:val="20"/>
          <w:szCs w:val="20"/>
        </w:rPr>
      </w:pPr>
      <w:r w:rsidRPr="00701439">
        <w:rPr>
          <w:rFonts w:asciiTheme="minorHAnsi" w:hAnsiTheme="minorHAnsi" w:cs="Arial"/>
          <w:b/>
          <w:sz w:val="20"/>
          <w:szCs w:val="20"/>
        </w:rPr>
        <w:t>The Scheme of Arrangement (the Scheme): £1.</w:t>
      </w:r>
      <w:r w:rsidR="00F70969" w:rsidRPr="00701439">
        <w:rPr>
          <w:rFonts w:asciiTheme="minorHAnsi" w:hAnsiTheme="minorHAnsi" w:cs="Arial"/>
          <w:b/>
          <w:sz w:val="20"/>
          <w:szCs w:val="20"/>
        </w:rPr>
        <w:t>2</w:t>
      </w:r>
      <w:r w:rsidRPr="00701439">
        <w:rPr>
          <w:rFonts w:asciiTheme="minorHAnsi" w:hAnsiTheme="minorHAnsi" w:cs="Arial"/>
          <w:b/>
          <w:sz w:val="20"/>
          <w:szCs w:val="20"/>
        </w:rPr>
        <w:t>m (2021: £53.5m)</w:t>
      </w:r>
    </w:p>
    <w:p w14:paraId="2936FC67" w14:textId="77777777" w:rsidR="00A3021A" w:rsidRPr="00701439" w:rsidRDefault="00A3021A" w:rsidP="00A3021A">
      <w:pPr>
        <w:autoSpaceDE w:val="0"/>
        <w:autoSpaceDN w:val="0"/>
        <w:adjustRightInd w:val="0"/>
        <w:jc w:val="both"/>
        <w:rPr>
          <w:rFonts w:asciiTheme="minorHAnsi" w:hAnsiTheme="minorHAnsi" w:cs="Poppins-Light"/>
          <w:sz w:val="20"/>
          <w:szCs w:val="20"/>
        </w:rPr>
      </w:pPr>
      <w:r w:rsidRPr="00701439">
        <w:rPr>
          <w:rFonts w:asciiTheme="minorHAnsi" w:hAnsiTheme="minorHAnsi" w:cs="Poppins-Light"/>
          <w:sz w:val="20"/>
          <w:szCs w:val="20"/>
        </w:rPr>
        <w:t xml:space="preserve">The Scheme of Arrangement was sanctioned on 30 July 2021 and will remediate all outstanding relevant claims, as well as new relevant claims received before the </w:t>
      </w:r>
      <w:proofErr w:type="gramStart"/>
      <w:r w:rsidRPr="00701439">
        <w:rPr>
          <w:rFonts w:asciiTheme="minorHAnsi" w:hAnsiTheme="minorHAnsi" w:cs="Poppins-Light"/>
          <w:sz w:val="20"/>
          <w:szCs w:val="20"/>
        </w:rPr>
        <w:t>claims</w:t>
      </w:r>
      <w:proofErr w:type="gramEnd"/>
      <w:r w:rsidRPr="00701439">
        <w:rPr>
          <w:rFonts w:asciiTheme="minorHAnsi" w:hAnsiTheme="minorHAnsi" w:cs="Poppins-Light"/>
          <w:sz w:val="20"/>
          <w:szCs w:val="20"/>
        </w:rPr>
        <w:t xml:space="preserve"> submission deadline of February 2022. The objective of the Scheme was to ensure: all customers with redress claims are treated fairly; and outstanding claims are treated consistently for all customers who submit a claim under the Scheme. The Group will fund legitimate Scheme claims with £50m and will cover further Scheme-related costs. These were estimated at approximately £20m </w:t>
      </w:r>
      <w:proofErr w:type="gramStart"/>
      <w:r w:rsidRPr="00701439">
        <w:rPr>
          <w:rFonts w:asciiTheme="minorHAnsi" w:hAnsiTheme="minorHAnsi" w:cs="Poppins-Light"/>
          <w:sz w:val="20"/>
          <w:szCs w:val="20"/>
        </w:rPr>
        <w:t>at</w:t>
      </w:r>
      <w:proofErr w:type="gramEnd"/>
      <w:r w:rsidRPr="00701439">
        <w:rPr>
          <w:rFonts w:asciiTheme="minorHAnsi" w:hAnsiTheme="minorHAnsi" w:cs="Poppins-Light"/>
          <w:sz w:val="20"/>
          <w:szCs w:val="20"/>
        </w:rPr>
        <w:t xml:space="preserve"> 31 December 2021 with an additional £2.6m being recognised in 2022 for additional expected costs in supporting the delivery of the Scheme.</w:t>
      </w:r>
    </w:p>
    <w:p w14:paraId="3D7DC05A" w14:textId="77777777" w:rsidR="00A3021A" w:rsidRPr="00701439" w:rsidRDefault="00A3021A" w:rsidP="00A3021A">
      <w:pPr>
        <w:autoSpaceDE w:val="0"/>
        <w:autoSpaceDN w:val="0"/>
        <w:adjustRightInd w:val="0"/>
        <w:jc w:val="both"/>
        <w:rPr>
          <w:rFonts w:asciiTheme="minorHAnsi" w:hAnsiTheme="minorHAnsi" w:cs="Poppins-Light"/>
          <w:sz w:val="20"/>
          <w:szCs w:val="20"/>
        </w:rPr>
      </w:pPr>
    </w:p>
    <w:p w14:paraId="1C491ABC" w14:textId="6A7E8019" w:rsidR="00A3021A" w:rsidRPr="00701439" w:rsidRDefault="00A3021A" w:rsidP="00A3021A">
      <w:pPr>
        <w:autoSpaceDE w:val="0"/>
        <w:autoSpaceDN w:val="0"/>
        <w:adjustRightInd w:val="0"/>
        <w:jc w:val="both"/>
        <w:rPr>
          <w:rFonts w:asciiTheme="minorHAnsi" w:hAnsiTheme="minorHAnsi" w:cs="Poppins-Light"/>
          <w:sz w:val="20"/>
          <w:szCs w:val="20"/>
        </w:rPr>
      </w:pPr>
      <w:r w:rsidRPr="00701439">
        <w:rPr>
          <w:rFonts w:asciiTheme="minorHAnsi" w:hAnsiTheme="minorHAnsi" w:cs="Poppins-Light"/>
          <w:sz w:val="20"/>
          <w:szCs w:val="20"/>
        </w:rPr>
        <w:t>Customer settlements in relation to the Scheme of Arrangement commenced in H2’22 and £5</w:t>
      </w:r>
      <w:r w:rsidR="00F70969" w:rsidRPr="00701439">
        <w:rPr>
          <w:rFonts w:asciiTheme="minorHAnsi" w:hAnsiTheme="minorHAnsi" w:cs="Poppins-Light"/>
          <w:sz w:val="20"/>
          <w:szCs w:val="20"/>
        </w:rPr>
        <w:t>4.9</w:t>
      </w:r>
      <w:r w:rsidRPr="00701439">
        <w:rPr>
          <w:rFonts w:asciiTheme="minorHAnsi" w:hAnsiTheme="minorHAnsi" w:cs="Poppins-Light"/>
          <w:sz w:val="20"/>
          <w:szCs w:val="20"/>
        </w:rPr>
        <w:t>m of provision has been utilised.</w:t>
      </w:r>
    </w:p>
    <w:p w14:paraId="3B935033" w14:textId="77777777" w:rsidR="00A3021A" w:rsidRPr="00701439" w:rsidRDefault="00A3021A" w:rsidP="00A3021A">
      <w:pPr>
        <w:autoSpaceDE w:val="0"/>
        <w:autoSpaceDN w:val="0"/>
        <w:adjustRightInd w:val="0"/>
        <w:jc w:val="both"/>
        <w:rPr>
          <w:rFonts w:asciiTheme="minorHAnsi" w:hAnsiTheme="minorHAnsi" w:cs="Poppins-Light"/>
          <w:sz w:val="20"/>
          <w:szCs w:val="20"/>
        </w:rPr>
      </w:pPr>
    </w:p>
    <w:p w14:paraId="1D788D52" w14:textId="77777777" w:rsidR="00A3021A" w:rsidRPr="00701439" w:rsidRDefault="00A3021A" w:rsidP="00A3021A">
      <w:pPr>
        <w:autoSpaceDE w:val="0"/>
        <w:autoSpaceDN w:val="0"/>
        <w:adjustRightInd w:val="0"/>
        <w:jc w:val="both"/>
        <w:rPr>
          <w:rFonts w:asciiTheme="minorHAnsi" w:hAnsiTheme="minorHAnsi" w:cs="Arial"/>
          <w:b/>
          <w:sz w:val="20"/>
          <w:szCs w:val="20"/>
        </w:rPr>
      </w:pPr>
      <w:r w:rsidRPr="00701439">
        <w:rPr>
          <w:rFonts w:asciiTheme="minorHAnsi" w:hAnsiTheme="minorHAnsi" w:cs="Poppins-Light"/>
          <w:sz w:val="20"/>
          <w:szCs w:val="20"/>
        </w:rPr>
        <w:t>Other provisions include:</w:t>
      </w:r>
    </w:p>
    <w:p w14:paraId="34D23FA2" w14:textId="77777777" w:rsidR="00A3021A" w:rsidRPr="00701439" w:rsidRDefault="00A3021A" w:rsidP="00A3021A">
      <w:pPr>
        <w:autoSpaceDE w:val="0"/>
        <w:autoSpaceDN w:val="0"/>
        <w:jc w:val="both"/>
        <w:rPr>
          <w:rFonts w:asciiTheme="minorHAnsi" w:hAnsiTheme="minorHAnsi" w:cs="Poppins-Light"/>
          <w:sz w:val="20"/>
          <w:szCs w:val="20"/>
        </w:rPr>
      </w:pPr>
    </w:p>
    <w:p w14:paraId="00DFF037" w14:textId="77777777" w:rsidR="00A3021A" w:rsidRPr="00701439" w:rsidRDefault="00A3021A" w:rsidP="00A3021A">
      <w:pPr>
        <w:autoSpaceDE w:val="0"/>
        <w:autoSpaceDN w:val="0"/>
        <w:jc w:val="both"/>
        <w:rPr>
          <w:rFonts w:asciiTheme="minorHAnsi" w:hAnsiTheme="minorHAnsi" w:cs="Arial"/>
          <w:b/>
          <w:sz w:val="20"/>
          <w:szCs w:val="20"/>
        </w:rPr>
      </w:pPr>
      <w:r w:rsidRPr="00701439">
        <w:rPr>
          <w:rFonts w:asciiTheme="minorHAnsi" w:hAnsiTheme="minorHAnsi" w:cs="Arial"/>
          <w:b/>
          <w:sz w:val="20"/>
          <w:szCs w:val="20"/>
        </w:rPr>
        <w:t>FCA investigation into CCD: £nil (2021: £4.1m)</w:t>
      </w:r>
    </w:p>
    <w:p w14:paraId="2A0F1099" w14:textId="092B44BD" w:rsidR="00A3021A" w:rsidRPr="00701439" w:rsidRDefault="00A3021A" w:rsidP="00A3021A">
      <w:pPr>
        <w:autoSpaceDE w:val="0"/>
        <w:autoSpaceDN w:val="0"/>
        <w:jc w:val="both"/>
        <w:rPr>
          <w:rFonts w:asciiTheme="minorHAnsi" w:hAnsiTheme="minorHAnsi" w:cs="Poppins-Light"/>
          <w:sz w:val="20"/>
          <w:szCs w:val="20"/>
        </w:rPr>
      </w:pPr>
      <w:r w:rsidRPr="00701439">
        <w:rPr>
          <w:rFonts w:asciiTheme="minorHAnsi" w:hAnsiTheme="minorHAnsi" w:cs="Poppins-Light"/>
          <w:sz w:val="20"/>
          <w:szCs w:val="20"/>
        </w:rPr>
        <w:t>CCD was informed in Q1’21 that the FCA had opened an enforcement investigation focusing on the consideration of affordability and sustainability of lending to customers, as well as the application of an FOS decision into the complaint handling process, in the period between February 2020 and February 2021. Analysis of lending during the period of investigation resulted in a provision of £5m being recognised in H1’21 which reflected the current best estimate of the settlement</w:t>
      </w:r>
      <w:r w:rsidR="00B40799">
        <w:rPr>
          <w:rFonts w:asciiTheme="minorHAnsi" w:hAnsiTheme="minorHAnsi" w:cs="Poppins-Light"/>
          <w:sz w:val="20"/>
          <w:szCs w:val="20"/>
        </w:rPr>
        <w:t>,</w:t>
      </w:r>
      <w:r w:rsidRPr="00701439">
        <w:rPr>
          <w:rFonts w:asciiTheme="minorHAnsi" w:hAnsiTheme="minorHAnsi" w:cs="Poppins-Light"/>
          <w:sz w:val="20"/>
          <w:szCs w:val="20"/>
        </w:rPr>
        <w:t xml:space="preserve"> £0.9m of this was utilised in the second half of 2021. On 7 July, the Group received notification from the FCA that its investigation has closed and that no further action will be taken. </w:t>
      </w:r>
      <w:proofErr w:type="gramStart"/>
      <w:r w:rsidRPr="00701439">
        <w:rPr>
          <w:rFonts w:asciiTheme="minorHAnsi" w:hAnsiTheme="minorHAnsi" w:cs="Poppins-Light"/>
          <w:sz w:val="20"/>
          <w:szCs w:val="20"/>
        </w:rPr>
        <w:t>Consequently</w:t>
      </w:r>
      <w:proofErr w:type="gramEnd"/>
      <w:r w:rsidRPr="00701439">
        <w:rPr>
          <w:rFonts w:asciiTheme="minorHAnsi" w:hAnsiTheme="minorHAnsi" w:cs="Poppins-Light"/>
          <w:sz w:val="20"/>
          <w:szCs w:val="20"/>
        </w:rPr>
        <w:t xml:space="preserve"> this provision was released during H1’22.</w:t>
      </w:r>
    </w:p>
    <w:p w14:paraId="1EFC9447" w14:textId="77777777" w:rsidR="00A3021A" w:rsidRPr="00701439" w:rsidRDefault="00A3021A" w:rsidP="00A3021A">
      <w:pPr>
        <w:autoSpaceDE w:val="0"/>
        <w:autoSpaceDN w:val="0"/>
        <w:jc w:val="both"/>
        <w:rPr>
          <w:rFonts w:asciiTheme="minorHAnsi" w:hAnsiTheme="minorHAnsi" w:cs="Poppins-Light"/>
          <w:sz w:val="20"/>
          <w:szCs w:val="20"/>
        </w:rPr>
      </w:pPr>
    </w:p>
    <w:p w14:paraId="5AD12CD7" w14:textId="77777777" w:rsidR="00A3021A" w:rsidRPr="00701439" w:rsidRDefault="00A3021A" w:rsidP="00A3021A">
      <w:pPr>
        <w:autoSpaceDE w:val="0"/>
        <w:autoSpaceDN w:val="0"/>
        <w:jc w:val="both"/>
        <w:rPr>
          <w:rFonts w:asciiTheme="minorHAnsi" w:hAnsiTheme="minorHAnsi" w:cs="Arial"/>
          <w:b/>
          <w:sz w:val="20"/>
          <w:szCs w:val="20"/>
        </w:rPr>
      </w:pPr>
      <w:r w:rsidRPr="00701439">
        <w:rPr>
          <w:rFonts w:asciiTheme="minorHAnsi" w:hAnsiTheme="minorHAnsi" w:cs="Arial"/>
          <w:b/>
          <w:sz w:val="20"/>
          <w:szCs w:val="20"/>
        </w:rPr>
        <w:t>ROP Provision: £2.0m (2021: £2.1m)</w:t>
      </w:r>
    </w:p>
    <w:p w14:paraId="25B2096A" w14:textId="77777777" w:rsidR="00A3021A" w:rsidRPr="00701439" w:rsidRDefault="00A3021A" w:rsidP="00A3021A">
      <w:pPr>
        <w:autoSpaceDE w:val="0"/>
        <w:autoSpaceDN w:val="0"/>
        <w:jc w:val="both"/>
        <w:rPr>
          <w:rFonts w:asciiTheme="minorHAnsi" w:hAnsiTheme="minorHAnsi" w:cs="Poppins-Light"/>
          <w:sz w:val="20"/>
          <w:szCs w:val="20"/>
        </w:rPr>
      </w:pPr>
      <w:r w:rsidRPr="00701439">
        <w:rPr>
          <w:rFonts w:asciiTheme="minorHAnsi" w:hAnsiTheme="minorHAnsi" w:cs="Poppins-Light"/>
          <w:sz w:val="20"/>
          <w:szCs w:val="20"/>
        </w:rPr>
        <w:t>The Repayment Option Plan (ROP) provision principally reflects the estimated cost of the forward flow of ROP complaints more generally which may be received and in respect of which compensation may need to be paid.</w:t>
      </w:r>
    </w:p>
    <w:p w14:paraId="3A1FE673" w14:textId="77777777" w:rsidR="00A3021A" w:rsidRPr="00701439" w:rsidRDefault="00A3021A" w:rsidP="00A3021A">
      <w:pPr>
        <w:autoSpaceDE w:val="0"/>
        <w:autoSpaceDN w:val="0"/>
        <w:jc w:val="both"/>
        <w:rPr>
          <w:rFonts w:asciiTheme="minorHAnsi" w:hAnsiTheme="minorHAnsi" w:cs="Poppins-Light"/>
          <w:sz w:val="20"/>
          <w:szCs w:val="20"/>
        </w:rPr>
      </w:pPr>
    </w:p>
    <w:p w14:paraId="74D8936E" w14:textId="120540C9" w:rsidR="00A3021A" w:rsidRPr="00701439" w:rsidRDefault="00A3021A" w:rsidP="00A3021A">
      <w:pPr>
        <w:autoSpaceDE w:val="0"/>
        <w:autoSpaceDN w:val="0"/>
        <w:jc w:val="both"/>
        <w:rPr>
          <w:rFonts w:asciiTheme="minorHAnsi" w:hAnsiTheme="minorHAnsi" w:cs="Arial"/>
          <w:b/>
          <w:sz w:val="20"/>
          <w:szCs w:val="20"/>
        </w:rPr>
      </w:pPr>
      <w:r w:rsidRPr="00701439">
        <w:rPr>
          <w:rFonts w:asciiTheme="minorHAnsi" w:hAnsiTheme="minorHAnsi" w:cs="Arial"/>
          <w:b/>
          <w:sz w:val="20"/>
          <w:szCs w:val="20"/>
        </w:rPr>
        <w:t>Customer compliance: £2.</w:t>
      </w:r>
      <w:r w:rsidR="00F70969" w:rsidRPr="00701439">
        <w:rPr>
          <w:rFonts w:asciiTheme="minorHAnsi" w:hAnsiTheme="minorHAnsi" w:cs="Arial"/>
          <w:b/>
          <w:sz w:val="20"/>
          <w:szCs w:val="20"/>
        </w:rPr>
        <w:t>0</w:t>
      </w:r>
      <w:r w:rsidRPr="00701439">
        <w:rPr>
          <w:rFonts w:asciiTheme="minorHAnsi" w:hAnsiTheme="minorHAnsi" w:cs="Arial"/>
          <w:b/>
          <w:sz w:val="20"/>
          <w:szCs w:val="20"/>
        </w:rPr>
        <w:t>m (2021: £3.4m)</w:t>
      </w:r>
    </w:p>
    <w:p w14:paraId="339CD201" w14:textId="77777777" w:rsidR="00A3021A" w:rsidRPr="00701439" w:rsidRDefault="00A3021A" w:rsidP="00A3021A">
      <w:pPr>
        <w:autoSpaceDE w:val="0"/>
        <w:autoSpaceDN w:val="0"/>
        <w:jc w:val="both"/>
        <w:rPr>
          <w:rFonts w:asciiTheme="minorHAnsi" w:hAnsiTheme="minorHAnsi" w:cs="Poppins-Light"/>
          <w:sz w:val="20"/>
          <w:szCs w:val="20"/>
        </w:rPr>
      </w:pPr>
      <w:r w:rsidRPr="00701439">
        <w:rPr>
          <w:rFonts w:asciiTheme="minorHAnsi" w:hAnsiTheme="minorHAnsi" w:cs="Poppins-Light"/>
          <w:sz w:val="20"/>
          <w:szCs w:val="20"/>
        </w:rPr>
        <w:t xml:space="preserve">The customer compliance provision relates to general customer compliance matters. </w:t>
      </w:r>
    </w:p>
    <w:p w14:paraId="223151B3" w14:textId="77777777" w:rsidR="00A3021A" w:rsidRPr="00701439" w:rsidRDefault="00A3021A" w:rsidP="00A3021A">
      <w:pPr>
        <w:autoSpaceDE w:val="0"/>
        <w:autoSpaceDN w:val="0"/>
        <w:jc w:val="both"/>
        <w:rPr>
          <w:rFonts w:asciiTheme="minorHAnsi" w:hAnsiTheme="minorHAnsi" w:cs="Poppins-Light"/>
          <w:sz w:val="20"/>
          <w:szCs w:val="20"/>
        </w:rPr>
      </w:pPr>
    </w:p>
    <w:p w14:paraId="5917F1A1" w14:textId="77777777" w:rsidR="00A3021A" w:rsidRPr="00701439" w:rsidRDefault="00A3021A" w:rsidP="00A3021A">
      <w:pPr>
        <w:autoSpaceDE w:val="0"/>
        <w:autoSpaceDN w:val="0"/>
        <w:jc w:val="both"/>
        <w:rPr>
          <w:rFonts w:asciiTheme="minorHAnsi" w:hAnsiTheme="minorHAnsi" w:cs="Arial"/>
          <w:b/>
          <w:sz w:val="20"/>
          <w:szCs w:val="20"/>
        </w:rPr>
      </w:pPr>
      <w:r w:rsidRPr="00701439">
        <w:rPr>
          <w:rFonts w:asciiTheme="minorHAnsi" w:hAnsiTheme="minorHAnsi" w:cs="Arial"/>
          <w:b/>
          <w:sz w:val="20"/>
          <w:szCs w:val="20"/>
        </w:rPr>
        <w:t>Discontinued operations: £nil (2021: £9.0m)</w:t>
      </w:r>
    </w:p>
    <w:p w14:paraId="069D90C6" w14:textId="060AE8A3" w:rsidR="00A3021A" w:rsidRPr="00701439" w:rsidRDefault="00A3021A" w:rsidP="00A3021A">
      <w:pPr>
        <w:autoSpaceDE w:val="0"/>
        <w:autoSpaceDN w:val="0"/>
        <w:adjustRightInd w:val="0"/>
        <w:jc w:val="both"/>
        <w:rPr>
          <w:rFonts w:asciiTheme="minorHAnsi" w:hAnsiTheme="minorHAnsi" w:cs="Arial"/>
          <w:b/>
          <w:sz w:val="20"/>
          <w:szCs w:val="20"/>
        </w:rPr>
      </w:pPr>
      <w:proofErr w:type="gramStart"/>
      <w:r w:rsidRPr="00701439">
        <w:rPr>
          <w:rFonts w:asciiTheme="minorHAnsi" w:hAnsiTheme="minorHAnsi" w:cs="Poppins-Light"/>
          <w:sz w:val="20"/>
          <w:szCs w:val="20"/>
        </w:rPr>
        <w:t>A number of</w:t>
      </w:r>
      <w:proofErr w:type="gramEnd"/>
      <w:r w:rsidRPr="00701439">
        <w:rPr>
          <w:rFonts w:asciiTheme="minorHAnsi" w:hAnsiTheme="minorHAnsi" w:cs="Poppins-Light"/>
          <w:sz w:val="20"/>
          <w:szCs w:val="20"/>
        </w:rPr>
        <w:t xml:space="preserve"> smaller provisions were recognised in 2021 in relation to the closure of the CCD business which now have been fully utilised. These were calculated based on estimated costs at the </w:t>
      </w:r>
      <w:proofErr w:type="gramStart"/>
      <w:r w:rsidR="003377E5" w:rsidRPr="00701439">
        <w:rPr>
          <w:rFonts w:asciiTheme="minorHAnsi" w:hAnsiTheme="minorHAnsi" w:cs="Poppins-Light"/>
          <w:sz w:val="20"/>
          <w:szCs w:val="20"/>
        </w:rPr>
        <w:t>2021</w:t>
      </w:r>
      <w:r w:rsidRPr="00701439">
        <w:rPr>
          <w:rFonts w:asciiTheme="minorHAnsi" w:hAnsiTheme="minorHAnsi" w:cs="Poppins-Light"/>
          <w:sz w:val="20"/>
          <w:szCs w:val="20"/>
        </w:rPr>
        <w:t xml:space="preserve"> year</w:t>
      </w:r>
      <w:proofErr w:type="gramEnd"/>
      <w:r w:rsidRPr="00701439">
        <w:rPr>
          <w:rFonts w:asciiTheme="minorHAnsi" w:hAnsiTheme="minorHAnsi" w:cs="Poppins-Light"/>
          <w:sz w:val="20"/>
          <w:szCs w:val="20"/>
        </w:rPr>
        <w:t xml:space="preserve"> end.</w:t>
      </w:r>
    </w:p>
    <w:p w14:paraId="65C7A2E4" w14:textId="77777777" w:rsidR="00A3021A" w:rsidRPr="00701439" w:rsidRDefault="00A3021A" w:rsidP="00A3021A">
      <w:pPr>
        <w:autoSpaceDE w:val="0"/>
        <w:autoSpaceDN w:val="0"/>
        <w:adjustRightInd w:val="0"/>
        <w:jc w:val="both"/>
        <w:rPr>
          <w:rFonts w:asciiTheme="minorHAnsi" w:hAnsiTheme="minorHAnsi" w:cs="Arial"/>
          <w:b/>
          <w:sz w:val="20"/>
          <w:szCs w:val="20"/>
        </w:rPr>
      </w:pPr>
    </w:p>
    <w:p w14:paraId="6828036C" w14:textId="77777777" w:rsidR="00A3021A" w:rsidRPr="00701439" w:rsidRDefault="00A3021A" w:rsidP="00A3021A">
      <w:pPr>
        <w:autoSpaceDE w:val="0"/>
        <w:autoSpaceDN w:val="0"/>
        <w:adjustRightInd w:val="0"/>
        <w:jc w:val="both"/>
        <w:rPr>
          <w:rFonts w:asciiTheme="minorHAnsi" w:hAnsiTheme="minorHAnsi" w:cs="Arial"/>
          <w:b/>
          <w:color w:val="4747FF"/>
          <w:sz w:val="22"/>
          <w:szCs w:val="22"/>
        </w:rPr>
      </w:pPr>
      <w:r w:rsidRPr="00701439">
        <w:rPr>
          <w:rFonts w:asciiTheme="minorHAnsi" w:hAnsiTheme="minorHAnsi" w:cs="Arial"/>
          <w:b/>
          <w:bCs/>
          <w:color w:val="4747FF"/>
          <w:sz w:val="22"/>
          <w:szCs w:val="22"/>
        </w:rPr>
        <w:lastRenderedPageBreak/>
        <w:t>13.</w:t>
      </w:r>
      <w:r w:rsidRPr="00701439">
        <w:rPr>
          <w:rFonts w:asciiTheme="minorHAnsi" w:hAnsiTheme="minorHAnsi" w:cs="Arial"/>
          <w:b/>
          <w:bCs/>
          <w:color w:val="4747FF"/>
          <w:sz w:val="22"/>
          <w:szCs w:val="22"/>
        </w:rPr>
        <w:tab/>
      </w:r>
      <w:r w:rsidRPr="00701439">
        <w:rPr>
          <w:rFonts w:asciiTheme="minorHAnsi" w:hAnsiTheme="minorHAnsi" w:cs="Arial"/>
          <w:b/>
          <w:color w:val="4747FF"/>
          <w:sz w:val="22"/>
          <w:szCs w:val="22"/>
        </w:rPr>
        <w:t>Reconciliation of loss after tax to cash generated from operations</w:t>
      </w:r>
    </w:p>
    <w:p w14:paraId="62183760" w14:textId="77777777" w:rsidR="00A3021A" w:rsidRPr="00701439" w:rsidRDefault="00A3021A" w:rsidP="00A3021A">
      <w:pPr>
        <w:autoSpaceDE w:val="0"/>
        <w:autoSpaceDN w:val="0"/>
        <w:adjustRightInd w:val="0"/>
        <w:jc w:val="both"/>
        <w:rPr>
          <w:rFonts w:asciiTheme="minorHAnsi" w:hAnsiTheme="minorHAnsi" w:cs="Arial"/>
          <w:iCs/>
          <w:sz w:val="20"/>
          <w:szCs w:val="20"/>
          <w:lang w:val="en-US"/>
        </w:rPr>
      </w:pPr>
    </w:p>
    <w:tbl>
      <w:tblPr>
        <w:tblW w:w="9923" w:type="dxa"/>
        <w:tblLook w:val="0000" w:firstRow="0" w:lastRow="0" w:firstColumn="0" w:lastColumn="0" w:noHBand="0" w:noVBand="0"/>
      </w:tblPr>
      <w:tblGrid>
        <w:gridCol w:w="7545"/>
        <w:gridCol w:w="1189"/>
        <w:gridCol w:w="1189"/>
      </w:tblGrid>
      <w:tr w:rsidR="00A3021A" w:rsidRPr="00701439" w14:paraId="4C33C70B" w14:textId="77777777">
        <w:tc>
          <w:tcPr>
            <w:tcW w:w="7545" w:type="dxa"/>
          </w:tcPr>
          <w:p w14:paraId="5611425A" w14:textId="77777777" w:rsidR="00A3021A" w:rsidRPr="00701439" w:rsidRDefault="00A3021A">
            <w:pPr>
              <w:rPr>
                <w:rFonts w:asciiTheme="minorHAnsi" w:hAnsiTheme="minorHAnsi" w:cs="Arial"/>
                <w:sz w:val="20"/>
                <w:szCs w:val="20"/>
              </w:rPr>
            </w:pPr>
          </w:p>
        </w:tc>
        <w:tc>
          <w:tcPr>
            <w:tcW w:w="1189" w:type="dxa"/>
          </w:tcPr>
          <w:p w14:paraId="6F2B66C9"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2022 </w:t>
            </w:r>
          </w:p>
        </w:tc>
        <w:tc>
          <w:tcPr>
            <w:tcW w:w="1189" w:type="dxa"/>
          </w:tcPr>
          <w:p w14:paraId="6F132307"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2021  </w:t>
            </w:r>
          </w:p>
        </w:tc>
      </w:tr>
      <w:tr w:rsidR="00A3021A" w:rsidRPr="00701439" w14:paraId="10B00AD1" w14:textId="77777777">
        <w:tc>
          <w:tcPr>
            <w:tcW w:w="7545" w:type="dxa"/>
          </w:tcPr>
          <w:p w14:paraId="7967C271" w14:textId="77777777" w:rsidR="00A3021A" w:rsidRPr="00701439" w:rsidRDefault="00A3021A">
            <w:pPr>
              <w:rPr>
                <w:rFonts w:asciiTheme="minorHAnsi" w:hAnsiTheme="minorHAnsi" w:cs="Arial"/>
                <w:sz w:val="20"/>
                <w:szCs w:val="20"/>
              </w:rPr>
            </w:pPr>
          </w:p>
        </w:tc>
        <w:tc>
          <w:tcPr>
            <w:tcW w:w="1189" w:type="dxa"/>
            <w:tcBorders>
              <w:top w:val="nil"/>
              <w:left w:val="nil"/>
              <w:bottom w:val="single" w:sz="4" w:space="0" w:color="auto"/>
              <w:right w:val="nil"/>
            </w:tcBorders>
          </w:tcPr>
          <w:p w14:paraId="1C9B53E7"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£m </w:t>
            </w:r>
          </w:p>
        </w:tc>
        <w:tc>
          <w:tcPr>
            <w:tcW w:w="1189" w:type="dxa"/>
            <w:tcBorders>
              <w:top w:val="nil"/>
              <w:left w:val="nil"/>
              <w:bottom w:val="single" w:sz="4" w:space="0" w:color="auto"/>
              <w:right w:val="nil"/>
            </w:tcBorders>
          </w:tcPr>
          <w:p w14:paraId="0DEE794C"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£m </w:t>
            </w:r>
          </w:p>
        </w:tc>
      </w:tr>
      <w:tr w:rsidR="00A3021A" w:rsidRPr="00701439" w14:paraId="41FCB963" w14:textId="77777777">
        <w:tc>
          <w:tcPr>
            <w:tcW w:w="7545" w:type="dxa"/>
            <w:vAlign w:val="bottom"/>
          </w:tcPr>
          <w:p w14:paraId="4C9B9BDD" w14:textId="77777777" w:rsidR="00A3021A" w:rsidRPr="00701439" w:rsidRDefault="00A3021A">
            <w:pPr>
              <w:rPr>
                <w:rFonts w:asciiTheme="minorHAnsi" w:hAnsiTheme="minorHAnsi" w:cs="Arial"/>
                <w:b/>
                <w:sz w:val="20"/>
                <w:szCs w:val="20"/>
              </w:rPr>
            </w:pPr>
            <w:r w:rsidRPr="00701439">
              <w:rPr>
                <w:rFonts w:asciiTheme="minorHAnsi" w:hAnsiTheme="minorHAnsi" w:cs="Arial"/>
                <w:b/>
                <w:sz w:val="20"/>
                <w:szCs w:val="20"/>
              </w:rPr>
              <w:t xml:space="preserve">Profit/(loss) after taxation </w:t>
            </w:r>
          </w:p>
        </w:tc>
        <w:tc>
          <w:tcPr>
            <w:tcW w:w="1189" w:type="dxa"/>
            <w:vAlign w:val="bottom"/>
          </w:tcPr>
          <w:p w14:paraId="08B74002"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77.4</w:t>
            </w:r>
          </w:p>
        </w:tc>
        <w:tc>
          <w:tcPr>
            <w:tcW w:w="1189" w:type="dxa"/>
            <w:shd w:val="clear" w:color="auto" w:fill="auto"/>
            <w:vAlign w:val="bottom"/>
          </w:tcPr>
          <w:p w14:paraId="791F5494"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(32.1)</w:t>
            </w:r>
          </w:p>
        </w:tc>
      </w:tr>
      <w:tr w:rsidR="00A3021A" w:rsidRPr="00701439" w14:paraId="3D084C2E" w14:textId="77777777">
        <w:tc>
          <w:tcPr>
            <w:tcW w:w="7545" w:type="dxa"/>
            <w:vAlign w:val="bottom"/>
          </w:tcPr>
          <w:p w14:paraId="1760DC1D"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Adjusted for:</w:t>
            </w:r>
          </w:p>
        </w:tc>
        <w:tc>
          <w:tcPr>
            <w:tcW w:w="1189" w:type="dxa"/>
            <w:vAlign w:val="bottom"/>
          </w:tcPr>
          <w:p w14:paraId="79E91382" w14:textId="77777777" w:rsidR="00A3021A" w:rsidRPr="00701439" w:rsidRDefault="00A3021A">
            <w:pPr>
              <w:jc w:val="right"/>
              <w:rPr>
                <w:rFonts w:asciiTheme="minorHAnsi" w:hAnsiTheme="minorHAnsi" w:cs="Arial"/>
                <w:sz w:val="20"/>
                <w:szCs w:val="20"/>
              </w:rPr>
            </w:pPr>
          </w:p>
        </w:tc>
        <w:tc>
          <w:tcPr>
            <w:tcW w:w="1189" w:type="dxa"/>
            <w:vAlign w:val="bottom"/>
          </w:tcPr>
          <w:p w14:paraId="7D9E4D4C" w14:textId="77777777" w:rsidR="00A3021A" w:rsidRPr="00701439" w:rsidRDefault="00A3021A">
            <w:pPr>
              <w:jc w:val="right"/>
              <w:rPr>
                <w:rFonts w:asciiTheme="minorHAnsi" w:hAnsiTheme="minorHAnsi" w:cs="Arial"/>
                <w:sz w:val="20"/>
                <w:szCs w:val="20"/>
              </w:rPr>
            </w:pPr>
          </w:p>
        </w:tc>
      </w:tr>
      <w:tr w:rsidR="00A3021A" w:rsidRPr="00701439" w14:paraId="175167CD" w14:textId="77777777">
        <w:tc>
          <w:tcPr>
            <w:tcW w:w="7545" w:type="dxa"/>
            <w:vAlign w:val="bottom"/>
          </w:tcPr>
          <w:p w14:paraId="025F4606"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 tax charge/(credit)</w:t>
            </w:r>
          </w:p>
        </w:tc>
        <w:tc>
          <w:tcPr>
            <w:tcW w:w="1189" w:type="dxa"/>
            <w:vAlign w:val="bottom"/>
          </w:tcPr>
          <w:p w14:paraId="1C0E0855"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22.0</w:t>
            </w:r>
          </w:p>
        </w:tc>
        <w:tc>
          <w:tcPr>
            <w:tcW w:w="1189" w:type="dxa"/>
            <w:vAlign w:val="bottom"/>
          </w:tcPr>
          <w:p w14:paraId="6162688A"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36.2</w:t>
            </w:r>
          </w:p>
        </w:tc>
      </w:tr>
      <w:tr w:rsidR="00A3021A" w:rsidRPr="00701439" w14:paraId="704F4F52" w14:textId="77777777">
        <w:tc>
          <w:tcPr>
            <w:tcW w:w="7545" w:type="dxa"/>
            <w:vAlign w:val="bottom"/>
          </w:tcPr>
          <w:p w14:paraId="2907EC01"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 xml:space="preserve">– finance costs </w:t>
            </w:r>
          </w:p>
        </w:tc>
        <w:tc>
          <w:tcPr>
            <w:tcW w:w="1189" w:type="dxa"/>
            <w:vAlign w:val="bottom"/>
          </w:tcPr>
          <w:p w14:paraId="2FF5B59C" w14:textId="6E93229A" w:rsidR="00A3021A" w:rsidRPr="00701439" w:rsidRDefault="00510322">
            <w:pPr>
              <w:jc w:val="right"/>
              <w:rPr>
                <w:rFonts w:asciiTheme="minorHAnsi" w:hAnsiTheme="minorHAnsi" w:cs="Arial"/>
                <w:sz w:val="20"/>
                <w:szCs w:val="20"/>
              </w:rPr>
            </w:pPr>
            <w:r w:rsidRPr="00701439">
              <w:rPr>
                <w:rFonts w:asciiTheme="minorHAnsi" w:hAnsiTheme="minorHAnsi" w:cs="Arial"/>
                <w:sz w:val="20"/>
                <w:szCs w:val="20"/>
              </w:rPr>
              <w:t>65.0</w:t>
            </w:r>
          </w:p>
        </w:tc>
        <w:tc>
          <w:tcPr>
            <w:tcW w:w="1189" w:type="dxa"/>
            <w:vAlign w:val="bottom"/>
          </w:tcPr>
          <w:p w14:paraId="0044F3F3"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61.2</w:t>
            </w:r>
          </w:p>
        </w:tc>
      </w:tr>
      <w:tr w:rsidR="00A3021A" w:rsidRPr="00701439" w14:paraId="206E06BE" w14:textId="77777777">
        <w:tc>
          <w:tcPr>
            <w:tcW w:w="7545" w:type="dxa"/>
            <w:vAlign w:val="bottom"/>
          </w:tcPr>
          <w:p w14:paraId="2DA2F6C6"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 exceptional costs on redemption of bonds</w:t>
            </w:r>
          </w:p>
        </w:tc>
        <w:tc>
          <w:tcPr>
            <w:tcW w:w="1189" w:type="dxa"/>
            <w:vAlign w:val="bottom"/>
          </w:tcPr>
          <w:p w14:paraId="5FE1E710"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c>
          <w:tcPr>
            <w:tcW w:w="1189" w:type="dxa"/>
            <w:vAlign w:val="bottom"/>
          </w:tcPr>
          <w:p w14:paraId="786A488B"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3.9</w:t>
            </w:r>
          </w:p>
        </w:tc>
      </w:tr>
      <w:tr w:rsidR="00A3021A" w:rsidRPr="00701439" w14:paraId="0E28AD7C" w14:textId="77777777">
        <w:tc>
          <w:tcPr>
            <w:tcW w:w="7545" w:type="dxa"/>
            <w:vAlign w:val="bottom"/>
          </w:tcPr>
          <w:p w14:paraId="38055F72"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 share-based payment charge</w:t>
            </w:r>
          </w:p>
        </w:tc>
        <w:tc>
          <w:tcPr>
            <w:tcW w:w="1189" w:type="dxa"/>
            <w:vAlign w:val="bottom"/>
          </w:tcPr>
          <w:p w14:paraId="412B69A3"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5.1</w:t>
            </w:r>
          </w:p>
        </w:tc>
        <w:tc>
          <w:tcPr>
            <w:tcW w:w="1189" w:type="dxa"/>
            <w:vAlign w:val="bottom"/>
          </w:tcPr>
          <w:p w14:paraId="39806829"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3.8</w:t>
            </w:r>
          </w:p>
        </w:tc>
      </w:tr>
      <w:tr w:rsidR="00A3021A" w:rsidRPr="00701439" w14:paraId="3358AED5" w14:textId="77777777">
        <w:tc>
          <w:tcPr>
            <w:tcW w:w="7545" w:type="dxa"/>
            <w:vAlign w:val="bottom"/>
          </w:tcPr>
          <w:p w14:paraId="4994378D"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 xml:space="preserve">– retirement benefit (credit)/charge prior to exceptional pension credit </w:t>
            </w:r>
          </w:p>
        </w:tc>
        <w:tc>
          <w:tcPr>
            <w:tcW w:w="1189" w:type="dxa"/>
            <w:vAlign w:val="bottom"/>
          </w:tcPr>
          <w:p w14:paraId="5623FD54"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(0.5)</w:t>
            </w:r>
          </w:p>
        </w:tc>
        <w:tc>
          <w:tcPr>
            <w:tcW w:w="1189" w:type="dxa"/>
            <w:vAlign w:val="bottom"/>
          </w:tcPr>
          <w:p w14:paraId="3DBA68F1"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0.9</w:t>
            </w:r>
          </w:p>
        </w:tc>
      </w:tr>
      <w:tr w:rsidR="00A3021A" w:rsidRPr="00701439" w14:paraId="066FDECB" w14:textId="77777777">
        <w:tc>
          <w:tcPr>
            <w:tcW w:w="7545" w:type="dxa"/>
            <w:vAlign w:val="bottom"/>
          </w:tcPr>
          <w:p w14:paraId="6C37ED94" w14:textId="77777777" w:rsidR="00A3021A" w:rsidRPr="00701439" w:rsidRDefault="00A3021A">
            <w:pPr>
              <w:ind w:left="176" w:hanging="176"/>
              <w:rPr>
                <w:rFonts w:asciiTheme="minorHAnsi" w:hAnsiTheme="minorHAnsi" w:cs="Arial"/>
                <w:sz w:val="20"/>
                <w:szCs w:val="20"/>
              </w:rPr>
            </w:pPr>
            <w:r w:rsidRPr="00701439">
              <w:rPr>
                <w:rFonts w:asciiTheme="minorHAnsi" w:hAnsiTheme="minorHAnsi" w:cs="Arial"/>
                <w:sz w:val="20"/>
                <w:szCs w:val="20"/>
              </w:rPr>
              <w:t>– exceptional pension credit</w:t>
            </w:r>
          </w:p>
        </w:tc>
        <w:tc>
          <w:tcPr>
            <w:tcW w:w="1189" w:type="dxa"/>
            <w:vAlign w:val="bottom"/>
          </w:tcPr>
          <w:p w14:paraId="38A23C8E"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c>
          <w:tcPr>
            <w:tcW w:w="1189" w:type="dxa"/>
            <w:vAlign w:val="bottom"/>
          </w:tcPr>
          <w:p w14:paraId="42F9DBBE"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(2.3)</w:t>
            </w:r>
          </w:p>
        </w:tc>
      </w:tr>
      <w:tr w:rsidR="00A3021A" w:rsidRPr="00701439" w14:paraId="37E920FF" w14:textId="77777777">
        <w:tc>
          <w:tcPr>
            <w:tcW w:w="7545" w:type="dxa"/>
            <w:vAlign w:val="bottom"/>
          </w:tcPr>
          <w:p w14:paraId="0CC2D243"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 amortisation of intangible assets</w:t>
            </w:r>
          </w:p>
        </w:tc>
        <w:tc>
          <w:tcPr>
            <w:tcW w:w="1189" w:type="dxa"/>
            <w:vAlign w:val="bottom"/>
          </w:tcPr>
          <w:p w14:paraId="290916E1"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16.0</w:t>
            </w:r>
          </w:p>
        </w:tc>
        <w:tc>
          <w:tcPr>
            <w:tcW w:w="1189" w:type="dxa"/>
            <w:vAlign w:val="bottom"/>
          </w:tcPr>
          <w:p w14:paraId="5CBF749A"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18.2</w:t>
            </w:r>
          </w:p>
        </w:tc>
      </w:tr>
      <w:tr w:rsidR="00A3021A" w:rsidRPr="00701439" w14:paraId="42EE7AC7" w14:textId="77777777">
        <w:tc>
          <w:tcPr>
            <w:tcW w:w="7545" w:type="dxa"/>
            <w:vAlign w:val="bottom"/>
          </w:tcPr>
          <w:p w14:paraId="05A3A371"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 provisions created in the year</w:t>
            </w:r>
          </w:p>
        </w:tc>
        <w:tc>
          <w:tcPr>
            <w:tcW w:w="1189" w:type="dxa"/>
            <w:vAlign w:val="bottom"/>
          </w:tcPr>
          <w:p w14:paraId="71C1E07E"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3.7</w:t>
            </w:r>
          </w:p>
        </w:tc>
        <w:tc>
          <w:tcPr>
            <w:tcW w:w="1189" w:type="dxa"/>
            <w:vAlign w:val="bottom"/>
          </w:tcPr>
          <w:p w14:paraId="35CE35B0"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22.4</w:t>
            </w:r>
          </w:p>
        </w:tc>
      </w:tr>
      <w:tr w:rsidR="00A3021A" w:rsidRPr="00701439" w14:paraId="1CCC9C2A" w14:textId="77777777">
        <w:tc>
          <w:tcPr>
            <w:tcW w:w="7545" w:type="dxa"/>
            <w:vAlign w:val="bottom"/>
          </w:tcPr>
          <w:p w14:paraId="51E8F5F7"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 provisions released in the year</w:t>
            </w:r>
          </w:p>
        </w:tc>
        <w:tc>
          <w:tcPr>
            <w:tcW w:w="1189" w:type="dxa"/>
            <w:vAlign w:val="bottom"/>
          </w:tcPr>
          <w:p w14:paraId="7130DE1E"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(3.6)</w:t>
            </w:r>
          </w:p>
        </w:tc>
        <w:tc>
          <w:tcPr>
            <w:tcW w:w="1189" w:type="dxa"/>
            <w:vAlign w:val="bottom"/>
          </w:tcPr>
          <w:p w14:paraId="7AC6197C"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r>
      <w:tr w:rsidR="00B53BCC" w:rsidRPr="00701439" w14:paraId="3A5FDFFF" w14:textId="77777777">
        <w:tc>
          <w:tcPr>
            <w:tcW w:w="7545" w:type="dxa"/>
            <w:vAlign w:val="bottom"/>
          </w:tcPr>
          <w:p w14:paraId="222C7CD1" w14:textId="0EC389D8" w:rsidR="00B53BCC" w:rsidRPr="00701439" w:rsidRDefault="00B53BCC" w:rsidP="00B53BCC">
            <w:pPr>
              <w:rPr>
                <w:rFonts w:asciiTheme="minorHAnsi" w:hAnsiTheme="minorHAnsi" w:cs="Arial"/>
                <w:sz w:val="20"/>
                <w:szCs w:val="20"/>
              </w:rPr>
            </w:pPr>
            <w:r w:rsidRPr="00701439">
              <w:rPr>
                <w:rFonts w:asciiTheme="minorHAnsi" w:hAnsiTheme="minorHAnsi" w:cs="Arial"/>
                <w:sz w:val="20"/>
                <w:szCs w:val="20"/>
              </w:rPr>
              <w:t>– provisions utilised in the year</w:t>
            </w:r>
          </w:p>
        </w:tc>
        <w:tc>
          <w:tcPr>
            <w:tcW w:w="1189" w:type="dxa"/>
            <w:vAlign w:val="bottom"/>
          </w:tcPr>
          <w:p w14:paraId="1FBD129A" w14:textId="7E8BC9AE" w:rsidR="00B53BCC" w:rsidRPr="00701439" w:rsidRDefault="00B53BCC" w:rsidP="00B53BCC">
            <w:pPr>
              <w:jc w:val="right"/>
              <w:rPr>
                <w:rFonts w:asciiTheme="minorHAnsi" w:hAnsiTheme="minorHAnsi" w:cs="Arial"/>
                <w:sz w:val="20"/>
                <w:szCs w:val="20"/>
              </w:rPr>
            </w:pPr>
            <w:r w:rsidRPr="00701439">
              <w:rPr>
                <w:rFonts w:asciiTheme="minorHAnsi" w:hAnsiTheme="minorHAnsi" w:cs="Arial"/>
                <w:sz w:val="20"/>
                <w:szCs w:val="20"/>
              </w:rPr>
              <w:t>(64.0)</w:t>
            </w:r>
          </w:p>
        </w:tc>
        <w:tc>
          <w:tcPr>
            <w:tcW w:w="1189" w:type="dxa"/>
            <w:vAlign w:val="bottom"/>
          </w:tcPr>
          <w:p w14:paraId="337F6C06" w14:textId="53C50A7A" w:rsidR="00B53BCC" w:rsidRPr="00701439" w:rsidRDefault="00B53BCC" w:rsidP="00B53BCC">
            <w:pPr>
              <w:jc w:val="right"/>
              <w:rPr>
                <w:rFonts w:asciiTheme="minorHAnsi" w:hAnsiTheme="minorHAnsi" w:cs="Arial"/>
                <w:sz w:val="20"/>
                <w:szCs w:val="20"/>
              </w:rPr>
            </w:pPr>
            <w:r w:rsidRPr="00701439">
              <w:rPr>
                <w:rFonts w:asciiTheme="minorHAnsi" w:hAnsiTheme="minorHAnsi" w:cs="Arial"/>
                <w:sz w:val="20"/>
                <w:szCs w:val="20"/>
              </w:rPr>
              <w:t>(41.3)</w:t>
            </w:r>
          </w:p>
        </w:tc>
      </w:tr>
      <w:tr w:rsidR="00E31169" w:rsidRPr="00701439" w14:paraId="68B4305B" w14:textId="77777777">
        <w:tc>
          <w:tcPr>
            <w:tcW w:w="7545" w:type="dxa"/>
            <w:vAlign w:val="bottom"/>
          </w:tcPr>
          <w:p w14:paraId="696F8137" w14:textId="0E95FB27" w:rsidR="00E31169" w:rsidRPr="00701439" w:rsidRDefault="00E31169" w:rsidP="00E31169">
            <w:pPr>
              <w:rPr>
                <w:rFonts w:asciiTheme="minorHAnsi" w:hAnsiTheme="minorHAnsi" w:cs="Arial"/>
                <w:sz w:val="20"/>
                <w:szCs w:val="20"/>
              </w:rPr>
            </w:pPr>
            <w:r w:rsidRPr="00701439">
              <w:rPr>
                <w:rFonts w:asciiTheme="minorHAnsi" w:hAnsiTheme="minorHAnsi" w:cs="Arial"/>
                <w:sz w:val="20"/>
                <w:szCs w:val="20"/>
              </w:rPr>
              <w:t>– exceptional release of provisions</w:t>
            </w:r>
          </w:p>
        </w:tc>
        <w:tc>
          <w:tcPr>
            <w:tcW w:w="1189" w:type="dxa"/>
            <w:vAlign w:val="bottom"/>
          </w:tcPr>
          <w:p w14:paraId="75BD0646" w14:textId="2AD0C523" w:rsidR="00E31169" w:rsidRPr="00701439" w:rsidRDefault="00E31169" w:rsidP="00E31169">
            <w:pPr>
              <w:jc w:val="right"/>
              <w:rPr>
                <w:rFonts w:asciiTheme="minorHAnsi" w:hAnsiTheme="minorHAnsi" w:cs="Arial"/>
                <w:sz w:val="20"/>
                <w:szCs w:val="20"/>
              </w:rPr>
            </w:pPr>
            <w:r w:rsidRPr="00701439">
              <w:rPr>
                <w:rFonts w:asciiTheme="minorHAnsi" w:hAnsiTheme="minorHAnsi" w:cs="Arial"/>
                <w:sz w:val="20"/>
                <w:szCs w:val="20"/>
              </w:rPr>
              <w:t>(4.6)</w:t>
            </w:r>
          </w:p>
        </w:tc>
        <w:tc>
          <w:tcPr>
            <w:tcW w:w="1189" w:type="dxa"/>
            <w:vAlign w:val="bottom"/>
          </w:tcPr>
          <w:p w14:paraId="6FA6AFD3" w14:textId="26278B82" w:rsidR="00E31169" w:rsidRPr="00701439" w:rsidRDefault="00E31169" w:rsidP="00E31169">
            <w:pPr>
              <w:jc w:val="right"/>
              <w:rPr>
                <w:rFonts w:asciiTheme="minorHAnsi" w:hAnsiTheme="minorHAnsi" w:cs="Arial"/>
                <w:sz w:val="20"/>
                <w:szCs w:val="20"/>
              </w:rPr>
            </w:pPr>
            <w:r w:rsidRPr="00701439">
              <w:rPr>
                <w:rFonts w:asciiTheme="minorHAnsi" w:hAnsiTheme="minorHAnsi" w:cs="Arial"/>
                <w:sz w:val="20"/>
                <w:szCs w:val="20"/>
              </w:rPr>
              <w:t>-</w:t>
            </w:r>
          </w:p>
        </w:tc>
      </w:tr>
      <w:tr w:rsidR="00A3021A" w:rsidRPr="00701439" w14:paraId="091EF386" w14:textId="77777777">
        <w:tc>
          <w:tcPr>
            <w:tcW w:w="7545" w:type="dxa"/>
            <w:vAlign w:val="bottom"/>
          </w:tcPr>
          <w:p w14:paraId="708FC34F"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 xml:space="preserve">– depreciation of property, </w:t>
            </w:r>
            <w:proofErr w:type="gramStart"/>
            <w:r w:rsidRPr="00701439">
              <w:rPr>
                <w:rFonts w:asciiTheme="minorHAnsi" w:hAnsiTheme="minorHAnsi" w:cs="Arial"/>
                <w:sz w:val="20"/>
                <w:szCs w:val="20"/>
              </w:rPr>
              <w:t>plant</w:t>
            </w:r>
            <w:proofErr w:type="gramEnd"/>
            <w:r w:rsidRPr="00701439">
              <w:rPr>
                <w:rFonts w:asciiTheme="minorHAnsi" w:hAnsiTheme="minorHAnsi" w:cs="Arial"/>
                <w:sz w:val="20"/>
                <w:szCs w:val="20"/>
              </w:rPr>
              <w:t xml:space="preserve"> and equipment and right of use assets</w:t>
            </w:r>
          </w:p>
        </w:tc>
        <w:tc>
          <w:tcPr>
            <w:tcW w:w="1189" w:type="dxa"/>
            <w:vAlign w:val="bottom"/>
          </w:tcPr>
          <w:p w14:paraId="5644958C"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12.1</w:t>
            </w:r>
          </w:p>
        </w:tc>
        <w:tc>
          <w:tcPr>
            <w:tcW w:w="1189" w:type="dxa"/>
            <w:vAlign w:val="bottom"/>
          </w:tcPr>
          <w:p w14:paraId="202A12C6"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15.3</w:t>
            </w:r>
          </w:p>
        </w:tc>
      </w:tr>
      <w:tr w:rsidR="00A3021A" w:rsidRPr="00701439" w14:paraId="224B476C" w14:textId="77777777">
        <w:tc>
          <w:tcPr>
            <w:tcW w:w="7545" w:type="dxa"/>
            <w:vAlign w:val="bottom"/>
          </w:tcPr>
          <w:p w14:paraId="03711B00"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 xml:space="preserve">– loss/(profit) on disposal of property, </w:t>
            </w:r>
            <w:proofErr w:type="gramStart"/>
            <w:r w:rsidRPr="00701439">
              <w:rPr>
                <w:rFonts w:asciiTheme="minorHAnsi" w:hAnsiTheme="minorHAnsi" w:cs="Arial"/>
                <w:sz w:val="20"/>
                <w:szCs w:val="20"/>
              </w:rPr>
              <w:t>plant</w:t>
            </w:r>
            <w:proofErr w:type="gramEnd"/>
            <w:r w:rsidRPr="00701439">
              <w:rPr>
                <w:rFonts w:asciiTheme="minorHAnsi" w:hAnsiTheme="minorHAnsi" w:cs="Arial"/>
                <w:sz w:val="20"/>
                <w:szCs w:val="20"/>
              </w:rPr>
              <w:t xml:space="preserve"> and equipment</w:t>
            </w:r>
          </w:p>
        </w:tc>
        <w:tc>
          <w:tcPr>
            <w:tcW w:w="1189" w:type="dxa"/>
            <w:vAlign w:val="bottom"/>
          </w:tcPr>
          <w:p w14:paraId="25256EC6"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0.9</w:t>
            </w:r>
          </w:p>
        </w:tc>
        <w:tc>
          <w:tcPr>
            <w:tcW w:w="1189" w:type="dxa"/>
            <w:vAlign w:val="bottom"/>
          </w:tcPr>
          <w:p w14:paraId="28175602"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(0.3)</w:t>
            </w:r>
          </w:p>
        </w:tc>
      </w:tr>
      <w:tr w:rsidR="00A3021A" w:rsidRPr="00701439" w14:paraId="55907D89" w14:textId="77777777">
        <w:tc>
          <w:tcPr>
            <w:tcW w:w="7545" w:type="dxa"/>
            <w:vAlign w:val="bottom"/>
          </w:tcPr>
          <w:p w14:paraId="3CFFB2A8" w14:textId="77777777" w:rsidR="00A3021A" w:rsidRPr="00701439" w:rsidRDefault="00A3021A">
            <w:pPr>
              <w:rPr>
                <w:rFonts w:asciiTheme="minorHAnsi" w:hAnsiTheme="minorHAnsi" w:cs="Arial"/>
                <w:sz w:val="20"/>
                <w:szCs w:val="20"/>
                <w:vertAlign w:val="subscript"/>
              </w:rPr>
            </w:pPr>
            <w:r w:rsidRPr="00701439">
              <w:rPr>
                <w:rFonts w:asciiTheme="minorHAnsi" w:hAnsiTheme="minorHAnsi" w:cs="Arial"/>
                <w:sz w:val="20"/>
                <w:szCs w:val="20"/>
              </w:rPr>
              <w:t>– loss/(profit) on disposal of intangible assets</w:t>
            </w:r>
          </w:p>
        </w:tc>
        <w:tc>
          <w:tcPr>
            <w:tcW w:w="1189" w:type="dxa"/>
            <w:vAlign w:val="bottom"/>
          </w:tcPr>
          <w:p w14:paraId="3875A841" w14:textId="77777777" w:rsidR="00A3021A" w:rsidRPr="00701439" w:rsidRDefault="00A3021A">
            <w:pPr>
              <w:jc w:val="center"/>
              <w:rPr>
                <w:rFonts w:asciiTheme="minorHAnsi" w:hAnsiTheme="minorHAnsi" w:cs="Arial"/>
                <w:sz w:val="20"/>
                <w:szCs w:val="20"/>
                <w:vertAlign w:val="subscript"/>
              </w:rPr>
            </w:pPr>
            <w:r w:rsidRPr="00701439">
              <w:rPr>
                <w:rFonts w:asciiTheme="minorHAnsi" w:hAnsiTheme="minorHAnsi" w:cs="Arial"/>
                <w:sz w:val="20"/>
                <w:szCs w:val="20"/>
              </w:rPr>
              <w:t xml:space="preserve">               2.2</w:t>
            </w:r>
          </w:p>
        </w:tc>
        <w:tc>
          <w:tcPr>
            <w:tcW w:w="1189" w:type="dxa"/>
            <w:vAlign w:val="bottom"/>
          </w:tcPr>
          <w:p w14:paraId="14C49B8F" w14:textId="77777777" w:rsidR="00A3021A" w:rsidRPr="00701439" w:rsidRDefault="00A3021A">
            <w:pPr>
              <w:jc w:val="right"/>
              <w:rPr>
                <w:rFonts w:asciiTheme="minorHAnsi" w:hAnsiTheme="minorHAnsi" w:cs="Arial"/>
                <w:sz w:val="20"/>
                <w:szCs w:val="20"/>
                <w:vertAlign w:val="subscript"/>
              </w:rPr>
            </w:pPr>
            <w:r w:rsidRPr="00701439">
              <w:rPr>
                <w:rFonts w:asciiTheme="minorHAnsi" w:hAnsiTheme="minorHAnsi" w:cs="Arial"/>
                <w:sz w:val="20"/>
                <w:szCs w:val="20"/>
              </w:rPr>
              <w:t>(0.4)</w:t>
            </w:r>
          </w:p>
        </w:tc>
      </w:tr>
      <w:tr w:rsidR="00A3021A" w:rsidRPr="00701439" w14:paraId="1C8F2C43" w14:textId="77777777">
        <w:tc>
          <w:tcPr>
            <w:tcW w:w="7545" w:type="dxa"/>
            <w:vAlign w:val="bottom"/>
          </w:tcPr>
          <w:p w14:paraId="232CE0A4"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 profit on lease disposal</w:t>
            </w:r>
          </w:p>
        </w:tc>
        <w:tc>
          <w:tcPr>
            <w:tcW w:w="1189" w:type="dxa"/>
            <w:vAlign w:val="bottom"/>
          </w:tcPr>
          <w:p w14:paraId="0BB2AE53"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p>
        </w:tc>
        <w:tc>
          <w:tcPr>
            <w:tcW w:w="1189" w:type="dxa"/>
            <w:vAlign w:val="bottom"/>
          </w:tcPr>
          <w:p w14:paraId="60D66936"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(1.2)</w:t>
            </w:r>
          </w:p>
        </w:tc>
      </w:tr>
      <w:tr w:rsidR="00A3021A" w:rsidRPr="00701439" w14:paraId="50D97394" w14:textId="77777777">
        <w:tc>
          <w:tcPr>
            <w:tcW w:w="7545" w:type="dxa"/>
            <w:vAlign w:val="bottom"/>
          </w:tcPr>
          <w:p w14:paraId="2715B93F"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 hedge ineffectiveness</w:t>
            </w:r>
          </w:p>
        </w:tc>
        <w:tc>
          <w:tcPr>
            <w:tcW w:w="1189" w:type="dxa"/>
            <w:vAlign w:val="bottom"/>
          </w:tcPr>
          <w:p w14:paraId="0770765D" w14:textId="1DA36802"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r w:rsidR="00877ED5" w:rsidRPr="00701439">
              <w:rPr>
                <w:rFonts w:asciiTheme="minorHAnsi" w:hAnsiTheme="minorHAnsi" w:cs="Arial"/>
                <w:sz w:val="20"/>
                <w:szCs w:val="20"/>
              </w:rPr>
              <w:t>3.</w:t>
            </w:r>
            <w:r w:rsidR="007466AF" w:rsidRPr="00701439">
              <w:rPr>
                <w:rFonts w:asciiTheme="minorHAnsi" w:hAnsiTheme="minorHAnsi" w:cs="Arial"/>
                <w:sz w:val="20"/>
                <w:szCs w:val="20"/>
              </w:rPr>
              <w:t>7</w:t>
            </w:r>
            <w:r w:rsidRPr="00701439">
              <w:rPr>
                <w:rFonts w:asciiTheme="minorHAnsi" w:hAnsiTheme="minorHAnsi" w:cs="Arial"/>
                <w:sz w:val="20"/>
                <w:szCs w:val="20"/>
              </w:rPr>
              <w:t>)</w:t>
            </w:r>
          </w:p>
        </w:tc>
        <w:tc>
          <w:tcPr>
            <w:tcW w:w="1189" w:type="dxa"/>
            <w:vAlign w:val="bottom"/>
          </w:tcPr>
          <w:p w14:paraId="00798469"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(0.2)</w:t>
            </w:r>
          </w:p>
        </w:tc>
      </w:tr>
      <w:tr w:rsidR="003F07DE" w:rsidRPr="00701439" w14:paraId="6E1D701E" w14:textId="77777777">
        <w:tc>
          <w:tcPr>
            <w:tcW w:w="7545" w:type="dxa"/>
            <w:vAlign w:val="bottom"/>
          </w:tcPr>
          <w:p w14:paraId="262FB65C" w14:textId="34B49751" w:rsidR="003F07DE" w:rsidRPr="00701439" w:rsidRDefault="003F07DE">
            <w:pPr>
              <w:rPr>
                <w:rFonts w:asciiTheme="minorHAnsi" w:hAnsiTheme="minorHAnsi" w:cs="Arial"/>
                <w:sz w:val="20"/>
                <w:szCs w:val="20"/>
              </w:rPr>
            </w:pPr>
            <w:r w:rsidRPr="00701439">
              <w:rPr>
                <w:rFonts w:asciiTheme="minorHAnsi" w:hAnsiTheme="minorHAnsi" w:cs="Arial"/>
                <w:sz w:val="20"/>
                <w:szCs w:val="20"/>
              </w:rPr>
              <w:t>– proceeds from derivatives</w:t>
            </w:r>
          </w:p>
        </w:tc>
        <w:tc>
          <w:tcPr>
            <w:tcW w:w="1189" w:type="dxa"/>
            <w:vAlign w:val="bottom"/>
          </w:tcPr>
          <w:p w14:paraId="0F73A40B" w14:textId="5F69872C" w:rsidR="003F07DE" w:rsidRPr="00701439" w:rsidRDefault="003F07DE">
            <w:pPr>
              <w:jc w:val="right"/>
              <w:rPr>
                <w:rFonts w:asciiTheme="minorHAnsi" w:hAnsiTheme="minorHAnsi" w:cs="Arial"/>
                <w:sz w:val="20"/>
                <w:szCs w:val="20"/>
              </w:rPr>
            </w:pPr>
            <w:r w:rsidRPr="00701439">
              <w:rPr>
                <w:rFonts w:asciiTheme="minorHAnsi" w:hAnsiTheme="minorHAnsi" w:cs="Arial"/>
                <w:sz w:val="20"/>
                <w:szCs w:val="20"/>
              </w:rPr>
              <w:t>11.8</w:t>
            </w:r>
          </w:p>
        </w:tc>
        <w:tc>
          <w:tcPr>
            <w:tcW w:w="1189" w:type="dxa"/>
            <w:vAlign w:val="bottom"/>
          </w:tcPr>
          <w:p w14:paraId="6268EB72" w14:textId="0FE2B57E" w:rsidR="003F07DE" w:rsidRPr="00701439" w:rsidRDefault="003F07DE">
            <w:pPr>
              <w:jc w:val="right"/>
              <w:rPr>
                <w:rFonts w:asciiTheme="minorHAnsi" w:hAnsiTheme="minorHAnsi" w:cs="Arial"/>
                <w:sz w:val="20"/>
                <w:szCs w:val="20"/>
              </w:rPr>
            </w:pPr>
            <w:r w:rsidRPr="00701439">
              <w:rPr>
                <w:rFonts w:asciiTheme="minorHAnsi" w:hAnsiTheme="minorHAnsi" w:cs="Arial"/>
                <w:sz w:val="20"/>
                <w:szCs w:val="20"/>
              </w:rPr>
              <w:t>-</w:t>
            </w:r>
          </w:p>
        </w:tc>
      </w:tr>
      <w:tr w:rsidR="00993638" w:rsidRPr="00701439" w14:paraId="03B68AE5" w14:textId="77777777">
        <w:tc>
          <w:tcPr>
            <w:tcW w:w="7545" w:type="dxa"/>
            <w:vAlign w:val="bottom"/>
          </w:tcPr>
          <w:p w14:paraId="766C8D3B" w14:textId="0A9DD840" w:rsidR="00993638" w:rsidRPr="00701439" w:rsidRDefault="00993638" w:rsidP="00993638">
            <w:pPr>
              <w:rPr>
                <w:rFonts w:asciiTheme="minorHAnsi" w:hAnsiTheme="minorHAnsi" w:cs="Arial"/>
                <w:sz w:val="20"/>
                <w:szCs w:val="20"/>
              </w:rPr>
            </w:pPr>
            <w:r w:rsidRPr="00701439">
              <w:rPr>
                <w:rFonts w:asciiTheme="minorHAnsi" w:hAnsiTheme="minorHAnsi" w:cs="Arial"/>
                <w:sz w:val="20"/>
                <w:szCs w:val="20"/>
              </w:rPr>
              <w:t xml:space="preserve">– </w:t>
            </w:r>
            <w:r w:rsidRPr="00701439">
              <w:rPr>
                <w:rFonts w:asciiTheme="minorHAnsi" w:hAnsiTheme="minorHAnsi" w:cs="Poppins-Light"/>
                <w:sz w:val="20"/>
                <w:szCs w:val="20"/>
              </w:rPr>
              <w:t>cumulative fair value movements on Visa shares transferred to income statement</w:t>
            </w:r>
          </w:p>
        </w:tc>
        <w:tc>
          <w:tcPr>
            <w:tcW w:w="1189" w:type="dxa"/>
            <w:vAlign w:val="bottom"/>
          </w:tcPr>
          <w:p w14:paraId="3D730A44" w14:textId="647DBDDA" w:rsidR="00993638" w:rsidRPr="00701439" w:rsidRDefault="00993638" w:rsidP="00993638">
            <w:pPr>
              <w:jc w:val="right"/>
              <w:rPr>
                <w:rFonts w:asciiTheme="minorHAnsi" w:hAnsiTheme="minorHAnsi" w:cs="Arial"/>
                <w:sz w:val="20"/>
                <w:szCs w:val="20"/>
              </w:rPr>
            </w:pPr>
            <w:r w:rsidRPr="00701439">
              <w:rPr>
                <w:rFonts w:asciiTheme="minorHAnsi" w:hAnsiTheme="minorHAnsi" w:cs="Arial"/>
                <w:sz w:val="20"/>
                <w:szCs w:val="20"/>
              </w:rPr>
              <w:t>-</w:t>
            </w:r>
          </w:p>
        </w:tc>
        <w:tc>
          <w:tcPr>
            <w:tcW w:w="1189" w:type="dxa"/>
            <w:vAlign w:val="bottom"/>
          </w:tcPr>
          <w:p w14:paraId="015DBA09" w14:textId="46E953A6" w:rsidR="00993638" w:rsidRPr="00701439" w:rsidRDefault="00993638" w:rsidP="00993638">
            <w:pPr>
              <w:jc w:val="right"/>
              <w:rPr>
                <w:rFonts w:asciiTheme="minorHAnsi" w:hAnsiTheme="minorHAnsi" w:cs="Arial"/>
                <w:sz w:val="20"/>
                <w:szCs w:val="20"/>
              </w:rPr>
            </w:pPr>
            <w:r w:rsidRPr="00701439">
              <w:rPr>
                <w:rFonts w:asciiTheme="minorHAnsi" w:hAnsiTheme="minorHAnsi" w:cs="Arial"/>
                <w:sz w:val="20"/>
                <w:szCs w:val="20"/>
              </w:rPr>
              <w:t>(5.2)</w:t>
            </w:r>
          </w:p>
        </w:tc>
      </w:tr>
      <w:tr w:rsidR="00993638" w:rsidRPr="00701439" w14:paraId="0D530B21" w14:textId="77777777">
        <w:tc>
          <w:tcPr>
            <w:tcW w:w="7545" w:type="dxa"/>
            <w:vAlign w:val="bottom"/>
          </w:tcPr>
          <w:p w14:paraId="4A262A26" w14:textId="003AE006" w:rsidR="00993638" w:rsidRPr="00701439" w:rsidRDefault="00993638" w:rsidP="00993638">
            <w:pPr>
              <w:rPr>
                <w:rFonts w:asciiTheme="minorHAnsi" w:hAnsiTheme="minorHAnsi" w:cs="Arial"/>
                <w:sz w:val="20"/>
                <w:szCs w:val="20"/>
              </w:rPr>
            </w:pPr>
            <w:r w:rsidRPr="00701439">
              <w:rPr>
                <w:rFonts w:asciiTheme="minorHAnsi" w:hAnsiTheme="minorHAnsi" w:cs="Arial"/>
                <w:sz w:val="20"/>
                <w:szCs w:val="20"/>
              </w:rPr>
              <w:t xml:space="preserve">– </w:t>
            </w:r>
            <w:r w:rsidRPr="00701439">
              <w:rPr>
                <w:rFonts w:asciiTheme="minorHAnsi" w:hAnsiTheme="minorHAnsi" w:cs="Poppins-Light"/>
                <w:sz w:val="20"/>
                <w:szCs w:val="20"/>
              </w:rPr>
              <w:t>current year fair value movements on Visa shares</w:t>
            </w:r>
          </w:p>
        </w:tc>
        <w:tc>
          <w:tcPr>
            <w:tcW w:w="1189" w:type="dxa"/>
            <w:vAlign w:val="bottom"/>
          </w:tcPr>
          <w:p w14:paraId="352BCA6C" w14:textId="6DB0FC0D" w:rsidR="00993638" w:rsidRPr="00701439" w:rsidRDefault="00993638" w:rsidP="00993638">
            <w:pPr>
              <w:jc w:val="right"/>
              <w:rPr>
                <w:rFonts w:asciiTheme="minorHAnsi" w:hAnsiTheme="minorHAnsi" w:cs="Arial"/>
                <w:sz w:val="20"/>
                <w:szCs w:val="20"/>
              </w:rPr>
            </w:pPr>
            <w:r w:rsidRPr="00701439">
              <w:rPr>
                <w:rFonts w:asciiTheme="minorHAnsi" w:hAnsiTheme="minorHAnsi" w:cs="Arial"/>
                <w:sz w:val="20"/>
                <w:szCs w:val="20"/>
              </w:rPr>
              <w:t>(1.6)</w:t>
            </w:r>
          </w:p>
        </w:tc>
        <w:tc>
          <w:tcPr>
            <w:tcW w:w="1189" w:type="dxa"/>
            <w:vAlign w:val="bottom"/>
          </w:tcPr>
          <w:p w14:paraId="6C016A2C" w14:textId="39C26F91" w:rsidR="00993638" w:rsidRPr="00701439" w:rsidRDefault="00993638" w:rsidP="00993638">
            <w:pPr>
              <w:jc w:val="right"/>
              <w:rPr>
                <w:rFonts w:asciiTheme="minorHAnsi" w:hAnsiTheme="minorHAnsi" w:cs="Arial"/>
                <w:sz w:val="20"/>
                <w:szCs w:val="20"/>
              </w:rPr>
            </w:pPr>
            <w:r w:rsidRPr="00701439">
              <w:rPr>
                <w:rFonts w:asciiTheme="minorHAnsi" w:hAnsiTheme="minorHAnsi" w:cs="Arial"/>
                <w:sz w:val="20"/>
                <w:szCs w:val="20"/>
              </w:rPr>
              <w:t>0.1</w:t>
            </w:r>
          </w:p>
        </w:tc>
      </w:tr>
      <w:tr w:rsidR="00993638" w:rsidRPr="00701439" w14:paraId="15714202" w14:textId="77777777">
        <w:tc>
          <w:tcPr>
            <w:tcW w:w="7545" w:type="dxa"/>
            <w:vAlign w:val="bottom"/>
          </w:tcPr>
          <w:p w14:paraId="55E160B8" w14:textId="733EE4AA" w:rsidR="00993638" w:rsidRPr="00701439" w:rsidRDefault="00993638" w:rsidP="00993638">
            <w:pPr>
              <w:rPr>
                <w:rFonts w:asciiTheme="minorHAnsi" w:hAnsiTheme="minorHAnsi" w:cs="Arial"/>
                <w:sz w:val="20"/>
                <w:szCs w:val="20"/>
              </w:rPr>
            </w:pPr>
            <w:r w:rsidRPr="00701439">
              <w:rPr>
                <w:rFonts w:asciiTheme="minorHAnsi" w:hAnsiTheme="minorHAnsi" w:cs="Arial"/>
                <w:sz w:val="20"/>
                <w:szCs w:val="20"/>
              </w:rPr>
              <w:t>– contributions into the retirement benefit scheme</w:t>
            </w:r>
          </w:p>
        </w:tc>
        <w:tc>
          <w:tcPr>
            <w:tcW w:w="1189" w:type="dxa"/>
            <w:vAlign w:val="bottom"/>
          </w:tcPr>
          <w:p w14:paraId="4248621D" w14:textId="4ED7498A" w:rsidR="00993638" w:rsidRPr="00701439" w:rsidRDefault="00993638" w:rsidP="00993638">
            <w:pPr>
              <w:jc w:val="right"/>
              <w:rPr>
                <w:rFonts w:asciiTheme="minorHAnsi" w:hAnsiTheme="minorHAnsi" w:cs="Arial"/>
                <w:sz w:val="20"/>
                <w:szCs w:val="20"/>
              </w:rPr>
            </w:pPr>
            <w:r w:rsidRPr="00701439">
              <w:rPr>
                <w:rFonts w:asciiTheme="minorHAnsi" w:hAnsiTheme="minorHAnsi" w:cs="Arial"/>
                <w:sz w:val="20"/>
                <w:szCs w:val="20"/>
              </w:rPr>
              <w:t>(2.2)</w:t>
            </w:r>
          </w:p>
        </w:tc>
        <w:tc>
          <w:tcPr>
            <w:tcW w:w="1189" w:type="dxa"/>
            <w:vAlign w:val="bottom"/>
          </w:tcPr>
          <w:p w14:paraId="6DE8C242" w14:textId="342D0FAC" w:rsidR="00993638" w:rsidRPr="00701439" w:rsidRDefault="00993638" w:rsidP="00993638">
            <w:pPr>
              <w:jc w:val="right"/>
              <w:rPr>
                <w:rFonts w:asciiTheme="minorHAnsi" w:hAnsiTheme="minorHAnsi" w:cs="Arial"/>
                <w:sz w:val="20"/>
                <w:szCs w:val="20"/>
              </w:rPr>
            </w:pPr>
            <w:r w:rsidRPr="00701439">
              <w:rPr>
                <w:rFonts w:asciiTheme="minorHAnsi" w:hAnsiTheme="minorHAnsi" w:cs="Arial"/>
                <w:sz w:val="20"/>
                <w:szCs w:val="20"/>
              </w:rPr>
              <w:t>(4.0)</w:t>
            </w:r>
          </w:p>
        </w:tc>
      </w:tr>
      <w:tr w:rsidR="00A3021A" w:rsidRPr="00701439" w14:paraId="302C1786" w14:textId="77777777">
        <w:tc>
          <w:tcPr>
            <w:tcW w:w="7545" w:type="dxa"/>
            <w:vAlign w:val="bottom"/>
          </w:tcPr>
          <w:p w14:paraId="4133E0E3"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Changes in operating assets and liabilities</w:t>
            </w:r>
          </w:p>
        </w:tc>
        <w:tc>
          <w:tcPr>
            <w:tcW w:w="1189" w:type="dxa"/>
            <w:vAlign w:val="bottom"/>
          </w:tcPr>
          <w:p w14:paraId="7E474DE3" w14:textId="77777777" w:rsidR="00A3021A" w:rsidRPr="00701439" w:rsidRDefault="00A3021A">
            <w:pPr>
              <w:jc w:val="right"/>
              <w:rPr>
                <w:rFonts w:asciiTheme="minorHAnsi" w:hAnsiTheme="minorHAnsi" w:cs="Arial"/>
                <w:sz w:val="20"/>
                <w:szCs w:val="20"/>
              </w:rPr>
            </w:pPr>
          </w:p>
        </w:tc>
        <w:tc>
          <w:tcPr>
            <w:tcW w:w="1189" w:type="dxa"/>
            <w:vAlign w:val="bottom"/>
          </w:tcPr>
          <w:p w14:paraId="1083ED1C" w14:textId="77777777" w:rsidR="00A3021A" w:rsidRPr="00701439" w:rsidRDefault="00A3021A">
            <w:pPr>
              <w:jc w:val="right"/>
              <w:rPr>
                <w:rFonts w:asciiTheme="minorHAnsi" w:hAnsiTheme="minorHAnsi" w:cs="Arial"/>
                <w:sz w:val="20"/>
                <w:szCs w:val="20"/>
              </w:rPr>
            </w:pPr>
          </w:p>
        </w:tc>
      </w:tr>
      <w:tr w:rsidR="00A3021A" w:rsidRPr="00701439" w14:paraId="780B4CBA" w14:textId="77777777">
        <w:tc>
          <w:tcPr>
            <w:tcW w:w="7545" w:type="dxa"/>
            <w:vAlign w:val="bottom"/>
          </w:tcPr>
          <w:p w14:paraId="268F4D0B"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 amounts receivable from customers</w:t>
            </w:r>
          </w:p>
        </w:tc>
        <w:tc>
          <w:tcPr>
            <w:tcW w:w="1189" w:type="dxa"/>
            <w:vAlign w:val="bottom"/>
          </w:tcPr>
          <w:p w14:paraId="628B5EE8"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(226.3)</w:t>
            </w:r>
          </w:p>
        </w:tc>
        <w:tc>
          <w:tcPr>
            <w:tcW w:w="1189" w:type="dxa"/>
            <w:vAlign w:val="bottom"/>
          </w:tcPr>
          <w:p w14:paraId="17C4E82A"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122.1</w:t>
            </w:r>
          </w:p>
        </w:tc>
      </w:tr>
      <w:tr w:rsidR="00A3021A" w:rsidRPr="00701439" w14:paraId="6F4ED37B" w14:textId="77777777">
        <w:tc>
          <w:tcPr>
            <w:tcW w:w="7545" w:type="dxa"/>
            <w:vAlign w:val="bottom"/>
          </w:tcPr>
          <w:p w14:paraId="648B619F"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 trade and other receivables</w:t>
            </w:r>
          </w:p>
        </w:tc>
        <w:tc>
          <w:tcPr>
            <w:tcW w:w="1189" w:type="dxa"/>
            <w:vAlign w:val="bottom"/>
          </w:tcPr>
          <w:p w14:paraId="522CF9E3"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(22.8)</w:t>
            </w:r>
          </w:p>
        </w:tc>
        <w:tc>
          <w:tcPr>
            <w:tcW w:w="1189" w:type="dxa"/>
            <w:vAlign w:val="bottom"/>
          </w:tcPr>
          <w:p w14:paraId="227B4D3D"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12.7</w:t>
            </w:r>
          </w:p>
        </w:tc>
      </w:tr>
      <w:tr w:rsidR="00A3021A" w:rsidRPr="00701439" w14:paraId="5F5E30CB" w14:textId="77777777">
        <w:tc>
          <w:tcPr>
            <w:tcW w:w="7545" w:type="dxa"/>
            <w:vAlign w:val="bottom"/>
          </w:tcPr>
          <w:p w14:paraId="3E1409F9" w14:textId="77777777" w:rsidR="00A3021A" w:rsidRPr="00701439" w:rsidRDefault="00A3021A">
            <w:pPr>
              <w:rPr>
                <w:rFonts w:asciiTheme="minorHAnsi" w:hAnsiTheme="minorHAnsi" w:cs="Arial"/>
                <w:sz w:val="20"/>
                <w:szCs w:val="20"/>
              </w:rPr>
            </w:pPr>
            <w:r w:rsidRPr="00701439">
              <w:rPr>
                <w:rFonts w:asciiTheme="minorHAnsi" w:hAnsiTheme="minorHAnsi" w:cs="Arial"/>
                <w:sz w:val="20"/>
                <w:szCs w:val="20"/>
              </w:rPr>
              <w:t>– trade and other payables</w:t>
            </w:r>
          </w:p>
        </w:tc>
        <w:tc>
          <w:tcPr>
            <w:tcW w:w="1189" w:type="dxa"/>
            <w:vAlign w:val="bottom"/>
          </w:tcPr>
          <w:p w14:paraId="21CF6BB4" w14:textId="5D470B8B"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w:t>
            </w:r>
            <w:r w:rsidR="009852AC" w:rsidRPr="00701439">
              <w:rPr>
                <w:rFonts w:asciiTheme="minorHAnsi" w:hAnsiTheme="minorHAnsi" w:cs="Arial"/>
                <w:sz w:val="20"/>
                <w:szCs w:val="20"/>
              </w:rPr>
              <w:t>31</w:t>
            </w:r>
            <w:r w:rsidRPr="00701439">
              <w:rPr>
                <w:rFonts w:asciiTheme="minorHAnsi" w:hAnsiTheme="minorHAnsi" w:cs="Arial"/>
                <w:sz w:val="20"/>
                <w:szCs w:val="20"/>
              </w:rPr>
              <w:t>.</w:t>
            </w:r>
            <w:r w:rsidR="009852AC" w:rsidRPr="00701439">
              <w:rPr>
                <w:rFonts w:asciiTheme="minorHAnsi" w:hAnsiTheme="minorHAnsi" w:cs="Arial"/>
                <w:sz w:val="20"/>
                <w:szCs w:val="20"/>
              </w:rPr>
              <w:t>2</w:t>
            </w:r>
            <w:r w:rsidRPr="00701439">
              <w:rPr>
                <w:rFonts w:asciiTheme="minorHAnsi" w:hAnsiTheme="minorHAnsi" w:cs="Arial"/>
                <w:sz w:val="20"/>
                <w:szCs w:val="20"/>
              </w:rPr>
              <w:t>)</w:t>
            </w:r>
          </w:p>
        </w:tc>
        <w:tc>
          <w:tcPr>
            <w:tcW w:w="1189" w:type="dxa"/>
            <w:vAlign w:val="bottom"/>
          </w:tcPr>
          <w:p w14:paraId="2D638E7E"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30.7</w:t>
            </w:r>
          </w:p>
        </w:tc>
      </w:tr>
      <w:tr w:rsidR="00A3021A" w:rsidRPr="00701439" w14:paraId="5C4D3D49" w14:textId="77777777">
        <w:tc>
          <w:tcPr>
            <w:tcW w:w="7545" w:type="dxa"/>
            <w:vAlign w:val="bottom"/>
          </w:tcPr>
          <w:p w14:paraId="4C531AD7" w14:textId="0992CB9C" w:rsidR="00A3021A" w:rsidRPr="00701439" w:rsidRDefault="00A3021A">
            <w:pPr>
              <w:rPr>
                <w:rFonts w:asciiTheme="minorHAnsi" w:hAnsiTheme="minorHAnsi" w:cs="Arial"/>
                <w:b/>
                <w:sz w:val="20"/>
                <w:szCs w:val="20"/>
              </w:rPr>
            </w:pPr>
            <w:r w:rsidRPr="00701439">
              <w:rPr>
                <w:rFonts w:asciiTheme="minorHAnsi" w:hAnsiTheme="minorHAnsi" w:cs="Arial"/>
                <w:b/>
                <w:sz w:val="20"/>
                <w:szCs w:val="20"/>
              </w:rPr>
              <w:t>Cash (used in)</w:t>
            </w:r>
            <w:r w:rsidR="00BD0B2A" w:rsidRPr="00701439">
              <w:rPr>
                <w:rFonts w:asciiTheme="minorHAnsi" w:hAnsiTheme="minorHAnsi" w:cs="Arial"/>
                <w:b/>
                <w:sz w:val="20"/>
                <w:szCs w:val="20"/>
              </w:rPr>
              <w:t>/</w:t>
            </w:r>
            <w:r w:rsidRPr="00701439">
              <w:rPr>
                <w:rFonts w:asciiTheme="minorHAnsi" w:hAnsiTheme="minorHAnsi" w:cs="Arial"/>
                <w:b/>
                <w:sz w:val="20"/>
                <w:szCs w:val="20"/>
              </w:rPr>
              <w:t>generated from operations</w:t>
            </w:r>
          </w:p>
        </w:tc>
        <w:tc>
          <w:tcPr>
            <w:tcW w:w="1189" w:type="dxa"/>
            <w:tcBorders>
              <w:top w:val="single" w:sz="4" w:space="0" w:color="auto"/>
              <w:left w:val="nil"/>
              <w:bottom w:val="single" w:sz="12" w:space="0" w:color="auto"/>
              <w:right w:val="nil"/>
            </w:tcBorders>
            <w:vAlign w:val="bottom"/>
          </w:tcPr>
          <w:p w14:paraId="2B397D81" w14:textId="5F99D9AA"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(1</w:t>
            </w:r>
            <w:r w:rsidR="009852AC" w:rsidRPr="00701439">
              <w:rPr>
                <w:rFonts w:asciiTheme="minorHAnsi" w:hAnsiTheme="minorHAnsi" w:cs="Arial"/>
                <w:sz w:val="20"/>
                <w:szCs w:val="20"/>
              </w:rPr>
              <w:t>44.</w:t>
            </w:r>
            <w:r w:rsidR="007466AF" w:rsidRPr="00701439">
              <w:rPr>
                <w:rFonts w:asciiTheme="minorHAnsi" w:hAnsiTheme="minorHAnsi" w:cs="Arial"/>
                <w:sz w:val="20"/>
                <w:szCs w:val="20"/>
              </w:rPr>
              <w:t>3</w:t>
            </w:r>
            <w:r w:rsidRPr="00701439">
              <w:rPr>
                <w:rFonts w:asciiTheme="minorHAnsi" w:hAnsiTheme="minorHAnsi" w:cs="Arial"/>
                <w:sz w:val="20"/>
                <w:szCs w:val="20"/>
              </w:rPr>
              <w:t>)</w:t>
            </w:r>
          </w:p>
        </w:tc>
        <w:tc>
          <w:tcPr>
            <w:tcW w:w="1189" w:type="dxa"/>
            <w:tcBorders>
              <w:top w:val="single" w:sz="4" w:space="0" w:color="auto"/>
              <w:left w:val="nil"/>
              <w:bottom w:val="single" w:sz="12" w:space="0" w:color="auto"/>
              <w:right w:val="nil"/>
            </w:tcBorders>
            <w:vAlign w:val="bottom"/>
          </w:tcPr>
          <w:p w14:paraId="579077B5" w14:textId="77777777" w:rsidR="00A3021A" w:rsidRPr="00701439" w:rsidRDefault="00A3021A">
            <w:pPr>
              <w:jc w:val="right"/>
              <w:rPr>
                <w:rFonts w:asciiTheme="minorHAnsi" w:hAnsiTheme="minorHAnsi" w:cs="Arial"/>
                <w:sz w:val="20"/>
                <w:szCs w:val="20"/>
              </w:rPr>
            </w:pPr>
            <w:r w:rsidRPr="00701439">
              <w:rPr>
                <w:rFonts w:asciiTheme="minorHAnsi" w:hAnsiTheme="minorHAnsi" w:cs="Arial"/>
                <w:sz w:val="20"/>
                <w:szCs w:val="20"/>
              </w:rPr>
              <w:t>240.5</w:t>
            </w:r>
          </w:p>
        </w:tc>
      </w:tr>
    </w:tbl>
    <w:p w14:paraId="1A34EDE4" w14:textId="77777777" w:rsidR="00A3021A" w:rsidRPr="00701439" w:rsidRDefault="00A3021A" w:rsidP="00A3021A">
      <w:pPr>
        <w:tabs>
          <w:tab w:val="left" w:pos="500"/>
        </w:tabs>
        <w:jc w:val="both"/>
        <w:rPr>
          <w:rFonts w:asciiTheme="minorHAnsi" w:hAnsiTheme="minorHAnsi" w:cs="Arial"/>
          <w:sz w:val="20"/>
          <w:szCs w:val="20"/>
        </w:rPr>
      </w:pPr>
    </w:p>
    <w:p w14:paraId="7B970B88" w14:textId="77777777" w:rsidR="00A3021A" w:rsidRPr="00701439" w:rsidRDefault="00A3021A" w:rsidP="00A3021A">
      <w:pPr>
        <w:ind w:left="567" w:hanging="567"/>
        <w:jc w:val="both"/>
        <w:rPr>
          <w:rFonts w:asciiTheme="minorHAnsi" w:hAnsiTheme="minorHAnsi" w:cs="Arial"/>
          <w:b/>
          <w:color w:val="4747FF"/>
          <w:sz w:val="22"/>
          <w:szCs w:val="22"/>
        </w:rPr>
      </w:pPr>
      <w:r w:rsidRPr="00701439">
        <w:rPr>
          <w:rFonts w:asciiTheme="minorHAnsi" w:hAnsiTheme="minorHAnsi" w:cs="Arial"/>
          <w:b/>
          <w:color w:val="4747FF"/>
          <w:sz w:val="22"/>
          <w:szCs w:val="22"/>
        </w:rPr>
        <w:t xml:space="preserve">14.    </w:t>
      </w:r>
      <w:r w:rsidRPr="00701439">
        <w:rPr>
          <w:rFonts w:asciiTheme="minorHAnsi" w:hAnsiTheme="minorHAnsi" w:cs="Arial"/>
          <w:b/>
          <w:color w:val="4747FF"/>
          <w:sz w:val="22"/>
          <w:szCs w:val="22"/>
        </w:rPr>
        <w:tab/>
        <w:t>Contingent liabilities</w:t>
      </w:r>
    </w:p>
    <w:p w14:paraId="6CA25A16" w14:textId="77777777" w:rsidR="00A3021A" w:rsidRPr="00701439" w:rsidRDefault="00A3021A" w:rsidP="00A3021A">
      <w:pPr>
        <w:tabs>
          <w:tab w:val="left" w:pos="500"/>
        </w:tabs>
        <w:jc w:val="both"/>
        <w:rPr>
          <w:rFonts w:asciiTheme="minorHAnsi" w:hAnsiTheme="minorHAnsi" w:cs="Arial"/>
          <w:sz w:val="20"/>
          <w:szCs w:val="20"/>
        </w:rPr>
      </w:pPr>
    </w:p>
    <w:p w14:paraId="2B66FD99" w14:textId="77777777" w:rsidR="00A3021A" w:rsidRPr="00701439" w:rsidRDefault="00A3021A" w:rsidP="00A3021A">
      <w:pPr>
        <w:autoSpaceDE w:val="0"/>
        <w:autoSpaceDN w:val="0"/>
        <w:adjustRightInd w:val="0"/>
        <w:jc w:val="both"/>
        <w:rPr>
          <w:rFonts w:asciiTheme="minorHAnsi" w:hAnsiTheme="minorHAnsi" w:cstheme="minorHAnsi"/>
          <w:b/>
          <w:sz w:val="28"/>
          <w:szCs w:val="28"/>
        </w:rPr>
      </w:pPr>
      <w:r w:rsidRPr="00701439">
        <w:rPr>
          <w:rFonts w:asciiTheme="minorHAnsi" w:hAnsiTheme="minorHAnsi" w:cstheme="minorHAnsi"/>
          <w:sz w:val="20"/>
          <w:szCs w:val="20"/>
        </w:rPr>
        <w:t xml:space="preserve">During the ordinary course of </w:t>
      </w:r>
      <w:proofErr w:type="gramStart"/>
      <w:r w:rsidRPr="00701439">
        <w:rPr>
          <w:rFonts w:asciiTheme="minorHAnsi" w:hAnsiTheme="minorHAnsi" w:cstheme="minorHAnsi"/>
          <w:sz w:val="20"/>
          <w:szCs w:val="20"/>
        </w:rPr>
        <w:t>business</w:t>
      </w:r>
      <w:proofErr w:type="gramEnd"/>
      <w:r w:rsidRPr="00701439">
        <w:rPr>
          <w:rFonts w:asciiTheme="minorHAnsi" w:hAnsiTheme="minorHAnsi" w:cstheme="minorHAnsi"/>
          <w:sz w:val="20"/>
          <w:szCs w:val="20"/>
        </w:rPr>
        <w:t xml:space="preserve"> the Group is subject to other complaints and threatened or actual legal proceedings (including class or group action claims) brought by or on behalf of current or former employees, agents, customers, investors or third parties. This extends to legal and regulatory reviews, challenges, </w:t>
      </w:r>
      <w:proofErr w:type="gramStart"/>
      <w:r w:rsidRPr="00701439">
        <w:rPr>
          <w:rFonts w:asciiTheme="minorHAnsi" w:hAnsiTheme="minorHAnsi" w:cstheme="minorHAnsi"/>
          <w:sz w:val="20"/>
          <w:szCs w:val="20"/>
        </w:rPr>
        <w:t>investigations</w:t>
      </w:r>
      <w:proofErr w:type="gramEnd"/>
      <w:r w:rsidRPr="00701439">
        <w:rPr>
          <w:rFonts w:asciiTheme="minorHAnsi" w:hAnsiTheme="minorHAnsi" w:cstheme="minorHAnsi"/>
          <w:sz w:val="20"/>
          <w:szCs w:val="20"/>
        </w:rPr>
        <w:t xml:space="preserve"> and enforcement actions combined with tax authorities taking a view that is different to the view the Group has taken on the tax treatment in its tax returns, both in the UK and overseas. All such material matters are periodically assessed, with the assistance of external professional advisors, where appropriate, to determine the likelihood of the Group incurring a liability. In those instances where it is concluded that it is more likely than not that a payment will be made, a provision is established for management’s best estimate of the amount required at the relevant balance sheet date. In some </w:t>
      </w:r>
      <w:proofErr w:type="gramStart"/>
      <w:r w:rsidRPr="00701439">
        <w:rPr>
          <w:rFonts w:asciiTheme="minorHAnsi" w:hAnsiTheme="minorHAnsi" w:cstheme="minorHAnsi"/>
          <w:sz w:val="20"/>
          <w:szCs w:val="20"/>
        </w:rPr>
        <w:t>cases</w:t>
      </w:r>
      <w:proofErr w:type="gramEnd"/>
      <w:r w:rsidRPr="00701439">
        <w:rPr>
          <w:rFonts w:asciiTheme="minorHAnsi" w:hAnsiTheme="minorHAnsi" w:cstheme="minorHAnsi"/>
          <w:sz w:val="20"/>
          <w:szCs w:val="20"/>
        </w:rPr>
        <w:t xml:space="preserve"> it may not be possible to form a view, for example because the facts are unclear or because further time is needed to properly assess the merits of the case, and no provisions are held in relation to such matters. However, the Group does not currently expect the </w:t>
      </w:r>
      <w:proofErr w:type="gramStart"/>
      <w:r w:rsidRPr="00701439">
        <w:rPr>
          <w:rFonts w:asciiTheme="minorHAnsi" w:hAnsiTheme="minorHAnsi" w:cstheme="minorHAnsi"/>
          <w:sz w:val="20"/>
          <w:szCs w:val="20"/>
        </w:rPr>
        <w:t>final outcome</w:t>
      </w:r>
      <w:proofErr w:type="gramEnd"/>
      <w:r w:rsidRPr="00701439">
        <w:rPr>
          <w:rFonts w:asciiTheme="minorHAnsi" w:hAnsiTheme="minorHAnsi" w:cstheme="minorHAnsi"/>
          <w:sz w:val="20"/>
          <w:szCs w:val="20"/>
        </w:rPr>
        <w:t xml:space="preserve"> of any such case to have a material adverse effect on its financial position, operations or cash flows.</w:t>
      </w:r>
    </w:p>
    <w:p w14:paraId="227A9CE1" w14:textId="77777777" w:rsidR="00A3021A" w:rsidRPr="00701439" w:rsidRDefault="00A3021A" w:rsidP="00A3021A">
      <w:pPr>
        <w:ind w:left="567" w:hanging="567"/>
        <w:jc w:val="both"/>
        <w:rPr>
          <w:rFonts w:asciiTheme="minorHAnsi" w:hAnsiTheme="minorHAnsi" w:cs="Arial"/>
          <w:b/>
          <w:sz w:val="20"/>
          <w:szCs w:val="20"/>
        </w:rPr>
      </w:pPr>
    </w:p>
    <w:p w14:paraId="54E12AD8" w14:textId="77777777" w:rsidR="00A3021A" w:rsidRPr="00701439" w:rsidRDefault="00A3021A" w:rsidP="00A3021A">
      <w:pPr>
        <w:ind w:left="567" w:hanging="567"/>
        <w:jc w:val="both"/>
        <w:rPr>
          <w:rFonts w:asciiTheme="minorHAnsi" w:hAnsiTheme="minorHAnsi" w:cs="Arial"/>
          <w:b/>
          <w:color w:val="4747FF"/>
          <w:sz w:val="22"/>
          <w:szCs w:val="22"/>
        </w:rPr>
      </w:pPr>
      <w:r w:rsidRPr="00701439">
        <w:rPr>
          <w:rFonts w:asciiTheme="minorHAnsi" w:hAnsiTheme="minorHAnsi" w:cs="Arial"/>
          <w:b/>
          <w:color w:val="4747FF"/>
          <w:sz w:val="22"/>
          <w:szCs w:val="22"/>
        </w:rPr>
        <w:t>15.</w:t>
      </w:r>
      <w:r w:rsidRPr="00701439">
        <w:rPr>
          <w:rFonts w:asciiTheme="minorHAnsi" w:hAnsiTheme="minorHAnsi" w:cs="Arial"/>
          <w:b/>
          <w:color w:val="4747FF"/>
          <w:sz w:val="22"/>
          <w:szCs w:val="22"/>
        </w:rPr>
        <w:tab/>
        <w:t>Post balance sheet events</w:t>
      </w:r>
    </w:p>
    <w:p w14:paraId="5D3588C4" w14:textId="77777777" w:rsidR="00A3021A" w:rsidRPr="00701439" w:rsidRDefault="00A3021A" w:rsidP="00A3021A">
      <w:pPr>
        <w:autoSpaceDE w:val="0"/>
        <w:autoSpaceDN w:val="0"/>
        <w:jc w:val="both"/>
        <w:rPr>
          <w:rFonts w:asciiTheme="minorHAnsi" w:hAnsiTheme="minorHAnsi" w:cs="Arial"/>
          <w:iCs/>
          <w:sz w:val="20"/>
          <w:szCs w:val="20"/>
          <w:lang w:val="en-US"/>
        </w:rPr>
      </w:pPr>
    </w:p>
    <w:p w14:paraId="66E5A82D" w14:textId="466D7B97" w:rsidR="009350C8" w:rsidRPr="00701439" w:rsidRDefault="009350C8" w:rsidP="0002541E">
      <w:pPr>
        <w:autoSpaceDE w:val="0"/>
        <w:autoSpaceDN w:val="0"/>
        <w:adjustRightInd w:val="0"/>
        <w:jc w:val="both"/>
        <w:rPr>
          <w:rFonts w:asciiTheme="minorHAnsi" w:hAnsiTheme="minorHAnsi" w:cstheme="minorHAnsi"/>
          <w:sz w:val="20"/>
          <w:szCs w:val="20"/>
        </w:rPr>
      </w:pPr>
      <w:r w:rsidRPr="00701439">
        <w:rPr>
          <w:rFonts w:asciiTheme="minorHAnsi" w:hAnsiTheme="minorHAnsi" w:cstheme="minorHAnsi"/>
          <w:sz w:val="20"/>
          <w:szCs w:val="20"/>
        </w:rPr>
        <w:t xml:space="preserve">Concluding in early 2023, the PRA have conducted a Capital Supervisory Review and Evaluation Process (C-SREP) of the Group’s capital requirements, based on the ICAAP approved in September 2022. The outcome is that the Group’s Total Capital Requirement own funds requirements has reduced by more than a third, from 18.3% to 11.9%. Including the current regulatory combined buffer of 3.5% (capital conservation buffer of 2.5% and countercyclical </w:t>
      </w:r>
      <w:r w:rsidR="00775CEE" w:rsidRPr="00701439">
        <w:rPr>
          <w:rFonts w:asciiTheme="minorHAnsi" w:hAnsiTheme="minorHAnsi" w:cstheme="minorHAnsi"/>
          <w:sz w:val="20"/>
          <w:szCs w:val="20"/>
        </w:rPr>
        <w:t>capital</w:t>
      </w:r>
      <w:r w:rsidRPr="00701439">
        <w:rPr>
          <w:rFonts w:asciiTheme="minorHAnsi" w:hAnsiTheme="minorHAnsi" w:cstheme="minorHAnsi"/>
          <w:sz w:val="20"/>
          <w:szCs w:val="20"/>
        </w:rPr>
        <w:t xml:space="preserve"> buffer of 1.0%), the Group’s overall capital requirement has reduced by 6.4% from 21.8% to 15.4% (excluding any confidential </w:t>
      </w:r>
      <w:r w:rsidR="003A3195" w:rsidRPr="00701439">
        <w:rPr>
          <w:rFonts w:asciiTheme="minorHAnsi" w:hAnsiTheme="minorHAnsi" w:cstheme="minorHAnsi"/>
          <w:sz w:val="20"/>
          <w:szCs w:val="20"/>
        </w:rPr>
        <w:t>and management buffers</w:t>
      </w:r>
      <w:r w:rsidRPr="00701439">
        <w:rPr>
          <w:rFonts w:asciiTheme="minorHAnsi" w:hAnsiTheme="minorHAnsi" w:cstheme="minorHAnsi"/>
          <w:sz w:val="20"/>
          <w:szCs w:val="20"/>
        </w:rPr>
        <w:t xml:space="preserve">). The reduction in capital requirements partly reflects the Group’s successful repositioning as a specialist banking group focused on lower risk customers, the receipt of the Core UK Group Waiver in November 2022, which enables the Group to leverage its retail deposit funding capabilities to fund its other lending products, and the significant amount of work undertaken to strengthen the Group-wide risk management framework. </w:t>
      </w:r>
    </w:p>
    <w:p w14:paraId="6A0DB948" w14:textId="77777777" w:rsidR="00A3021A" w:rsidRPr="00701439" w:rsidRDefault="00A3021A" w:rsidP="00571DBE">
      <w:pPr>
        <w:ind w:left="567" w:hanging="567"/>
        <w:jc w:val="both"/>
        <w:rPr>
          <w:rFonts w:asciiTheme="minorHAnsi" w:hAnsiTheme="minorHAnsi" w:cs="Arial"/>
          <w:b/>
          <w:color w:val="4747FF"/>
          <w:sz w:val="22"/>
          <w:szCs w:val="22"/>
        </w:rPr>
      </w:pPr>
      <w:bookmarkStart w:id="24" w:name="_Hlk2782897"/>
      <w:r w:rsidRPr="00701439">
        <w:rPr>
          <w:rFonts w:asciiTheme="minorHAnsi" w:hAnsiTheme="minorHAnsi" w:cs="Arial"/>
          <w:b/>
          <w:color w:val="4747FF"/>
          <w:sz w:val="22"/>
          <w:szCs w:val="22"/>
        </w:rPr>
        <w:lastRenderedPageBreak/>
        <w:t xml:space="preserve">Directors’ responsibility statement </w:t>
      </w:r>
    </w:p>
    <w:p w14:paraId="2B89DE18" w14:textId="77777777" w:rsidR="00A3021A" w:rsidRPr="00701439" w:rsidRDefault="00A3021A" w:rsidP="00A3021A">
      <w:pPr>
        <w:autoSpaceDE w:val="0"/>
        <w:autoSpaceDN w:val="0"/>
        <w:adjustRightInd w:val="0"/>
        <w:rPr>
          <w:rFonts w:ascii="Calibri" w:hAnsi="Calibri" w:cs="Calibri"/>
          <w:sz w:val="22"/>
          <w:szCs w:val="22"/>
        </w:rPr>
      </w:pPr>
      <w:bookmarkStart w:id="25" w:name="_Hlk99471762"/>
    </w:p>
    <w:bookmarkEnd w:id="24"/>
    <w:p w14:paraId="6319F783" w14:textId="294492BA" w:rsidR="00A3021A" w:rsidRPr="00701439" w:rsidRDefault="00A3021A" w:rsidP="00A3021A">
      <w:pPr>
        <w:jc w:val="both"/>
        <w:rPr>
          <w:rFonts w:asciiTheme="minorHAnsi" w:hAnsiTheme="minorHAnsi" w:cs="Arial"/>
          <w:sz w:val="20"/>
          <w:szCs w:val="20"/>
          <w:lang w:val="en-US"/>
        </w:rPr>
      </w:pPr>
      <w:r w:rsidRPr="00701439">
        <w:rPr>
          <w:rFonts w:asciiTheme="minorHAnsi" w:hAnsiTheme="minorHAnsi" w:cs="Arial"/>
          <w:sz w:val="20"/>
          <w:szCs w:val="20"/>
          <w:lang w:val="en-US"/>
        </w:rPr>
        <w:t xml:space="preserve">Each of Patrick Snowball, Chairman; Malcolm Le May, Chief Executive Officer; Neeraj Kapur, Chief Finance Officer; Andrea Blance, Senior Independent Director; Angela Knight, Non-Executive Director; Paul Hewitt, Non-Executive Director; Elizabeth Chambers, Non-Executive Director; Margot James, Non-Executive Director and Graham Lindsay, Non-Executive Director, </w:t>
      </w:r>
      <w:r w:rsidR="00D4554B" w:rsidRPr="00701439">
        <w:rPr>
          <w:rFonts w:asciiTheme="minorHAnsi" w:hAnsiTheme="minorHAnsi" w:cs="Arial"/>
          <w:sz w:val="20"/>
          <w:szCs w:val="20"/>
          <w:lang w:val="en-US"/>
        </w:rPr>
        <w:t xml:space="preserve">Michele Greene, Non-Executive Director </w:t>
      </w:r>
      <w:r w:rsidRPr="00701439">
        <w:rPr>
          <w:rFonts w:asciiTheme="minorHAnsi" w:hAnsiTheme="minorHAnsi" w:cs="Arial"/>
          <w:sz w:val="20"/>
          <w:szCs w:val="20"/>
          <w:lang w:val="en-US"/>
        </w:rPr>
        <w:t xml:space="preserve">confirms that, to the best of his or her knowledge that: </w:t>
      </w:r>
    </w:p>
    <w:bookmarkEnd w:id="25"/>
    <w:p w14:paraId="763950A7" w14:textId="77777777" w:rsidR="00A3021A" w:rsidRPr="00701439" w:rsidRDefault="00A3021A" w:rsidP="00A3021A">
      <w:pPr>
        <w:jc w:val="both"/>
        <w:rPr>
          <w:rFonts w:asciiTheme="minorHAnsi" w:hAnsiTheme="minorHAnsi" w:cs="Arial"/>
          <w:sz w:val="20"/>
          <w:szCs w:val="20"/>
          <w:lang w:val="en-US"/>
        </w:rPr>
      </w:pPr>
    </w:p>
    <w:p w14:paraId="0FD7FE5F" w14:textId="77777777" w:rsidR="00A3021A" w:rsidRPr="00701439" w:rsidRDefault="00A3021A" w:rsidP="00A3021A">
      <w:pPr>
        <w:pStyle w:val="ListParagraph"/>
        <w:numPr>
          <w:ilvl w:val="0"/>
          <w:numId w:val="10"/>
        </w:numPr>
        <w:ind w:left="709" w:hanging="283"/>
        <w:contextualSpacing w:val="0"/>
        <w:jc w:val="both"/>
        <w:rPr>
          <w:rFonts w:asciiTheme="minorHAnsi" w:hAnsiTheme="minorHAnsi"/>
          <w:sz w:val="20"/>
          <w:szCs w:val="20"/>
        </w:rPr>
      </w:pPr>
      <w:r w:rsidRPr="00701439">
        <w:rPr>
          <w:rFonts w:asciiTheme="minorHAnsi" w:hAnsiTheme="minorHAnsi"/>
          <w:iCs/>
          <w:sz w:val="20"/>
          <w:szCs w:val="20"/>
        </w:rPr>
        <w:t xml:space="preserve">the group financial statements which have been prepared in accordance with IFRS as adopted by the UK, give a true and fair view of the assets, liabilities, financial position and profit of the group, the company and the undertakings included in the consolidation taken as a whole; and </w:t>
      </w:r>
    </w:p>
    <w:p w14:paraId="6C4644F9" w14:textId="77777777" w:rsidR="00A3021A" w:rsidRPr="00701439" w:rsidRDefault="00A3021A" w:rsidP="00A3021A">
      <w:pPr>
        <w:pStyle w:val="ListParagraph"/>
        <w:numPr>
          <w:ilvl w:val="0"/>
          <w:numId w:val="10"/>
        </w:numPr>
        <w:ind w:left="709" w:hanging="283"/>
        <w:contextualSpacing w:val="0"/>
        <w:jc w:val="both"/>
        <w:rPr>
          <w:rFonts w:asciiTheme="minorHAnsi" w:hAnsiTheme="minorHAnsi"/>
          <w:sz w:val="20"/>
          <w:szCs w:val="20"/>
        </w:rPr>
      </w:pPr>
      <w:r w:rsidRPr="00701439">
        <w:rPr>
          <w:rFonts w:asciiTheme="minorHAnsi" w:hAnsiTheme="minorHAnsi"/>
          <w:iCs/>
          <w:sz w:val="20"/>
          <w:szCs w:val="20"/>
        </w:rPr>
        <w:t>the Strategic Report contained in the 2022 Annual Report and Financial Statements includes a fair review of the development and performance of the business and the position of the company and group, and the undertakings included in the consolidation taken as a whole, and a description of the principal risks and uncertainties they face.</w:t>
      </w:r>
    </w:p>
    <w:p w14:paraId="2ECE49B6" w14:textId="77777777" w:rsidR="00571DBE" w:rsidRPr="00701439" w:rsidRDefault="00571DBE" w:rsidP="00571DBE">
      <w:pPr>
        <w:jc w:val="both"/>
        <w:rPr>
          <w:rFonts w:asciiTheme="minorHAnsi" w:hAnsiTheme="minorHAnsi"/>
          <w:sz w:val="20"/>
          <w:szCs w:val="20"/>
        </w:rPr>
      </w:pPr>
    </w:p>
    <w:p w14:paraId="38C4E3A1" w14:textId="4ECB9221" w:rsidR="00654FAB" w:rsidRPr="00701439" w:rsidRDefault="00654FAB" w:rsidP="00654FAB">
      <w:pPr>
        <w:ind w:left="567" w:hanging="567"/>
        <w:jc w:val="both"/>
        <w:rPr>
          <w:rFonts w:asciiTheme="minorHAnsi" w:hAnsiTheme="minorHAnsi" w:cs="Arial"/>
          <w:b/>
          <w:color w:val="4747FF"/>
          <w:sz w:val="22"/>
          <w:szCs w:val="22"/>
        </w:rPr>
      </w:pPr>
      <w:r w:rsidRPr="00701439">
        <w:rPr>
          <w:rFonts w:asciiTheme="minorHAnsi" w:hAnsiTheme="minorHAnsi" w:cs="Arial"/>
          <w:b/>
          <w:color w:val="4747FF"/>
          <w:sz w:val="22"/>
          <w:szCs w:val="22"/>
        </w:rPr>
        <w:t xml:space="preserve">Alternative performance measures </w:t>
      </w:r>
    </w:p>
    <w:p w14:paraId="37FF6BF2" w14:textId="77777777" w:rsidR="00654FAB" w:rsidRPr="00701439" w:rsidRDefault="00654FAB" w:rsidP="00654FAB">
      <w:pPr>
        <w:ind w:left="567" w:hanging="567"/>
        <w:jc w:val="both"/>
        <w:rPr>
          <w:rFonts w:asciiTheme="minorHAnsi" w:hAnsiTheme="minorHAnsi" w:cs="Arial"/>
          <w:b/>
          <w:color w:val="4747FF"/>
          <w:sz w:val="22"/>
          <w:szCs w:val="22"/>
        </w:rPr>
      </w:pPr>
    </w:p>
    <w:p w14:paraId="47700F33" w14:textId="73037378" w:rsidR="00494E05" w:rsidRPr="00701439" w:rsidRDefault="00494E05" w:rsidP="00494E05">
      <w:pPr>
        <w:pStyle w:val="bodytext0"/>
        <w:rPr>
          <w:rFonts w:asciiTheme="minorHAnsi" w:eastAsia="Times New Roman" w:hAnsiTheme="minorHAnsi" w:cs="Times New Roman"/>
          <w:iCs/>
          <w:color w:val="auto"/>
          <w:sz w:val="20"/>
          <w:szCs w:val="20"/>
          <w:lang w:eastAsia="en-GB"/>
        </w:rPr>
      </w:pPr>
      <w:bookmarkStart w:id="26" w:name="_Hlk128656396"/>
      <w:r w:rsidRPr="00701439">
        <w:rPr>
          <w:rFonts w:asciiTheme="minorHAnsi" w:eastAsia="Times New Roman" w:hAnsiTheme="minorHAnsi" w:cs="Times New Roman"/>
          <w:iCs/>
          <w:color w:val="auto"/>
          <w:sz w:val="20"/>
          <w:szCs w:val="20"/>
          <w:lang w:eastAsia="en-GB"/>
        </w:rPr>
        <w:t xml:space="preserve">In line with our continued repositioning as a specialist banking group, the Group has taken the decision in the current year to change the presentation of our Income Statement to align with the wider banking industry. See page </w:t>
      </w:r>
      <w:r w:rsidR="006A2D7F" w:rsidRPr="00701439">
        <w:rPr>
          <w:rFonts w:asciiTheme="minorHAnsi" w:eastAsia="Times New Roman" w:hAnsiTheme="minorHAnsi" w:cs="Times New Roman"/>
          <w:iCs/>
          <w:color w:val="auto"/>
          <w:sz w:val="20"/>
          <w:szCs w:val="20"/>
          <w:lang w:eastAsia="en-GB"/>
        </w:rPr>
        <w:t>22</w:t>
      </w:r>
      <w:r w:rsidRPr="00701439">
        <w:rPr>
          <w:rFonts w:asciiTheme="minorHAnsi" w:eastAsia="Times New Roman" w:hAnsiTheme="minorHAnsi" w:cs="Times New Roman"/>
          <w:iCs/>
          <w:color w:val="auto"/>
          <w:sz w:val="20"/>
          <w:szCs w:val="20"/>
          <w:lang w:eastAsia="en-GB"/>
        </w:rPr>
        <w:t xml:space="preserve"> in the statement of accounting policies for further details on the change in presentation. In line with these changes and to </w:t>
      </w:r>
      <w:proofErr w:type="gramStart"/>
      <w:r w:rsidRPr="00701439">
        <w:rPr>
          <w:rFonts w:asciiTheme="minorHAnsi" w:eastAsia="Times New Roman" w:hAnsiTheme="minorHAnsi" w:cs="Times New Roman"/>
          <w:iCs/>
          <w:color w:val="auto"/>
          <w:sz w:val="20"/>
          <w:szCs w:val="20"/>
          <w:lang w:eastAsia="en-GB"/>
        </w:rPr>
        <w:t>more closely align to our peers</w:t>
      </w:r>
      <w:proofErr w:type="gramEnd"/>
      <w:r w:rsidRPr="00701439">
        <w:rPr>
          <w:rFonts w:asciiTheme="minorHAnsi" w:eastAsia="Times New Roman" w:hAnsiTheme="minorHAnsi" w:cs="Times New Roman"/>
          <w:iCs/>
          <w:color w:val="auto"/>
          <w:sz w:val="20"/>
          <w:szCs w:val="20"/>
          <w:lang w:eastAsia="en-GB"/>
        </w:rPr>
        <w:t xml:space="preserve"> in the industry, the Group have implemented updated APM’s to provide more relevant and reliable information for stakeholders. The changes to APM’s are summarised below and all presented APM’s have been retrospectively re</w:t>
      </w:r>
      <w:r w:rsidR="000C6B14" w:rsidRPr="00701439">
        <w:rPr>
          <w:rFonts w:asciiTheme="minorHAnsi" w:eastAsia="Times New Roman" w:hAnsiTheme="minorHAnsi" w:cs="Times New Roman"/>
          <w:iCs/>
          <w:color w:val="auto"/>
          <w:sz w:val="20"/>
          <w:szCs w:val="20"/>
          <w:lang w:eastAsia="en-GB"/>
        </w:rPr>
        <w:t>-</w:t>
      </w:r>
      <w:r w:rsidR="00CC7AD7" w:rsidRPr="00701439">
        <w:rPr>
          <w:rFonts w:asciiTheme="minorHAnsi" w:eastAsia="Times New Roman" w:hAnsiTheme="minorHAnsi" w:cs="Times New Roman"/>
          <w:iCs/>
          <w:color w:val="auto"/>
          <w:sz w:val="20"/>
          <w:szCs w:val="20"/>
          <w:lang w:eastAsia="en-GB"/>
        </w:rPr>
        <w:t>presented</w:t>
      </w:r>
      <w:r w:rsidRPr="00701439">
        <w:rPr>
          <w:rFonts w:asciiTheme="minorHAnsi" w:eastAsia="Times New Roman" w:hAnsiTheme="minorHAnsi" w:cs="Times New Roman"/>
          <w:iCs/>
          <w:color w:val="auto"/>
          <w:sz w:val="20"/>
          <w:szCs w:val="20"/>
          <w:lang w:eastAsia="en-GB"/>
        </w:rPr>
        <w:t xml:space="preserve"> in line with these changes. Unless stated below all other APM’s are presented consistently with prior years.   </w:t>
      </w:r>
    </w:p>
    <w:p w14:paraId="6C455A05" w14:textId="77777777" w:rsidR="00DD57D6" w:rsidRPr="00701439" w:rsidRDefault="00DD57D6" w:rsidP="00494E05">
      <w:pPr>
        <w:pStyle w:val="bodytext0"/>
        <w:rPr>
          <w:rFonts w:asciiTheme="minorHAnsi" w:eastAsia="Times New Roman" w:hAnsiTheme="minorHAnsi" w:cs="Times New Roman"/>
          <w:iCs/>
          <w:color w:val="auto"/>
          <w:sz w:val="20"/>
          <w:szCs w:val="20"/>
          <w:lang w:eastAsia="en-GB"/>
        </w:rPr>
      </w:pPr>
    </w:p>
    <w:tbl>
      <w:tblPr>
        <w:tblStyle w:val="TableGrid"/>
        <w:tblW w:w="0" w:type="auto"/>
        <w:jc w:val="center"/>
        <w:tblLook w:val="04A0" w:firstRow="1" w:lastRow="0" w:firstColumn="1" w:lastColumn="0" w:noHBand="0" w:noVBand="1"/>
      </w:tblPr>
      <w:tblGrid>
        <w:gridCol w:w="4508"/>
        <w:gridCol w:w="4508"/>
      </w:tblGrid>
      <w:tr w:rsidR="00494E05" w:rsidRPr="00701439" w14:paraId="091E8731" w14:textId="77777777" w:rsidTr="002054ED">
        <w:trPr>
          <w:jc w:val="center"/>
        </w:trPr>
        <w:tc>
          <w:tcPr>
            <w:tcW w:w="4508" w:type="dxa"/>
          </w:tcPr>
          <w:p w14:paraId="3103E142" w14:textId="77777777" w:rsidR="00494E05" w:rsidRPr="00701439" w:rsidRDefault="00494E05">
            <w:pPr>
              <w:rPr>
                <w:rFonts w:asciiTheme="minorHAnsi" w:hAnsiTheme="minorHAnsi"/>
                <w:b/>
                <w:sz w:val="20"/>
                <w:szCs w:val="20"/>
              </w:rPr>
            </w:pPr>
            <w:r w:rsidRPr="00701439">
              <w:rPr>
                <w:rFonts w:asciiTheme="minorHAnsi" w:hAnsiTheme="minorHAnsi"/>
                <w:b/>
                <w:sz w:val="20"/>
                <w:szCs w:val="20"/>
              </w:rPr>
              <w:t>New terminology</w:t>
            </w:r>
          </w:p>
        </w:tc>
        <w:tc>
          <w:tcPr>
            <w:tcW w:w="4508" w:type="dxa"/>
          </w:tcPr>
          <w:p w14:paraId="7CE5709F" w14:textId="77777777" w:rsidR="00494E05" w:rsidRPr="00701439" w:rsidRDefault="00494E05">
            <w:pPr>
              <w:rPr>
                <w:rFonts w:asciiTheme="minorHAnsi" w:hAnsiTheme="minorHAnsi"/>
                <w:b/>
                <w:sz w:val="20"/>
                <w:szCs w:val="20"/>
              </w:rPr>
            </w:pPr>
            <w:r w:rsidRPr="00701439">
              <w:rPr>
                <w:rFonts w:asciiTheme="minorHAnsi" w:hAnsiTheme="minorHAnsi"/>
                <w:b/>
                <w:sz w:val="20"/>
                <w:szCs w:val="20"/>
              </w:rPr>
              <w:t>Previous terminology</w:t>
            </w:r>
          </w:p>
        </w:tc>
      </w:tr>
      <w:tr w:rsidR="00494E05" w:rsidRPr="00701439" w14:paraId="1DD21414" w14:textId="77777777" w:rsidTr="002054ED">
        <w:trPr>
          <w:jc w:val="center"/>
        </w:trPr>
        <w:tc>
          <w:tcPr>
            <w:tcW w:w="4508" w:type="dxa"/>
          </w:tcPr>
          <w:p w14:paraId="733506FD" w14:textId="6671C92A" w:rsidR="00494E05" w:rsidRPr="00701439" w:rsidRDefault="00494E05">
            <w:pPr>
              <w:spacing w:after="160" w:line="259" w:lineRule="auto"/>
              <w:rPr>
                <w:rFonts w:asciiTheme="minorHAnsi" w:hAnsiTheme="minorHAnsi"/>
                <w:iCs/>
                <w:sz w:val="20"/>
                <w:szCs w:val="20"/>
              </w:rPr>
            </w:pPr>
            <w:r w:rsidRPr="00701439">
              <w:rPr>
                <w:rFonts w:asciiTheme="minorHAnsi" w:hAnsiTheme="minorHAnsi"/>
                <w:iCs/>
                <w:sz w:val="20"/>
                <w:szCs w:val="20"/>
              </w:rPr>
              <w:t>Net interest margin (£) – Interest income less interest expense, excluding exceptional items for 12 months ended 31 December</w:t>
            </w:r>
          </w:p>
        </w:tc>
        <w:tc>
          <w:tcPr>
            <w:tcW w:w="4508" w:type="dxa"/>
          </w:tcPr>
          <w:p w14:paraId="545A0DD9" w14:textId="363F32CA" w:rsidR="00494E05" w:rsidRPr="00701439" w:rsidRDefault="00494E05">
            <w:pPr>
              <w:rPr>
                <w:rFonts w:asciiTheme="minorHAnsi" w:hAnsiTheme="minorHAnsi"/>
                <w:iCs/>
                <w:sz w:val="20"/>
                <w:szCs w:val="20"/>
              </w:rPr>
            </w:pPr>
            <w:r w:rsidRPr="00701439">
              <w:rPr>
                <w:rFonts w:asciiTheme="minorHAnsi" w:hAnsiTheme="minorHAnsi"/>
                <w:iCs/>
                <w:sz w:val="20"/>
                <w:szCs w:val="20"/>
              </w:rPr>
              <w:t xml:space="preserve">Net interest margin (£) – </w:t>
            </w:r>
            <w:r w:rsidR="00BF2A75" w:rsidRPr="00701439">
              <w:rPr>
                <w:rFonts w:asciiTheme="minorHAnsi" w:hAnsiTheme="minorHAnsi"/>
                <w:iCs/>
                <w:sz w:val="20"/>
                <w:szCs w:val="20"/>
              </w:rPr>
              <w:t>T</w:t>
            </w:r>
            <w:r w:rsidRPr="00701439">
              <w:rPr>
                <w:rFonts w:asciiTheme="minorHAnsi" w:hAnsiTheme="minorHAnsi"/>
                <w:iCs/>
                <w:sz w:val="20"/>
                <w:szCs w:val="20"/>
              </w:rPr>
              <w:t>otal revenue less interest expense, excluding exceptional items for 12 months ended 31 December</w:t>
            </w:r>
          </w:p>
        </w:tc>
      </w:tr>
      <w:tr w:rsidR="00494E05" w:rsidRPr="00701439" w14:paraId="023B083B" w14:textId="77777777" w:rsidTr="002054ED">
        <w:trPr>
          <w:jc w:val="center"/>
        </w:trPr>
        <w:tc>
          <w:tcPr>
            <w:tcW w:w="4508" w:type="dxa"/>
          </w:tcPr>
          <w:p w14:paraId="1F58F95E" w14:textId="6D100AD1" w:rsidR="00494E05" w:rsidRPr="00701439" w:rsidRDefault="00494E05">
            <w:pPr>
              <w:rPr>
                <w:rFonts w:asciiTheme="minorHAnsi" w:hAnsiTheme="minorHAnsi"/>
                <w:iCs/>
                <w:sz w:val="20"/>
                <w:szCs w:val="20"/>
              </w:rPr>
            </w:pPr>
            <w:r w:rsidRPr="00701439">
              <w:rPr>
                <w:rFonts w:asciiTheme="minorHAnsi" w:hAnsiTheme="minorHAnsi"/>
                <w:iCs/>
                <w:sz w:val="20"/>
                <w:szCs w:val="20"/>
              </w:rPr>
              <w:t xml:space="preserve">Risk-adjusted income (£) – </w:t>
            </w:r>
            <w:r w:rsidR="00BF2A75" w:rsidRPr="00701439">
              <w:rPr>
                <w:rFonts w:asciiTheme="minorHAnsi" w:hAnsiTheme="minorHAnsi"/>
                <w:iCs/>
                <w:sz w:val="20"/>
                <w:szCs w:val="20"/>
              </w:rPr>
              <w:t>T</w:t>
            </w:r>
            <w:r w:rsidRPr="00701439">
              <w:rPr>
                <w:rFonts w:asciiTheme="minorHAnsi" w:hAnsiTheme="minorHAnsi"/>
                <w:iCs/>
                <w:sz w:val="20"/>
                <w:szCs w:val="20"/>
              </w:rPr>
              <w:t>otal income, excluding exceptional items less impairment charges</w:t>
            </w:r>
          </w:p>
        </w:tc>
        <w:tc>
          <w:tcPr>
            <w:tcW w:w="4508" w:type="dxa"/>
          </w:tcPr>
          <w:p w14:paraId="3363442C" w14:textId="7C5752E8" w:rsidR="00494E05" w:rsidRPr="00701439" w:rsidRDefault="00494E05">
            <w:pPr>
              <w:rPr>
                <w:rFonts w:asciiTheme="minorHAnsi" w:hAnsiTheme="minorHAnsi"/>
                <w:iCs/>
                <w:sz w:val="20"/>
                <w:szCs w:val="20"/>
              </w:rPr>
            </w:pPr>
            <w:r w:rsidRPr="00701439">
              <w:rPr>
                <w:rFonts w:asciiTheme="minorHAnsi" w:hAnsiTheme="minorHAnsi"/>
                <w:iCs/>
                <w:sz w:val="20"/>
                <w:szCs w:val="20"/>
              </w:rPr>
              <w:t xml:space="preserve">Risk-adjusted margin (£) – </w:t>
            </w:r>
            <w:r w:rsidR="00BF2A75" w:rsidRPr="00701439">
              <w:rPr>
                <w:rFonts w:asciiTheme="minorHAnsi" w:hAnsiTheme="minorHAnsi"/>
                <w:iCs/>
                <w:sz w:val="20"/>
                <w:szCs w:val="20"/>
              </w:rPr>
              <w:t>N</w:t>
            </w:r>
            <w:r w:rsidRPr="00701439">
              <w:rPr>
                <w:rFonts w:asciiTheme="minorHAnsi" w:hAnsiTheme="minorHAnsi"/>
                <w:iCs/>
                <w:sz w:val="20"/>
                <w:szCs w:val="20"/>
              </w:rPr>
              <w:t xml:space="preserve">et interest margin, excluding exceptional items less impairment </w:t>
            </w:r>
          </w:p>
        </w:tc>
      </w:tr>
      <w:tr w:rsidR="00494E05" w:rsidRPr="00701439" w14:paraId="110B27A2" w14:textId="77777777" w:rsidTr="002054ED">
        <w:trPr>
          <w:jc w:val="center"/>
        </w:trPr>
        <w:tc>
          <w:tcPr>
            <w:tcW w:w="4508" w:type="dxa"/>
          </w:tcPr>
          <w:p w14:paraId="2DB77469" w14:textId="77777777" w:rsidR="00494E05" w:rsidRPr="00701439" w:rsidRDefault="00494E05">
            <w:pPr>
              <w:rPr>
                <w:rFonts w:asciiTheme="minorHAnsi" w:hAnsiTheme="minorHAnsi"/>
                <w:iCs/>
                <w:sz w:val="20"/>
                <w:szCs w:val="20"/>
              </w:rPr>
            </w:pPr>
          </w:p>
        </w:tc>
        <w:tc>
          <w:tcPr>
            <w:tcW w:w="4508" w:type="dxa"/>
          </w:tcPr>
          <w:p w14:paraId="71F9A3BB" w14:textId="77777777" w:rsidR="00494E05" w:rsidRPr="00701439" w:rsidRDefault="00494E05">
            <w:pPr>
              <w:rPr>
                <w:rFonts w:asciiTheme="minorHAnsi" w:hAnsiTheme="minorHAnsi"/>
                <w:iCs/>
                <w:sz w:val="20"/>
                <w:szCs w:val="20"/>
              </w:rPr>
            </w:pPr>
          </w:p>
        </w:tc>
      </w:tr>
      <w:tr w:rsidR="00494E05" w:rsidRPr="00701439" w14:paraId="4873DB3D" w14:textId="77777777" w:rsidTr="002054ED">
        <w:trPr>
          <w:jc w:val="center"/>
        </w:trPr>
        <w:tc>
          <w:tcPr>
            <w:tcW w:w="4508" w:type="dxa"/>
          </w:tcPr>
          <w:p w14:paraId="73FC3E80" w14:textId="77777777" w:rsidR="00494E05" w:rsidRPr="00701439" w:rsidRDefault="00494E05">
            <w:pPr>
              <w:rPr>
                <w:rFonts w:asciiTheme="minorHAnsi" w:hAnsiTheme="minorHAnsi"/>
                <w:b/>
                <w:sz w:val="20"/>
                <w:szCs w:val="20"/>
              </w:rPr>
            </w:pPr>
            <w:r w:rsidRPr="00701439">
              <w:rPr>
                <w:rFonts w:asciiTheme="minorHAnsi" w:hAnsiTheme="minorHAnsi"/>
                <w:b/>
                <w:sz w:val="20"/>
                <w:szCs w:val="20"/>
              </w:rPr>
              <w:t>New APM</w:t>
            </w:r>
          </w:p>
        </w:tc>
        <w:tc>
          <w:tcPr>
            <w:tcW w:w="4508" w:type="dxa"/>
          </w:tcPr>
          <w:p w14:paraId="2EF6ADBC" w14:textId="77777777" w:rsidR="00494E05" w:rsidRPr="00701439" w:rsidRDefault="00494E05">
            <w:pPr>
              <w:rPr>
                <w:rFonts w:asciiTheme="minorHAnsi" w:hAnsiTheme="minorHAnsi"/>
                <w:b/>
                <w:sz w:val="20"/>
                <w:szCs w:val="20"/>
              </w:rPr>
            </w:pPr>
            <w:r w:rsidRPr="00701439">
              <w:rPr>
                <w:rFonts w:asciiTheme="minorHAnsi" w:hAnsiTheme="minorHAnsi"/>
                <w:b/>
                <w:sz w:val="20"/>
                <w:szCs w:val="20"/>
              </w:rPr>
              <w:t>Previous APM</w:t>
            </w:r>
          </w:p>
        </w:tc>
      </w:tr>
      <w:tr w:rsidR="00494E05" w:rsidRPr="00701439" w14:paraId="291CA4BE" w14:textId="77777777" w:rsidTr="002054ED">
        <w:trPr>
          <w:jc w:val="center"/>
        </w:trPr>
        <w:tc>
          <w:tcPr>
            <w:tcW w:w="4508" w:type="dxa"/>
          </w:tcPr>
          <w:p w14:paraId="1FAE9A1D" w14:textId="77777777" w:rsidR="00494E05" w:rsidRPr="00701439" w:rsidRDefault="00494E05">
            <w:pPr>
              <w:spacing w:after="160" w:line="259" w:lineRule="auto"/>
              <w:rPr>
                <w:rFonts w:asciiTheme="minorHAnsi" w:hAnsiTheme="minorHAnsi"/>
                <w:iCs/>
                <w:sz w:val="20"/>
                <w:szCs w:val="20"/>
              </w:rPr>
            </w:pPr>
            <w:r w:rsidRPr="00701439">
              <w:rPr>
                <w:rFonts w:asciiTheme="minorHAnsi" w:hAnsiTheme="minorHAnsi"/>
                <w:iCs/>
                <w:sz w:val="20"/>
                <w:szCs w:val="20"/>
              </w:rPr>
              <w:t>Average gross receivables - Average of gross customer interest earning balances for the 13 months ended 31 December</w:t>
            </w:r>
          </w:p>
        </w:tc>
        <w:tc>
          <w:tcPr>
            <w:tcW w:w="4508" w:type="dxa"/>
          </w:tcPr>
          <w:p w14:paraId="085B140B" w14:textId="77777777" w:rsidR="00494E05" w:rsidRPr="00701439" w:rsidRDefault="00494E05">
            <w:pPr>
              <w:rPr>
                <w:rFonts w:asciiTheme="minorHAnsi" w:hAnsiTheme="minorHAnsi"/>
                <w:iCs/>
                <w:sz w:val="20"/>
                <w:szCs w:val="20"/>
              </w:rPr>
            </w:pPr>
            <w:r w:rsidRPr="00701439">
              <w:rPr>
                <w:rFonts w:asciiTheme="minorHAnsi" w:hAnsiTheme="minorHAnsi"/>
                <w:iCs/>
                <w:sz w:val="20"/>
                <w:szCs w:val="20"/>
              </w:rPr>
              <w:t>Average receivables – Average of net reported receivables for the 12 months ended 31 December</w:t>
            </w:r>
          </w:p>
        </w:tc>
      </w:tr>
      <w:tr w:rsidR="00494E05" w:rsidRPr="00701439" w14:paraId="35683AA2" w14:textId="77777777" w:rsidTr="002054ED">
        <w:trPr>
          <w:jc w:val="center"/>
        </w:trPr>
        <w:tc>
          <w:tcPr>
            <w:tcW w:w="4508" w:type="dxa"/>
          </w:tcPr>
          <w:p w14:paraId="4AE8D015" w14:textId="77777777" w:rsidR="00494E05" w:rsidRPr="00701439" w:rsidRDefault="00494E05">
            <w:pPr>
              <w:spacing w:after="160" w:line="259" w:lineRule="auto"/>
              <w:rPr>
                <w:rFonts w:asciiTheme="minorHAnsi" w:hAnsiTheme="minorHAnsi"/>
                <w:iCs/>
                <w:sz w:val="20"/>
                <w:szCs w:val="20"/>
              </w:rPr>
            </w:pPr>
            <w:r w:rsidRPr="00701439">
              <w:rPr>
                <w:rFonts w:asciiTheme="minorHAnsi" w:hAnsiTheme="minorHAnsi"/>
                <w:iCs/>
                <w:sz w:val="20"/>
                <w:szCs w:val="20"/>
              </w:rPr>
              <w:t>Net interest margin (NIM) - Interest income less interest expense, excluding exceptional items for the 12 months ended 31 December as a percentage of average gross receivables</w:t>
            </w:r>
          </w:p>
        </w:tc>
        <w:tc>
          <w:tcPr>
            <w:tcW w:w="4508" w:type="dxa"/>
          </w:tcPr>
          <w:p w14:paraId="6083A545" w14:textId="77777777" w:rsidR="00494E05" w:rsidRPr="00701439" w:rsidRDefault="00494E05">
            <w:pPr>
              <w:rPr>
                <w:rFonts w:asciiTheme="minorHAnsi" w:hAnsiTheme="minorHAnsi"/>
                <w:iCs/>
                <w:sz w:val="20"/>
                <w:szCs w:val="20"/>
              </w:rPr>
            </w:pPr>
            <w:r w:rsidRPr="00701439">
              <w:rPr>
                <w:rFonts w:asciiTheme="minorHAnsi" w:hAnsiTheme="minorHAnsi"/>
                <w:iCs/>
                <w:sz w:val="20"/>
                <w:szCs w:val="20"/>
              </w:rPr>
              <w:t xml:space="preserve">Net interest margin (NIM) - Revenue </w:t>
            </w:r>
            <w:proofErr w:type="gramStart"/>
            <w:r w:rsidRPr="00701439">
              <w:rPr>
                <w:rFonts w:asciiTheme="minorHAnsi" w:hAnsiTheme="minorHAnsi"/>
                <w:iCs/>
                <w:sz w:val="20"/>
                <w:szCs w:val="20"/>
              </w:rPr>
              <w:t>less</w:t>
            </w:r>
            <w:proofErr w:type="gramEnd"/>
            <w:r w:rsidRPr="00701439">
              <w:rPr>
                <w:rFonts w:asciiTheme="minorHAnsi" w:hAnsiTheme="minorHAnsi"/>
                <w:iCs/>
                <w:sz w:val="20"/>
                <w:szCs w:val="20"/>
              </w:rPr>
              <w:t xml:space="preserve"> funding costs, excluding exceptional items for the 12 months ended 31 December as a percentage of average net receivables</w:t>
            </w:r>
          </w:p>
        </w:tc>
      </w:tr>
      <w:tr w:rsidR="00494E05" w:rsidRPr="00701439" w14:paraId="4E4A881E" w14:textId="77777777" w:rsidTr="002054ED">
        <w:trPr>
          <w:jc w:val="center"/>
        </w:trPr>
        <w:tc>
          <w:tcPr>
            <w:tcW w:w="4508" w:type="dxa"/>
          </w:tcPr>
          <w:p w14:paraId="7A9E2846" w14:textId="77777777" w:rsidR="00494E05" w:rsidRPr="00701439" w:rsidRDefault="00494E05">
            <w:pPr>
              <w:spacing w:after="160" w:line="259" w:lineRule="auto"/>
              <w:rPr>
                <w:rFonts w:asciiTheme="minorHAnsi" w:hAnsiTheme="minorHAnsi"/>
                <w:iCs/>
                <w:sz w:val="20"/>
                <w:szCs w:val="20"/>
              </w:rPr>
            </w:pPr>
            <w:r w:rsidRPr="00701439">
              <w:rPr>
                <w:rFonts w:asciiTheme="minorHAnsi" w:hAnsiTheme="minorHAnsi"/>
                <w:iCs/>
                <w:sz w:val="20"/>
                <w:szCs w:val="20"/>
              </w:rPr>
              <w:t>Risk-adjusted margin - Total income, excluding exceptional items less impairment charge for the 12 months ended 31 December as a percentage of average gross receivables</w:t>
            </w:r>
          </w:p>
        </w:tc>
        <w:tc>
          <w:tcPr>
            <w:tcW w:w="4508" w:type="dxa"/>
          </w:tcPr>
          <w:p w14:paraId="207BF3F4" w14:textId="77777777" w:rsidR="00494E05" w:rsidRPr="00701439" w:rsidRDefault="00494E05">
            <w:pPr>
              <w:rPr>
                <w:rFonts w:asciiTheme="minorHAnsi" w:hAnsiTheme="minorHAnsi"/>
                <w:iCs/>
                <w:sz w:val="20"/>
                <w:szCs w:val="20"/>
              </w:rPr>
            </w:pPr>
            <w:r w:rsidRPr="00701439">
              <w:rPr>
                <w:rFonts w:asciiTheme="minorHAnsi" w:hAnsiTheme="minorHAnsi"/>
                <w:iCs/>
                <w:sz w:val="20"/>
                <w:szCs w:val="20"/>
              </w:rPr>
              <w:t>Risk-adjusted net interest margin - NIM less impairment, excluding exceptional items for the 12 months ended 31 December as a percentage of average net receivables</w:t>
            </w:r>
          </w:p>
        </w:tc>
      </w:tr>
      <w:tr w:rsidR="00494E05" w:rsidRPr="00701439" w14:paraId="281EDB14" w14:textId="77777777" w:rsidTr="002054ED">
        <w:trPr>
          <w:jc w:val="center"/>
        </w:trPr>
        <w:tc>
          <w:tcPr>
            <w:tcW w:w="4508" w:type="dxa"/>
          </w:tcPr>
          <w:p w14:paraId="1C54D4BF" w14:textId="77777777" w:rsidR="00494E05" w:rsidRPr="00701439" w:rsidRDefault="00494E05">
            <w:pPr>
              <w:spacing w:after="160" w:line="259" w:lineRule="auto"/>
              <w:rPr>
                <w:rFonts w:asciiTheme="minorHAnsi" w:hAnsiTheme="minorHAnsi"/>
                <w:iCs/>
                <w:sz w:val="20"/>
                <w:szCs w:val="20"/>
              </w:rPr>
            </w:pPr>
            <w:r w:rsidRPr="00701439">
              <w:rPr>
                <w:rFonts w:asciiTheme="minorHAnsi" w:hAnsiTheme="minorHAnsi"/>
                <w:iCs/>
                <w:sz w:val="20"/>
                <w:szCs w:val="20"/>
              </w:rPr>
              <w:t>Asset yield - Interest income for the 12 months ended 31 December as a percentage of average gross receivables</w:t>
            </w:r>
          </w:p>
        </w:tc>
        <w:tc>
          <w:tcPr>
            <w:tcW w:w="4508" w:type="dxa"/>
          </w:tcPr>
          <w:p w14:paraId="7D7261CC" w14:textId="77777777" w:rsidR="00494E05" w:rsidRPr="00701439" w:rsidRDefault="00494E05">
            <w:pPr>
              <w:rPr>
                <w:rFonts w:asciiTheme="minorHAnsi" w:hAnsiTheme="minorHAnsi"/>
                <w:iCs/>
                <w:sz w:val="20"/>
                <w:szCs w:val="20"/>
              </w:rPr>
            </w:pPr>
            <w:r w:rsidRPr="00701439">
              <w:rPr>
                <w:rFonts w:asciiTheme="minorHAnsi" w:hAnsiTheme="minorHAnsi"/>
                <w:iCs/>
                <w:sz w:val="20"/>
                <w:szCs w:val="20"/>
              </w:rPr>
              <w:t>Revenue yield – Revenue for the 12 months ended 31 December as a percentage of average net receivables</w:t>
            </w:r>
          </w:p>
        </w:tc>
      </w:tr>
      <w:tr w:rsidR="00494E05" w:rsidRPr="00701439" w14:paraId="6988D404" w14:textId="77777777" w:rsidTr="002054ED">
        <w:trPr>
          <w:jc w:val="center"/>
        </w:trPr>
        <w:tc>
          <w:tcPr>
            <w:tcW w:w="4508" w:type="dxa"/>
          </w:tcPr>
          <w:p w14:paraId="42C74D6E" w14:textId="3D149B4C" w:rsidR="00494E05" w:rsidRPr="00701439" w:rsidRDefault="00494E05">
            <w:pPr>
              <w:spacing w:after="160" w:line="259" w:lineRule="auto"/>
              <w:rPr>
                <w:rFonts w:asciiTheme="minorHAnsi" w:hAnsiTheme="minorHAnsi"/>
                <w:iCs/>
                <w:sz w:val="20"/>
                <w:szCs w:val="20"/>
              </w:rPr>
            </w:pPr>
            <w:r w:rsidRPr="00701439">
              <w:rPr>
                <w:rFonts w:asciiTheme="minorHAnsi" w:hAnsiTheme="minorHAnsi"/>
                <w:iCs/>
                <w:sz w:val="20"/>
                <w:szCs w:val="20"/>
              </w:rPr>
              <w:t>Interest margin - Interest expense, excluding exceptional items for the 12 months ended 31 December as a percentage of average gross receivables</w:t>
            </w:r>
          </w:p>
        </w:tc>
        <w:tc>
          <w:tcPr>
            <w:tcW w:w="4508" w:type="dxa"/>
          </w:tcPr>
          <w:p w14:paraId="72F25385" w14:textId="5A9686C1" w:rsidR="00494E05" w:rsidRPr="00701439" w:rsidRDefault="00494E05">
            <w:pPr>
              <w:rPr>
                <w:rFonts w:asciiTheme="minorHAnsi" w:hAnsiTheme="minorHAnsi"/>
                <w:iCs/>
                <w:sz w:val="20"/>
                <w:szCs w:val="20"/>
              </w:rPr>
            </w:pPr>
            <w:r w:rsidRPr="00701439">
              <w:rPr>
                <w:rFonts w:asciiTheme="minorHAnsi" w:hAnsiTheme="minorHAnsi"/>
                <w:iCs/>
                <w:sz w:val="20"/>
                <w:szCs w:val="20"/>
              </w:rPr>
              <w:t xml:space="preserve">Interest margin - Finance costs for the 12 months ended 31 December as a percentage of average net </w:t>
            </w:r>
            <w:proofErr w:type="gramStart"/>
            <w:r w:rsidRPr="00701439">
              <w:rPr>
                <w:rFonts w:asciiTheme="minorHAnsi" w:hAnsiTheme="minorHAnsi"/>
                <w:iCs/>
                <w:sz w:val="20"/>
                <w:szCs w:val="20"/>
              </w:rPr>
              <w:t>receivables</w:t>
            </w:r>
            <w:proofErr w:type="gramEnd"/>
          </w:p>
          <w:p w14:paraId="557AF7FF" w14:textId="77777777" w:rsidR="00494E05" w:rsidRPr="00701439" w:rsidRDefault="00494E05">
            <w:pPr>
              <w:rPr>
                <w:rFonts w:asciiTheme="minorHAnsi" w:hAnsiTheme="minorHAnsi"/>
                <w:iCs/>
                <w:sz w:val="20"/>
                <w:szCs w:val="20"/>
              </w:rPr>
            </w:pPr>
          </w:p>
        </w:tc>
      </w:tr>
      <w:tr w:rsidR="00494E05" w:rsidRPr="00701439" w14:paraId="62C06B83" w14:textId="77777777" w:rsidTr="002054ED">
        <w:trPr>
          <w:jc w:val="center"/>
        </w:trPr>
        <w:tc>
          <w:tcPr>
            <w:tcW w:w="4508" w:type="dxa"/>
          </w:tcPr>
          <w:p w14:paraId="413A8A40" w14:textId="7F08B833" w:rsidR="00494E05" w:rsidRPr="00701439" w:rsidRDefault="00494E05">
            <w:pPr>
              <w:spacing w:after="160" w:line="259" w:lineRule="auto"/>
              <w:rPr>
                <w:rFonts w:asciiTheme="minorHAnsi" w:hAnsiTheme="minorHAnsi"/>
                <w:iCs/>
                <w:sz w:val="20"/>
                <w:szCs w:val="20"/>
              </w:rPr>
            </w:pPr>
            <w:r w:rsidRPr="00701439">
              <w:rPr>
                <w:rFonts w:asciiTheme="minorHAnsi" w:hAnsiTheme="minorHAnsi"/>
                <w:iCs/>
                <w:sz w:val="20"/>
                <w:szCs w:val="20"/>
              </w:rPr>
              <w:lastRenderedPageBreak/>
              <w:t>Cost of risk - Impairment charge</w:t>
            </w:r>
            <w:r w:rsidR="009C327E" w:rsidRPr="00701439">
              <w:rPr>
                <w:rFonts w:asciiTheme="minorHAnsi" w:hAnsiTheme="minorHAnsi"/>
                <w:iCs/>
                <w:sz w:val="20"/>
                <w:szCs w:val="20"/>
              </w:rPr>
              <w:t>s</w:t>
            </w:r>
            <w:r w:rsidRPr="00701439">
              <w:rPr>
                <w:rFonts w:asciiTheme="minorHAnsi" w:hAnsiTheme="minorHAnsi"/>
                <w:iCs/>
                <w:sz w:val="20"/>
                <w:szCs w:val="20"/>
              </w:rPr>
              <w:t xml:space="preserve"> for the 12 months ended 31 December as a percentage of average gross receivables</w:t>
            </w:r>
          </w:p>
        </w:tc>
        <w:tc>
          <w:tcPr>
            <w:tcW w:w="4508" w:type="dxa"/>
          </w:tcPr>
          <w:p w14:paraId="7DD68932" w14:textId="77777777" w:rsidR="00494E05" w:rsidRPr="00701439" w:rsidRDefault="00494E05">
            <w:pPr>
              <w:rPr>
                <w:rFonts w:asciiTheme="minorHAnsi" w:hAnsiTheme="minorHAnsi"/>
                <w:iCs/>
                <w:sz w:val="20"/>
                <w:szCs w:val="20"/>
              </w:rPr>
            </w:pPr>
            <w:r w:rsidRPr="00701439">
              <w:rPr>
                <w:rFonts w:asciiTheme="minorHAnsi" w:hAnsiTheme="minorHAnsi"/>
                <w:iCs/>
                <w:sz w:val="20"/>
                <w:szCs w:val="20"/>
              </w:rPr>
              <w:t xml:space="preserve">Impairment rate/cost of risk - Impairment charge for the 12 months ended 31 December as a percentage of average net </w:t>
            </w:r>
            <w:proofErr w:type="gramStart"/>
            <w:r w:rsidRPr="00701439">
              <w:rPr>
                <w:rFonts w:asciiTheme="minorHAnsi" w:hAnsiTheme="minorHAnsi"/>
                <w:iCs/>
                <w:sz w:val="20"/>
                <w:szCs w:val="20"/>
              </w:rPr>
              <w:t>receivables</w:t>
            </w:r>
            <w:proofErr w:type="gramEnd"/>
          </w:p>
          <w:p w14:paraId="2A5A3C1A" w14:textId="77777777" w:rsidR="00494E05" w:rsidRPr="00701439" w:rsidRDefault="00494E05">
            <w:pPr>
              <w:rPr>
                <w:rFonts w:asciiTheme="minorHAnsi" w:hAnsiTheme="minorHAnsi"/>
                <w:iCs/>
                <w:sz w:val="20"/>
                <w:szCs w:val="20"/>
              </w:rPr>
            </w:pPr>
          </w:p>
        </w:tc>
      </w:tr>
      <w:tr w:rsidR="00494E05" w:rsidRPr="00701439" w14:paraId="7387260D" w14:textId="77777777" w:rsidTr="002054ED">
        <w:trPr>
          <w:jc w:val="center"/>
        </w:trPr>
        <w:tc>
          <w:tcPr>
            <w:tcW w:w="4508" w:type="dxa"/>
          </w:tcPr>
          <w:p w14:paraId="0AE97807" w14:textId="77777777" w:rsidR="00494E05" w:rsidRPr="00701439" w:rsidRDefault="00494E05">
            <w:pPr>
              <w:spacing w:after="160" w:line="259" w:lineRule="auto"/>
              <w:rPr>
                <w:rFonts w:asciiTheme="minorHAnsi" w:hAnsiTheme="minorHAnsi"/>
                <w:iCs/>
                <w:sz w:val="20"/>
                <w:szCs w:val="20"/>
              </w:rPr>
            </w:pPr>
            <w:proofErr w:type="spellStart"/>
            <w:r w:rsidRPr="00701439">
              <w:rPr>
                <w:rFonts w:asciiTheme="minorHAnsi" w:hAnsiTheme="minorHAnsi"/>
                <w:iCs/>
                <w:sz w:val="20"/>
                <w:szCs w:val="20"/>
              </w:rPr>
              <w:t>Cost:income</w:t>
            </w:r>
            <w:proofErr w:type="spellEnd"/>
            <w:r w:rsidRPr="00701439">
              <w:rPr>
                <w:rFonts w:asciiTheme="minorHAnsi" w:hAnsiTheme="minorHAnsi"/>
                <w:iCs/>
                <w:sz w:val="20"/>
                <w:szCs w:val="20"/>
              </w:rPr>
              <w:t xml:space="preserve"> ratio - Operating costs, excluding exceptional items as a percentage of total income, excluding exceptional items for the 12 months ended 31 December</w:t>
            </w:r>
          </w:p>
        </w:tc>
        <w:tc>
          <w:tcPr>
            <w:tcW w:w="4508" w:type="dxa"/>
          </w:tcPr>
          <w:p w14:paraId="39AE6C8D" w14:textId="5BBC7347" w:rsidR="00494E05" w:rsidRPr="00701439" w:rsidRDefault="00494E05">
            <w:pPr>
              <w:rPr>
                <w:rFonts w:asciiTheme="minorHAnsi" w:hAnsiTheme="minorHAnsi"/>
                <w:iCs/>
                <w:sz w:val="20"/>
                <w:szCs w:val="20"/>
              </w:rPr>
            </w:pPr>
            <w:proofErr w:type="spellStart"/>
            <w:r w:rsidRPr="00701439">
              <w:rPr>
                <w:rFonts w:asciiTheme="minorHAnsi" w:hAnsiTheme="minorHAnsi"/>
                <w:iCs/>
                <w:sz w:val="20"/>
                <w:szCs w:val="20"/>
              </w:rPr>
              <w:t>Cost:income</w:t>
            </w:r>
            <w:proofErr w:type="spellEnd"/>
            <w:r w:rsidRPr="00701439">
              <w:rPr>
                <w:rFonts w:asciiTheme="minorHAnsi" w:hAnsiTheme="minorHAnsi"/>
                <w:iCs/>
                <w:sz w:val="20"/>
                <w:szCs w:val="20"/>
              </w:rPr>
              <w:t xml:space="preserve"> ratio - Operating costs, excluding exceptional items as a percentage of net interest margin, excluding exceptional items</w:t>
            </w:r>
            <w:r w:rsidR="00805A58" w:rsidRPr="00701439">
              <w:rPr>
                <w:rFonts w:asciiTheme="minorHAnsi" w:hAnsiTheme="minorHAnsi"/>
                <w:iCs/>
                <w:sz w:val="20"/>
                <w:szCs w:val="20"/>
              </w:rPr>
              <w:t xml:space="preserve"> for the 12 months ended 31 December</w:t>
            </w:r>
          </w:p>
        </w:tc>
      </w:tr>
      <w:tr w:rsidR="00494E05" w:rsidRPr="00701439" w14:paraId="705D90C1" w14:textId="77777777" w:rsidTr="002054ED">
        <w:trPr>
          <w:jc w:val="center"/>
        </w:trPr>
        <w:tc>
          <w:tcPr>
            <w:tcW w:w="4508" w:type="dxa"/>
          </w:tcPr>
          <w:p w14:paraId="22CBAFD8" w14:textId="3176FDFA" w:rsidR="00494E05" w:rsidRPr="00701439" w:rsidRDefault="00494E05">
            <w:pPr>
              <w:spacing w:after="160" w:line="259" w:lineRule="auto"/>
              <w:rPr>
                <w:rFonts w:asciiTheme="minorHAnsi" w:hAnsiTheme="minorHAnsi"/>
                <w:iCs/>
                <w:sz w:val="20"/>
                <w:szCs w:val="20"/>
              </w:rPr>
            </w:pPr>
            <w:r w:rsidRPr="00701439">
              <w:rPr>
                <w:rFonts w:asciiTheme="minorHAnsi" w:hAnsiTheme="minorHAnsi"/>
                <w:iCs/>
                <w:sz w:val="20"/>
                <w:szCs w:val="20"/>
              </w:rPr>
              <w:t xml:space="preserve">Adjusted return on assets (ROA) - Adjusted profit after tax for the 12 months ended 31 December as a percentage of average total assets for the 13 months ended 31 December </w:t>
            </w:r>
          </w:p>
        </w:tc>
        <w:tc>
          <w:tcPr>
            <w:tcW w:w="4508" w:type="dxa"/>
          </w:tcPr>
          <w:p w14:paraId="7B25B354" w14:textId="77777777" w:rsidR="00494E05" w:rsidRPr="00701439" w:rsidRDefault="00494E05">
            <w:pPr>
              <w:rPr>
                <w:rFonts w:asciiTheme="minorHAnsi" w:hAnsiTheme="minorHAnsi"/>
                <w:iCs/>
                <w:sz w:val="20"/>
                <w:szCs w:val="20"/>
              </w:rPr>
            </w:pPr>
            <w:r w:rsidRPr="00701439">
              <w:rPr>
                <w:rFonts w:asciiTheme="minorHAnsi" w:hAnsiTheme="minorHAnsi"/>
                <w:iCs/>
                <w:sz w:val="20"/>
                <w:szCs w:val="20"/>
              </w:rPr>
              <w:t>Adjusted return on assets (ROA) - Adjusted profit before interest after tax for the 12 months ended 31 December as a percentage of average net receivables.</w:t>
            </w:r>
          </w:p>
        </w:tc>
      </w:tr>
      <w:tr w:rsidR="00494E05" w:rsidRPr="00701439" w14:paraId="6BDE90C4" w14:textId="77777777" w:rsidTr="002054ED">
        <w:trPr>
          <w:jc w:val="center"/>
        </w:trPr>
        <w:tc>
          <w:tcPr>
            <w:tcW w:w="4508" w:type="dxa"/>
          </w:tcPr>
          <w:p w14:paraId="5087240A" w14:textId="679F4A79" w:rsidR="00494E05" w:rsidRPr="00701439" w:rsidRDefault="00494E05">
            <w:pPr>
              <w:spacing w:after="160" w:line="259" w:lineRule="auto"/>
              <w:rPr>
                <w:rFonts w:asciiTheme="minorHAnsi" w:hAnsiTheme="minorHAnsi"/>
                <w:iCs/>
                <w:sz w:val="20"/>
                <w:szCs w:val="20"/>
              </w:rPr>
            </w:pPr>
            <w:r w:rsidRPr="00701439">
              <w:rPr>
                <w:rFonts w:asciiTheme="minorHAnsi" w:hAnsiTheme="minorHAnsi"/>
                <w:iCs/>
                <w:sz w:val="20"/>
                <w:szCs w:val="20"/>
              </w:rPr>
              <w:t xml:space="preserve">Adjusted return on equity (ROE) – Adjusted profit after tax </w:t>
            </w:r>
            <w:r w:rsidR="00A25381" w:rsidRPr="00701439">
              <w:rPr>
                <w:rFonts w:asciiTheme="minorHAnsi" w:hAnsiTheme="minorHAnsi"/>
                <w:iCs/>
                <w:sz w:val="20"/>
                <w:szCs w:val="20"/>
              </w:rPr>
              <w:t>net of fair value gains</w:t>
            </w:r>
            <w:r w:rsidRPr="00701439">
              <w:rPr>
                <w:rFonts w:asciiTheme="minorHAnsi" w:hAnsiTheme="minorHAnsi"/>
                <w:iCs/>
                <w:sz w:val="20"/>
                <w:szCs w:val="20"/>
              </w:rPr>
              <w:t xml:space="preserve"> for the 12 months ended 31 December as a percentage of average adjusted equity for the 13 months ended 31 December. Adjusted equity is stated after deducting the Group’s pension asset, net of deferred tax, and the fair value of derivative financial instruments, net of deferred tax</w:t>
            </w:r>
          </w:p>
        </w:tc>
        <w:tc>
          <w:tcPr>
            <w:tcW w:w="4508" w:type="dxa"/>
          </w:tcPr>
          <w:p w14:paraId="6B7E6B12" w14:textId="64F9026F" w:rsidR="00494E05" w:rsidRPr="00701439" w:rsidRDefault="00494E05">
            <w:pPr>
              <w:rPr>
                <w:rFonts w:asciiTheme="minorHAnsi" w:hAnsiTheme="minorHAnsi"/>
                <w:iCs/>
                <w:sz w:val="20"/>
                <w:szCs w:val="20"/>
              </w:rPr>
            </w:pPr>
            <w:r w:rsidRPr="00701439">
              <w:rPr>
                <w:rFonts w:asciiTheme="minorHAnsi" w:hAnsiTheme="minorHAnsi"/>
                <w:iCs/>
                <w:sz w:val="20"/>
                <w:szCs w:val="20"/>
              </w:rPr>
              <w:t>Adjusted return on equity (ROE) - Adjusted profit after tax for the 12 months ended 31 December as a percentage of average opening and closing adjusted equity. Adjusted equity is stated after deducting the Group’s pension asset, net of deferred tax, and the fair value of derivative financial instruments, net of deferred ta</w:t>
            </w:r>
            <w:r w:rsidR="008F0BE0" w:rsidRPr="00701439">
              <w:rPr>
                <w:rFonts w:asciiTheme="minorHAnsi" w:hAnsiTheme="minorHAnsi"/>
                <w:iCs/>
                <w:sz w:val="20"/>
                <w:szCs w:val="20"/>
              </w:rPr>
              <w:t>x</w:t>
            </w:r>
          </w:p>
        </w:tc>
      </w:tr>
      <w:tr w:rsidR="00494E05" w:rsidRPr="00701439" w14:paraId="0CAC2555" w14:textId="77777777" w:rsidTr="002054ED">
        <w:trPr>
          <w:jc w:val="center"/>
        </w:trPr>
        <w:tc>
          <w:tcPr>
            <w:tcW w:w="4508" w:type="dxa"/>
          </w:tcPr>
          <w:p w14:paraId="54649987" w14:textId="3FDF4D8B" w:rsidR="00494E05" w:rsidRPr="00701439" w:rsidRDefault="00494E05">
            <w:pPr>
              <w:spacing w:after="160" w:line="259" w:lineRule="auto"/>
              <w:rPr>
                <w:rFonts w:asciiTheme="minorHAnsi" w:hAnsiTheme="minorHAnsi"/>
                <w:iCs/>
                <w:sz w:val="20"/>
                <w:szCs w:val="20"/>
              </w:rPr>
            </w:pPr>
            <w:r w:rsidRPr="00701439">
              <w:rPr>
                <w:rFonts w:asciiTheme="minorHAnsi" w:hAnsiTheme="minorHAnsi"/>
                <w:iCs/>
                <w:sz w:val="20"/>
                <w:szCs w:val="20"/>
              </w:rPr>
              <w:t xml:space="preserve">Adjusted return on tangible equity (ROTE) – Adjusted profit after tax </w:t>
            </w:r>
            <w:r w:rsidR="00A25381" w:rsidRPr="00701439">
              <w:rPr>
                <w:rFonts w:asciiTheme="minorHAnsi" w:hAnsiTheme="minorHAnsi"/>
                <w:iCs/>
                <w:sz w:val="20"/>
                <w:szCs w:val="20"/>
              </w:rPr>
              <w:t>net of fair value gains</w:t>
            </w:r>
            <w:r w:rsidRPr="00701439">
              <w:rPr>
                <w:rFonts w:asciiTheme="minorHAnsi" w:hAnsiTheme="minorHAnsi"/>
                <w:iCs/>
                <w:sz w:val="20"/>
                <w:szCs w:val="20"/>
              </w:rPr>
              <w:t xml:space="preserve"> for the 12 months ended 31 December as a percentage of average adjusted tangible equity for the 13 months ended 31 December. Adjusted tangible equity is stated as equity after deducting the Group’s pension asset, net of deferred tax, the fair value of derivative financial instruments, net of deferred tax </w:t>
            </w:r>
            <w:proofErr w:type="gramStart"/>
            <w:r w:rsidRPr="00701439">
              <w:rPr>
                <w:rFonts w:asciiTheme="minorHAnsi" w:hAnsiTheme="minorHAnsi"/>
                <w:iCs/>
                <w:sz w:val="20"/>
                <w:szCs w:val="20"/>
              </w:rPr>
              <w:t>less</w:t>
            </w:r>
            <w:proofErr w:type="gramEnd"/>
            <w:r w:rsidRPr="00701439">
              <w:rPr>
                <w:rFonts w:asciiTheme="minorHAnsi" w:hAnsiTheme="minorHAnsi"/>
                <w:iCs/>
                <w:sz w:val="20"/>
                <w:szCs w:val="20"/>
              </w:rPr>
              <w:t xml:space="preserve"> intangible assets and goodwill</w:t>
            </w:r>
          </w:p>
        </w:tc>
        <w:tc>
          <w:tcPr>
            <w:tcW w:w="4508" w:type="dxa"/>
          </w:tcPr>
          <w:p w14:paraId="3262A04B" w14:textId="74AE9294" w:rsidR="00494E05" w:rsidRPr="00701439" w:rsidRDefault="00494E05">
            <w:pPr>
              <w:rPr>
                <w:rFonts w:asciiTheme="minorHAnsi" w:hAnsiTheme="minorHAnsi"/>
                <w:iCs/>
                <w:sz w:val="20"/>
                <w:szCs w:val="20"/>
              </w:rPr>
            </w:pPr>
            <w:r w:rsidRPr="00701439">
              <w:rPr>
                <w:rFonts w:asciiTheme="minorHAnsi" w:hAnsiTheme="minorHAnsi"/>
                <w:iCs/>
                <w:sz w:val="20"/>
                <w:szCs w:val="20"/>
              </w:rPr>
              <w:t xml:space="preserve">Adjusted return on tangible equity (ROTE) - Adjusted profit after tax for the 12 months ended 31 December as a percentage of average opening and closing tangible equity. Average tangible equity reflects average equity over the period </w:t>
            </w:r>
            <w:proofErr w:type="gramStart"/>
            <w:r w:rsidRPr="00701439">
              <w:rPr>
                <w:rFonts w:asciiTheme="minorHAnsi" w:hAnsiTheme="minorHAnsi"/>
                <w:iCs/>
                <w:sz w:val="20"/>
                <w:szCs w:val="20"/>
              </w:rPr>
              <w:t>less</w:t>
            </w:r>
            <w:proofErr w:type="gramEnd"/>
            <w:r w:rsidRPr="00701439">
              <w:rPr>
                <w:rFonts w:asciiTheme="minorHAnsi" w:hAnsiTheme="minorHAnsi"/>
                <w:iCs/>
                <w:sz w:val="20"/>
                <w:szCs w:val="20"/>
              </w:rPr>
              <w:t xml:space="preserve"> intangible assets and goodwill</w:t>
            </w:r>
          </w:p>
        </w:tc>
      </w:tr>
      <w:tr w:rsidR="00494E05" w:rsidRPr="00701439" w14:paraId="020F3EFA" w14:textId="77777777" w:rsidTr="002054ED">
        <w:trPr>
          <w:jc w:val="center"/>
        </w:trPr>
        <w:tc>
          <w:tcPr>
            <w:tcW w:w="4508" w:type="dxa"/>
          </w:tcPr>
          <w:p w14:paraId="4320D750" w14:textId="683A23BC" w:rsidR="00494E05" w:rsidRPr="00701439" w:rsidRDefault="00494E05">
            <w:pPr>
              <w:spacing w:after="160" w:line="259" w:lineRule="auto"/>
              <w:rPr>
                <w:rFonts w:asciiTheme="minorHAnsi" w:hAnsiTheme="minorHAnsi"/>
                <w:iCs/>
                <w:sz w:val="20"/>
                <w:szCs w:val="20"/>
              </w:rPr>
            </w:pPr>
            <w:r w:rsidRPr="00701439">
              <w:rPr>
                <w:rFonts w:asciiTheme="minorHAnsi" w:hAnsiTheme="minorHAnsi"/>
                <w:iCs/>
                <w:sz w:val="20"/>
                <w:szCs w:val="20"/>
              </w:rPr>
              <w:t>Adjusted return on required equity (RORE) - Adjusted profit after tax for the 12 months ended 31 December as a percentage of the Group’s average PRA regulatory capital requirement including PRA buffers for the 13 months ended 31 December</w:t>
            </w:r>
          </w:p>
        </w:tc>
        <w:tc>
          <w:tcPr>
            <w:tcW w:w="4508" w:type="dxa"/>
          </w:tcPr>
          <w:p w14:paraId="5DF1030F" w14:textId="1979D9C3" w:rsidR="00494E05" w:rsidRPr="00701439" w:rsidRDefault="00494E05">
            <w:pPr>
              <w:rPr>
                <w:rFonts w:asciiTheme="minorHAnsi" w:hAnsiTheme="minorHAnsi"/>
                <w:iCs/>
                <w:sz w:val="20"/>
                <w:szCs w:val="20"/>
              </w:rPr>
            </w:pPr>
            <w:r w:rsidRPr="00701439">
              <w:rPr>
                <w:rFonts w:asciiTheme="minorHAnsi" w:hAnsiTheme="minorHAnsi"/>
                <w:iCs/>
                <w:sz w:val="20"/>
                <w:szCs w:val="20"/>
              </w:rPr>
              <w:t>Adjusted return on required equity (RORE) - Adjusted profit after tax for the 12 months ended 31 December as a percentage of the Group’s average opening and closing PRA regulatory capital requirement including PRA buffers for the period</w:t>
            </w:r>
          </w:p>
        </w:tc>
      </w:tr>
    </w:tbl>
    <w:p w14:paraId="1DEFBF36" w14:textId="77777777" w:rsidR="00494E05" w:rsidRPr="00701439" w:rsidRDefault="00494E05" w:rsidP="00494E05">
      <w:pPr>
        <w:pStyle w:val="bodytext0"/>
        <w:rPr>
          <w:rFonts w:asciiTheme="minorHAnsi" w:eastAsia="Times New Roman" w:hAnsiTheme="minorHAnsi" w:cs="Times New Roman"/>
          <w:iCs/>
          <w:color w:val="auto"/>
          <w:sz w:val="20"/>
          <w:szCs w:val="20"/>
          <w:lang w:eastAsia="en-GB"/>
        </w:rPr>
      </w:pPr>
    </w:p>
    <w:tbl>
      <w:tblPr>
        <w:tblStyle w:val="TableGrid"/>
        <w:tblW w:w="0" w:type="auto"/>
        <w:jc w:val="center"/>
        <w:tblLook w:val="04A0" w:firstRow="1" w:lastRow="0" w:firstColumn="1" w:lastColumn="0" w:noHBand="0" w:noVBand="1"/>
      </w:tblPr>
      <w:tblGrid>
        <w:gridCol w:w="3681"/>
        <w:gridCol w:w="992"/>
        <w:gridCol w:w="1418"/>
        <w:gridCol w:w="1417"/>
        <w:gridCol w:w="1508"/>
      </w:tblGrid>
      <w:tr w:rsidR="00494E05" w:rsidRPr="00701439" w14:paraId="35EA379C" w14:textId="77777777" w:rsidTr="0002541E">
        <w:trPr>
          <w:jc w:val="center"/>
        </w:trPr>
        <w:tc>
          <w:tcPr>
            <w:tcW w:w="3681" w:type="dxa"/>
          </w:tcPr>
          <w:p w14:paraId="11872B8D" w14:textId="77777777" w:rsidR="00494E05" w:rsidRPr="00701439" w:rsidRDefault="00494E05">
            <w:pPr>
              <w:rPr>
                <w:rFonts w:asciiTheme="minorHAnsi" w:hAnsiTheme="minorHAnsi"/>
                <w:iCs/>
                <w:sz w:val="20"/>
                <w:szCs w:val="20"/>
              </w:rPr>
            </w:pPr>
            <w:r w:rsidRPr="00701439">
              <w:rPr>
                <w:rFonts w:asciiTheme="minorHAnsi" w:hAnsiTheme="minorHAnsi"/>
                <w:iCs/>
                <w:sz w:val="20"/>
                <w:szCs w:val="20"/>
              </w:rPr>
              <w:t>APM</w:t>
            </w:r>
          </w:p>
        </w:tc>
        <w:tc>
          <w:tcPr>
            <w:tcW w:w="2410" w:type="dxa"/>
            <w:gridSpan w:val="2"/>
          </w:tcPr>
          <w:p w14:paraId="099E7BCB" w14:textId="49B50C19" w:rsidR="00494E05" w:rsidRPr="00701439" w:rsidRDefault="00494E05">
            <w:pPr>
              <w:jc w:val="center"/>
              <w:rPr>
                <w:rFonts w:asciiTheme="minorHAnsi" w:hAnsiTheme="minorHAnsi"/>
                <w:iCs/>
                <w:sz w:val="20"/>
                <w:szCs w:val="20"/>
              </w:rPr>
            </w:pPr>
            <w:r w:rsidRPr="00701439">
              <w:rPr>
                <w:rFonts w:asciiTheme="minorHAnsi" w:hAnsiTheme="minorHAnsi"/>
                <w:iCs/>
                <w:sz w:val="20"/>
                <w:szCs w:val="20"/>
              </w:rPr>
              <w:t>2</w:t>
            </w:r>
            <w:r w:rsidR="007372BE" w:rsidRPr="00701439">
              <w:rPr>
                <w:rFonts w:asciiTheme="minorHAnsi" w:hAnsiTheme="minorHAnsi"/>
                <w:iCs/>
                <w:sz w:val="20"/>
                <w:szCs w:val="20"/>
              </w:rPr>
              <w:t>022</w:t>
            </w:r>
          </w:p>
        </w:tc>
        <w:tc>
          <w:tcPr>
            <w:tcW w:w="2925" w:type="dxa"/>
            <w:gridSpan w:val="2"/>
          </w:tcPr>
          <w:p w14:paraId="1FFFDDBC" w14:textId="4C60691D" w:rsidR="00494E05" w:rsidRPr="00701439" w:rsidRDefault="007372BE">
            <w:pPr>
              <w:jc w:val="center"/>
              <w:rPr>
                <w:rFonts w:asciiTheme="minorHAnsi" w:hAnsiTheme="minorHAnsi"/>
                <w:iCs/>
                <w:sz w:val="20"/>
                <w:szCs w:val="20"/>
              </w:rPr>
            </w:pPr>
            <w:r w:rsidRPr="00701439">
              <w:rPr>
                <w:rFonts w:asciiTheme="minorHAnsi" w:hAnsiTheme="minorHAnsi"/>
                <w:iCs/>
                <w:sz w:val="20"/>
                <w:szCs w:val="20"/>
              </w:rPr>
              <w:t>2021</w:t>
            </w:r>
          </w:p>
        </w:tc>
      </w:tr>
      <w:tr w:rsidR="00494E05" w:rsidRPr="00701439" w14:paraId="5D08D25E" w14:textId="77777777" w:rsidTr="0002541E">
        <w:trPr>
          <w:jc w:val="center"/>
        </w:trPr>
        <w:tc>
          <w:tcPr>
            <w:tcW w:w="3681" w:type="dxa"/>
          </w:tcPr>
          <w:p w14:paraId="75642BFE" w14:textId="77777777" w:rsidR="00494E05" w:rsidRPr="00701439" w:rsidRDefault="00494E05">
            <w:pPr>
              <w:rPr>
                <w:rFonts w:asciiTheme="minorHAnsi" w:hAnsiTheme="minorHAnsi"/>
                <w:iCs/>
                <w:sz w:val="20"/>
                <w:szCs w:val="20"/>
              </w:rPr>
            </w:pPr>
          </w:p>
        </w:tc>
        <w:tc>
          <w:tcPr>
            <w:tcW w:w="992" w:type="dxa"/>
          </w:tcPr>
          <w:p w14:paraId="1EF8A4B0" w14:textId="77777777" w:rsidR="00494E05" w:rsidRPr="00701439" w:rsidRDefault="00494E05">
            <w:pPr>
              <w:rPr>
                <w:rFonts w:asciiTheme="minorHAnsi" w:hAnsiTheme="minorHAnsi"/>
                <w:iCs/>
                <w:sz w:val="20"/>
                <w:szCs w:val="20"/>
              </w:rPr>
            </w:pPr>
            <w:r w:rsidRPr="00701439">
              <w:rPr>
                <w:rFonts w:asciiTheme="minorHAnsi" w:hAnsiTheme="minorHAnsi"/>
                <w:iCs/>
                <w:sz w:val="20"/>
                <w:szCs w:val="20"/>
              </w:rPr>
              <w:t>New</w:t>
            </w:r>
          </w:p>
        </w:tc>
        <w:tc>
          <w:tcPr>
            <w:tcW w:w="1418" w:type="dxa"/>
          </w:tcPr>
          <w:p w14:paraId="43D2BFB1" w14:textId="77777777" w:rsidR="00494E05" w:rsidRPr="00701439" w:rsidRDefault="00494E05">
            <w:pPr>
              <w:rPr>
                <w:rFonts w:asciiTheme="minorHAnsi" w:hAnsiTheme="minorHAnsi"/>
                <w:iCs/>
                <w:sz w:val="20"/>
                <w:szCs w:val="20"/>
              </w:rPr>
            </w:pPr>
            <w:r w:rsidRPr="00701439">
              <w:rPr>
                <w:rFonts w:asciiTheme="minorHAnsi" w:hAnsiTheme="minorHAnsi"/>
                <w:iCs/>
                <w:sz w:val="20"/>
                <w:szCs w:val="20"/>
              </w:rPr>
              <w:t>Previous</w:t>
            </w:r>
          </w:p>
        </w:tc>
        <w:tc>
          <w:tcPr>
            <w:tcW w:w="1417" w:type="dxa"/>
          </w:tcPr>
          <w:p w14:paraId="0710B548" w14:textId="77777777" w:rsidR="00494E05" w:rsidRPr="00701439" w:rsidRDefault="00494E05">
            <w:pPr>
              <w:rPr>
                <w:rFonts w:asciiTheme="minorHAnsi" w:hAnsiTheme="minorHAnsi"/>
                <w:iCs/>
                <w:sz w:val="20"/>
                <w:szCs w:val="20"/>
              </w:rPr>
            </w:pPr>
            <w:r w:rsidRPr="00701439">
              <w:rPr>
                <w:rFonts w:asciiTheme="minorHAnsi" w:hAnsiTheme="minorHAnsi"/>
                <w:iCs/>
                <w:sz w:val="20"/>
                <w:szCs w:val="20"/>
              </w:rPr>
              <w:t>New</w:t>
            </w:r>
          </w:p>
        </w:tc>
        <w:tc>
          <w:tcPr>
            <w:tcW w:w="1508" w:type="dxa"/>
          </w:tcPr>
          <w:p w14:paraId="270745AD" w14:textId="77777777" w:rsidR="00494E05" w:rsidRPr="00701439" w:rsidRDefault="00494E05">
            <w:pPr>
              <w:rPr>
                <w:rFonts w:asciiTheme="minorHAnsi" w:hAnsiTheme="minorHAnsi"/>
                <w:iCs/>
                <w:sz w:val="20"/>
                <w:szCs w:val="20"/>
              </w:rPr>
            </w:pPr>
            <w:r w:rsidRPr="00701439">
              <w:rPr>
                <w:rFonts w:asciiTheme="minorHAnsi" w:hAnsiTheme="minorHAnsi"/>
                <w:iCs/>
                <w:sz w:val="20"/>
                <w:szCs w:val="20"/>
              </w:rPr>
              <w:t>Previous</w:t>
            </w:r>
          </w:p>
        </w:tc>
      </w:tr>
      <w:tr w:rsidR="00494E05" w:rsidRPr="00701439" w14:paraId="1C9DCD78" w14:textId="77777777" w:rsidTr="0002541E">
        <w:trPr>
          <w:jc w:val="center"/>
        </w:trPr>
        <w:tc>
          <w:tcPr>
            <w:tcW w:w="3681" w:type="dxa"/>
          </w:tcPr>
          <w:p w14:paraId="367B35CB" w14:textId="77777777" w:rsidR="00494E05" w:rsidRPr="00701439" w:rsidRDefault="00494E05">
            <w:pPr>
              <w:rPr>
                <w:rFonts w:asciiTheme="minorHAnsi" w:hAnsiTheme="minorHAnsi"/>
                <w:iCs/>
                <w:sz w:val="20"/>
                <w:szCs w:val="20"/>
              </w:rPr>
            </w:pPr>
            <w:r w:rsidRPr="00701439">
              <w:rPr>
                <w:rFonts w:asciiTheme="minorHAnsi" w:hAnsiTheme="minorHAnsi"/>
                <w:iCs/>
                <w:sz w:val="20"/>
                <w:szCs w:val="20"/>
              </w:rPr>
              <w:t>Net interest margin</w:t>
            </w:r>
          </w:p>
        </w:tc>
        <w:tc>
          <w:tcPr>
            <w:tcW w:w="992" w:type="dxa"/>
          </w:tcPr>
          <w:p w14:paraId="2FCB77D3" w14:textId="29AD5487" w:rsidR="00494E05" w:rsidRPr="00701439" w:rsidRDefault="00494E05">
            <w:pPr>
              <w:jc w:val="right"/>
              <w:rPr>
                <w:rFonts w:asciiTheme="minorHAnsi" w:hAnsiTheme="minorHAnsi"/>
                <w:iCs/>
                <w:sz w:val="20"/>
                <w:szCs w:val="20"/>
              </w:rPr>
            </w:pPr>
            <w:r w:rsidRPr="00701439">
              <w:rPr>
                <w:rFonts w:asciiTheme="minorHAnsi" w:hAnsiTheme="minorHAnsi"/>
                <w:iCs/>
                <w:sz w:val="20"/>
                <w:szCs w:val="20"/>
              </w:rPr>
              <w:t>21.</w:t>
            </w:r>
            <w:r w:rsidR="00760404" w:rsidRPr="00701439">
              <w:rPr>
                <w:rFonts w:asciiTheme="minorHAnsi" w:hAnsiTheme="minorHAnsi"/>
                <w:iCs/>
                <w:sz w:val="20"/>
                <w:szCs w:val="20"/>
              </w:rPr>
              <w:t>0</w:t>
            </w:r>
            <w:r w:rsidRPr="00701439">
              <w:rPr>
                <w:rFonts w:asciiTheme="minorHAnsi" w:hAnsiTheme="minorHAnsi"/>
                <w:iCs/>
                <w:sz w:val="20"/>
                <w:szCs w:val="20"/>
              </w:rPr>
              <w:t>%</w:t>
            </w:r>
          </w:p>
        </w:tc>
        <w:tc>
          <w:tcPr>
            <w:tcW w:w="1418" w:type="dxa"/>
          </w:tcPr>
          <w:p w14:paraId="2BC0B3A5" w14:textId="77777777" w:rsidR="00494E05" w:rsidRPr="00701439" w:rsidRDefault="00494E05">
            <w:pPr>
              <w:jc w:val="right"/>
              <w:rPr>
                <w:rFonts w:asciiTheme="minorHAnsi" w:hAnsiTheme="minorHAnsi"/>
                <w:iCs/>
                <w:sz w:val="20"/>
                <w:szCs w:val="20"/>
              </w:rPr>
            </w:pPr>
            <w:r w:rsidRPr="00701439">
              <w:rPr>
                <w:rFonts w:asciiTheme="minorHAnsi" w:hAnsiTheme="minorHAnsi"/>
                <w:iCs/>
                <w:sz w:val="20"/>
                <w:szCs w:val="20"/>
              </w:rPr>
              <w:t>28.1%</w:t>
            </w:r>
          </w:p>
        </w:tc>
        <w:tc>
          <w:tcPr>
            <w:tcW w:w="1417" w:type="dxa"/>
          </w:tcPr>
          <w:p w14:paraId="1AB87A30" w14:textId="77777777" w:rsidR="00494E05" w:rsidRPr="00701439" w:rsidRDefault="00494E05">
            <w:pPr>
              <w:jc w:val="right"/>
              <w:rPr>
                <w:rFonts w:asciiTheme="minorHAnsi" w:hAnsiTheme="minorHAnsi"/>
                <w:iCs/>
                <w:sz w:val="20"/>
                <w:szCs w:val="20"/>
              </w:rPr>
            </w:pPr>
            <w:r w:rsidRPr="00701439">
              <w:rPr>
                <w:rFonts w:asciiTheme="minorHAnsi" w:hAnsiTheme="minorHAnsi"/>
                <w:iCs/>
                <w:sz w:val="20"/>
                <w:szCs w:val="20"/>
              </w:rPr>
              <w:t>20.5%</w:t>
            </w:r>
          </w:p>
        </w:tc>
        <w:tc>
          <w:tcPr>
            <w:tcW w:w="1508" w:type="dxa"/>
          </w:tcPr>
          <w:p w14:paraId="32345496" w14:textId="77777777" w:rsidR="00494E05" w:rsidRPr="00701439" w:rsidRDefault="00494E05">
            <w:pPr>
              <w:jc w:val="right"/>
              <w:rPr>
                <w:rFonts w:asciiTheme="minorHAnsi" w:hAnsiTheme="minorHAnsi"/>
                <w:iCs/>
                <w:sz w:val="20"/>
                <w:szCs w:val="20"/>
              </w:rPr>
            </w:pPr>
            <w:r w:rsidRPr="00701439">
              <w:rPr>
                <w:rFonts w:asciiTheme="minorHAnsi" w:hAnsiTheme="minorHAnsi"/>
                <w:iCs/>
                <w:sz w:val="20"/>
                <w:szCs w:val="20"/>
              </w:rPr>
              <w:t>30.0%</w:t>
            </w:r>
          </w:p>
        </w:tc>
      </w:tr>
      <w:tr w:rsidR="00494E05" w:rsidRPr="00701439" w14:paraId="0EB0CC32" w14:textId="77777777" w:rsidTr="0002541E">
        <w:trPr>
          <w:jc w:val="center"/>
        </w:trPr>
        <w:tc>
          <w:tcPr>
            <w:tcW w:w="3681" w:type="dxa"/>
          </w:tcPr>
          <w:p w14:paraId="6CE0394D" w14:textId="77777777" w:rsidR="00494E05" w:rsidRPr="00701439" w:rsidRDefault="00494E05">
            <w:pPr>
              <w:rPr>
                <w:rFonts w:asciiTheme="minorHAnsi" w:hAnsiTheme="minorHAnsi"/>
                <w:iCs/>
                <w:sz w:val="20"/>
                <w:szCs w:val="20"/>
              </w:rPr>
            </w:pPr>
            <w:r w:rsidRPr="00701439">
              <w:rPr>
                <w:rFonts w:asciiTheme="minorHAnsi" w:hAnsiTheme="minorHAnsi"/>
                <w:iCs/>
                <w:sz w:val="20"/>
                <w:szCs w:val="20"/>
              </w:rPr>
              <w:t>Risk-adjusted margin</w:t>
            </w:r>
          </w:p>
        </w:tc>
        <w:tc>
          <w:tcPr>
            <w:tcW w:w="992" w:type="dxa"/>
          </w:tcPr>
          <w:p w14:paraId="71032E77" w14:textId="77777777" w:rsidR="00494E05" w:rsidRPr="00701439" w:rsidRDefault="00494E05">
            <w:pPr>
              <w:jc w:val="right"/>
              <w:rPr>
                <w:rFonts w:asciiTheme="minorHAnsi" w:hAnsiTheme="minorHAnsi"/>
                <w:iCs/>
                <w:sz w:val="20"/>
                <w:szCs w:val="20"/>
              </w:rPr>
            </w:pPr>
            <w:r w:rsidRPr="00701439">
              <w:rPr>
                <w:rFonts w:asciiTheme="minorHAnsi" w:hAnsiTheme="minorHAnsi"/>
                <w:iCs/>
                <w:sz w:val="20"/>
                <w:szCs w:val="20"/>
              </w:rPr>
              <w:t>20.3%</w:t>
            </w:r>
          </w:p>
        </w:tc>
        <w:tc>
          <w:tcPr>
            <w:tcW w:w="1418" w:type="dxa"/>
          </w:tcPr>
          <w:p w14:paraId="221A6FDC" w14:textId="77777777" w:rsidR="00494E05" w:rsidRPr="00701439" w:rsidRDefault="00494E05">
            <w:pPr>
              <w:jc w:val="right"/>
              <w:rPr>
                <w:rFonts w:asciiTheme="minorHAnsi" w:hAnsiTheme="minorHAnsi"/>
                <w:iCs/>
                <w:sz w:val="20"/>
                <w:szCs w:val="20"/>
              </w:rPr>
            </w:pPr>
            <w:r w:rsidRPr="00701439">
              <w:rPr>
                <w:rFonts w:asciiTheme="minorHAnsi" w:hAnsiTheme="minorHAnsi"/>
                <w:iCs/>
                <w:sz w:val="20"/>
                <w:szCs w:val="20"/>
              </w:rPr>
              <w:t>24.2%</w:t>
            </w:r>
          </w:p>
        </w:tc>
        <w:tc>
          <w:tcPr>
            <w:tcW w:w="1417" w:type="dxa"/>
          </w:tcPr>
          <w:p w14:paraId="6B4222A9" w14:textId="77777777" w:rsidR="00494E05" w:rsidRPr="00701439" w:rsidRDefault="00494E05">
            <w:pPr>
              <w:jc w:val="right"/>
              <w:rPr>
                <w:rFonts w:asciiTheme="minorHAnsi" w:hAnsiTheme="minorHAnsi"/>
                <w:iCs/>
                <w:sz w:val="20"/>
                <w:szCs w:val="20"/>
              </w:rPr>
            </w:pPr>
            <w:r w:rsidRPr="00701439">
              <w:rPr>
                <w:rFonts w:asciiTheme="minorHAnsi" w:hAnsiTheme="minorHAnsi"/>
                <w:iCs/>
                <w:sz w:val="20"/>
                <w:szCs w:val="20"/>
              </w:rPr>
              <w:t>20.8%</w:t>
            </w:r>
          </w:p>
        </w:tc>
        <w:tc>
          <w:tcPr>
            <w:tcW w:w="1508" w:type="dxa"/>
          </w:tcPr>
          <w:p w14:paraId="6338A222" w14:textId="77777777" w:rsidR="00494E05" w:rsidRPr="00701439" w:rsidRDefault="00494E05">
            <w:pPr>
              <w:jc w:val="right"/>
              <w:rPr>
                <w:rFonts w:asciiTheme="minorHAnsi" w:hAnsiTheme="minorHAnsi"/>
                <w:iCs/>
                <w:sz w:val="20"/>
                <w:szCs w:val="20"/>
              </w:rPr>
            </w:pPr>
            <w:r w:rsidRPr="00701439">
              <w:rPr>
                <w:rFonts w:asciiTheme="minorHAnsi" w:hAnsiTheme="minorHAnsi"/>
                <w:iCs/>
                <w:sz w:val="20"/>
                <w:szCs w:val="20"/>
              </w:rPr>
              <w:t>26.9%</w:t>
            </w:r>
          </w:p>
        </w:tc>
      </w:tr>
      <w:tr w:rsidR="00494E05" w:rsidRPr="00701439" w14:paraId="6273C92E" w14:textId="77777777" w:rsidTr="0002541E">
        <w:trPr>
          <w:jc w:val="center"/>
        </w:trPr>
        <w:tc>
          <w:tcPr>
            <w:tcW w:w="3681" w:type="dxa"/>
          </w:tcPr>
          <w:p w14:paraId="2F964579" w14:textId="77777777" w:rsidR="00494E05" w:rsidRPr="00701439" w:rsidRDefault="00494E05">
            <w:pPr>
              <w:rPr>
                <w:rFonts w:asciiTheme="minorHAnsi" w:hAnsiTheme="minorHAnsi"/>
                <w:iCs/>
                <w:sz w:val="20"/>
                <w:szCs w:val="20"/>
              </w:rPr>
            </w:pPr>
            <w:r w:rsidRPr="00701439">
              <w:rPr>
                <w:rFonts w:asciiTheme="minorHAnsi" w:hAnsiTheme="minorHAnsi"/>
                <w:iCs/>
                <w:sz w:val="20"/>
                <w:szCs w:val="20"/>
              </w:rPr>
              <w:t>Asset yield</w:t>
            </w:r>
          </w:p>
        </w:tc>
        <w:tc>
          <w:tcPr>
            <w:tcW w:w="992" w:type="dxa"/>
          </w:tcPr>
          <w:p w14:paraId="32F40C59" w14:textId="77777777" w:rsidR="00494E05" w:rsidRPr="00701439" w:rsidRDefault="00494E05">
            <w:pPr>
              <w:jc w:val="right"/>
              <w:rPr>
                <w:rFonts w:asciiTheme="minorHAnsi" w:hAnsiTheme="minorHAnsi"/>
                <w:iCs/>
                <w:sz w:val="20"/>
                <w:szCs w:val="20"/>
              </w:rPr>
            </w:pPr>
            <w:r w:rsidRPr="00701439">
              <w:rPr>
                <w:rFonts w:asciiTheme="minorHAnsi" w:hAnsiTheme="minorHAnsi"/>
                <w:iCs/>
                <w:sz w:val="20"/>
                <w:szCs w:val="20"/>
              </w:rPr>
              <w:t>23.9%</w:t>
            </w:r>
          </w:p>
        </w:tc>
        <w:tc>
          <w:tcPr>
            <w:tcW w:w="1418" w:type="dxa"/>
          </w:tcPr>
          <w:p w14:paraId="578A808E" w14:textId="79909475" w:rsidR="00494E05" w:rsidRPr="00701439" w:rsidRDefault="00494E05">
            <w:pPr>
              <w:jc w:val="right"/>
              <w:rPr>
                <w:rFonts w:asciiTheme="minorHAnsi" w:hAnsiTheme="minorHAnsi"/>
                <w:iCs/>
                <w:sz w:val="20"/>
                <w:szCs w:val="20"/>
              </w:rPr>
            </w:pPr>
            <w:r w:rsidRPr="00701439">
              <w:rPr>
                <w:rFonts w:asciiTheme="minorHAnsi" w:hAnsiTheme="minorHAnsi"/>
                <w:iCs/>
                <w:sz w:val="20"/>
                <w:szCs w:val="20"/>
              </w:rPr>
              <w:t>31.</w:t>
            </w:r>
            <w:r w:rsidR="00C416F4" w:rsidRPr="00701439">
              <w:rPr>
                <w:rFonts w:asciiTheme="minorHAnsi" w:hAnsiTheme="minorHAnsi"/>
                <w:iCs/>
                <w:sz w:val="20"/>
                <w:szCs w:val="20"/>
              </w:rPr>
              <w:t>5</w:t>
            </w:r>
            <w:r w:rsidRPr="00701439">
              <w:rPr>
                <w:rFonts w:asciiTheme="minorHAnsi" w:hAnsiTheme="minorHAnsi"/>
                <w:iCs/>
                <w:sz w:val="20"/>
                <w:szCs w:val="20"/>
              </w:rPr>
              <w:t>%</w:t>
            </w:r>
          </w:p>
        </w:tc>
        <w:tc>
          <w:tcPr>
            <w:tcW w:w="1417" w:type="dxa"/>
          </w:tcPr>
          <w:p w14:paraId="7772B9B3" w14:textId="77777777" w:rsidR="00494E05" w:rsidRPr="00701439" w:rsidRDefault="00494E05">
            <w:pPr>
              <w:jc w:val="right"/>
              <w:rPr>
                <w:rFonts w:asciiTheme="minorHAnsi" w:hAnsiTheme="minorHAnsi"/>
                <w:iCs/>
                <w:sz w:val="20"/>
                <w:szCs w:val="20"/>
              </w:rPr>
            </w:pPr>
            <w:r w:rsidRPr="00701439">
              <w:rPr>
                <w:rFonts w:asciiTheme="minorHAnsi" w:hAnsiTheme="minorHAnsi"/>
                <w:iCs/>
                <w:sz w:val="20"/>
                <w:szCs w:val="20"/>
              </w:rPr>
              <w:t>22.8%</w:t>
            </w:r>
          </w:p>
        </w:tc>
        <w:tc>
          <w:tcPr>
            <w:tcW w:w="1508" w:type="dxa"/>
          </w:tcPr>
          <w:p w14:paraId="074AFA5F" w14:textId="77777777" w:rsidR="00494E05" w:rsidRPr="00701439" w:rsidRDefault="00494E05">
            <w:pPr>
              <w:jc w:val="right"/>
              <w:rPr>
                <w:rFonts w:asciiTheme="minorHAnsi" w:hAnsiTheme="minorHAnsi"/>
                <w:iCs/>
                <w:sz w:val="20"/>
                <w:szCs w:val="20"/>
              </w:rPr>
            </w:pPr>
            <w:r w:rsidRPr="00701439">
              <w:rPr>
                <w:rFonts w:asciiTheme="minorHAnsi" w:hAnsiTheme="minorHAnsi"/>
                <w:iCs/>
                <w:sz w:val="20"/>
                <w:szCs w:val="20"/>
              </w:rPr>
              <w:t>33.1%</w:t>
            </w:r>
          </w:p>
        </w:tc>
      </w:tr>
      <w:tr w:rsidR="00494E05" w:rsidRPr="00701439" w14:paraId="62F798C7" w14:textId="77777777" w:rsidTr="0002541E">
        <w:trPr>
          <w:jc w:val="center"/>
        </w:trPr>
        <w:tc>
          <w:tcPr>
            <w:tcW w:w="3681" w:type="dxa"/>
          </w:tcPr>
          <w:p w14:paraId="0EF9CC2C" w14:textId="77777777" w:rsidR="00494E05" w:rsidRPr="00701439" w:rsidRDefault="00494E05">
            <w:pPr>
              <w:rPr>
                <w:rFonts w:asciiTheme="minorHAnsi" w:hAnsiTheme="minorHAnsi"/>
                <w:iCs/>
                <w:sz w:val="20"/>
                <w:szCs w:val="20"/>
              </w:rPr>
            </w:pPr>
            <w:r w:rsidRPr="00701439">
              <w:rPr>
                <w:rFonts w:asciiTheme="minorHAnsi" w:hAnsiTheme="minorHAnsi"/>
                <w:iCs/>
                <w:sz w:val="20"/>
                <w:szCs w:val="20"/>
              </w:rPr>
              <w:t>Interest margin/cost of funds</w:t>
            </w:r>
          </w:p>
        </w:tc>
        <w:tc>
          <w:tcPr>
            <w:tcW w:w="992" w:type="dxa"/>
          </w:tcPr>
          <w:p w14:paraId="201A5B06" w14:textId="3A9C4F67" w:rsidR="00494E05" w:rsidRPr="00701439" w:rsidRDefault="00494E05">
            <w:pPr>
              <w:jc w:val="right"/>
              <w:rPr>
                <w:rFonts w:asciiTheme="minorHAnsi" w:hAnsiTheme="minorHAnsi"/>
                <w:iCs/>
                <w:sz w:val="20"/>
                <w:szCs w:val="20"/>
              </w:rPr>
            </w:pPr>
            <w:r w:rsidRPr="00701439">
              <w:rPr>
                <w:rFonts w:asciiTheme="minorHAnsi" w:hAnsiTheme="minorHAnsi"/>
                <w:iCs/>
                <w:sz w:val="20"/>
                <w:szCs w:val="20"/>
              </w:rPr>
              <w:t>2.</w:t>
            </w:r>
            <w:r w:rsidR="00C416F4" w:rsidRPr="00701439">
              <w:rPr>
                <w:rFonts w:asciiTheme="minorHAnsi" w:hAnsiTheme="minorHAnsi"/>
                <w:iCs/>
                <w:sz w:val="20"/>
                <w:szCs w:val="20"/>
              </w:rPr>
              <w:t>9</w:t>
            </w:r>
            <w:r w:rsidRPr="00701439">
              <w:rPr>
                <w:rFonts w:asciiTheme="minorHAnsi" w:hAnsiTheme="minorHAnsi"/>
                <w:iCs/>
                <w:sz w:val="20"/>
                <w:szCs w:val="20"/>
              </w:rPr>
              <w:t>%</w:t>
            </w:r>
          </w:p>
        </w:tc>
        <w:tc>
          <w:tcPr>
            <w:tcW w:w="1418" w:type="dxa"/>
          </w:tcPr>
          <w:p w14:paraId="2E22C102" w14:textId="199F08D9" w:rsidR="00494E05" w:rsidRPr="00701439" w:rsidRDefault="00494E05">
            <w:pPr>
              <w:jc w:val="right"/>
              <w:rPr>
                <w:rFonts w:asciiTheme="minorHAnsi" w:hAnsiTheme="minorHAnsi"/>
                <w:iCs/>
                <w:sz w:val="20"/>
                <w:szCs w:val="20"/>
              </w:rPr>
            </w:pPr>
            <w:r w:rsidRPr="00701439">
              <w:rPr>
                <w:rFonts w:asciiTheme="minorHAnsi" w:hAnsiTheme="minorHAnsi"/>
                <w:iCs/>
                <w:sz w:val="20"/>
                <w:szCs w:val="20"/>
              </w:rPr>
              <w:t>3.</w:t>
            </w:r>
            <w:r w:rsidR="00C416F4" w:rsidRPr="00701439">
              <w:rPr>
                <w:rFonts w:asciiTheme="minorHAnsi" w:hAnsiTheme="minorHAnsi"/>
                <w:iCs/>
                <w:sz w:val="20"/>
                <w:szCs w:val="20"/>
              </w:rPr>
              <w:t>4</w:t>
            </w:r>
            <w:r w:rsidRPr="00701439">
              <w:rPr>
                <w:rFonts w:asciiTheme="minorHAnsi" w:hAnsiTheme="minorHAnsi"/>
                <w:iCs/>
                <w:sz w:val="20"/>
                <w:szCs w:val="20"/>
              </w:rPr>
              <w:t>%</w:t>
            </w:r>
          </w:p>
        </w:tc>
        <w:tc>
          <w:tcPr>
            <w:tcW w:w="1417" w:type="dxa"/>
          </w:tcPr>
          <w:p w14:paraId="06533CAD" w14:textId="77777777" w:rsidR="00494E05" w:rsidRPr="00701439" w:rsidRDefault="00494E05">
            <w:pPr>
              <w:jc w:val="right"/>
              <w:rPr>
                <w:rFonts w:asciiTheme="minorHAnsi" w:hAnsiTheme="minorHAnsi"/>
                <w:iCs/>
                <w:sz w:val="20"/>
                <w:szCs w:val="20"/>
              </w:rPr>
            </w:pPr>
            <w:r w:rsidRPr="00701439">
              <w:rPr>
                <w:rFonts w:asciiTheme="minorHAnsi" w:hAnsiTheme="minorHAnsi"/>
                <w:iCs/>
                <w:sz w:val="20"/>
                <w:szCs w:val="20"/>
              </w:rPr>
              <w:t>2.4%</w:t>
            </w:r>
          </w:p>
        </w:tc>
        <w:tc>
          <w:tcPr>
            <w:tcW w:w="1508" w:type="dxa"/>
          </w:tcPr>
          <w:p w14:paraId="424B6F3F" w14:textId="77777777" w:rsidR="00494E05" w:rsidRPr="00701439" w:rsidRDefault="00494E05">
            <w:pPr>
              <w:jc w:val="right"/>
              <w:rPr>
                <w:rFonts w:asciiTheme="minorHAnsi" w:hAnsiTheme="minorHAnsi"/>
                <w:iCs/>
                <w:sz w:val="20"/>
                <w:szCs w:val="20"/>
              </w:rPr>
            </w:pPr>
            <w:r w:rsidRPr="00701439">
              <w:rPr>
                <w:rFonts w:asciiTheme="minorHAnsi" w:hAnsiTheme="minorHAnsi"/>
                <w:iCs/>
                <w:sz w:val="20"/>
                <w:szCs w:val="20"/>
              </w:rPr>
              <w:t>3.0%</w:t>
            </w:r>
          </w:p>
        </w:tc>
      </w:tr>
      <w:tr w:rsidR="00494E05" w:rsidRPr="00701439" w14:paraId="74710536" w14:textId="77777777" w:rsidTr="0002541E">
        <w:trPr>
          <w:jc w:val="center"/>
        </w:trPr>
        <w:tc>
          <w:tcPr>
            <w:tcW w:w="3681" w:type="dxa"/>
          </w:tcPr>
          <w:p w14:paraId="4FAD02C7" w14:textId="77777777" w:rsidR="00494E05" w:rsidRPr="00701439" w:rsidRDefault="00494E05">
            <w:pPr>
              <w:rPr>
                <w:rFonts w:asciiTheme="minorHAnsi" w:hAnsiTheme="minorHAnsi"/>
                <w:iCs/>
                <w:sz w:val="20"/>
                <w:szCs w:val="20"/>
              </w:rPr>
            </w:pPr>
            <w:r w:rsidRPr="00701439">
              <w:rPr>
                <w:rFonts w:asciiTheme="minorHAnsi" w:hAnsiTheme="minorHAnsi"/>
                <w:iCs/>
                <w:sz w:val="20"/>
                <w:szCs w:val="20"/>
              </w:rPr>
              <w:t>Cost of risk</w:t>
            </w:r>
          </w:p>
        </w:tc>
        <w:tc>
          <w:tcPr>
            <w:tcW w:w="992" w:type="dxa"/>
          </w:tcPr>
          <w:p w14:paraId="3B506921" w14:textId="77777777" w:rsidR="00494E05" w:rsidRPr="00701439" w:rsidRDefault="00494E05">
            <w:pPr>
              <w:jc w:val="right"/>
              <w:rPr>
                <w:rFonts w:asciiTheme="minorHAnsi" w:hAnsiTheme="minorHAnsi"/>
                <w:iCs/>
                <w:sz w:val="20"/>
                <w:szCs w:val="20"/>
              </w:rPr>
            </w:pPr>
            <w:r w:rsidRPr="00701439">
              <w:rPr>
                <w:rFonts w:asciiTheme="minorHAnsi" w:hAnsiTheme="minorHAnsi"/>
                <w:iCs/>
                <w:sz w:val="20"/>
                <w:szCs w:val="20"/>
              </w:rPr>
              <w:t>3.2%</w:t>
            </w:r>
          </w:p>
        </w:tc>
        <w:tc>
          <w:tcPr>
            <w:tcW w:w="1418" w:type="dxa"/>
          </w:tcPr>
          <w:p w14:paraId="16DDF2DA" w14:textId="77777777" w:rsidR="00494E05" w:rsidRPr="00701439" w:rsidRDefault="00494E05">
            <w:pPr>
              <w:jc w:val="right"/>
              <w:rPr>
                <w:rFonts w:asciiTheme="minorHAnsi" w:hAnsiTheme="minorHAnsi"/>
                <w:iCs/>
                <w:sz w:val="20"/>
                <w:szCs w:val="20"/>
              </w:rPr>
            </w:pPr>
            <w:r w:rsidRPr="00701439">
              <w:rPr>
                <w:rFonts w:asciiTheme="minorHAnsi" w:hAnsiTheme="minorHAnsi"/>
                <w:iCs/>
                <w:sz w:val="20"/>
                <w:szCs w:val="20"/>
              </w:rPr>
              <w:t>3.8%</w:t>
            </w:r>
          </w:p>
        </w:tc>
        <w:tc>
          <w:tcPr>
            <w:tcW w:w="1417" w:type="dxa"/>
          </w:tcPr>
          <w:p w14:paraId="5BBA6332" w14:textId="77777777" w:rsidR="00494E05" w:rsidRPr="00701439" w:rsidRDefault="00494E05">
            <w:pPr>
              <w:jc w:val="right"/>
              <w:rPr>
                <w:rFonts w:asciiTheme="minorHAnsi" w:hAnsiTheme="minorHAnsi"/>
                <w:iCs/>
                <w:sz w:val="20"/>
                <w:szCs w:val="20"/>
              </w:rPr>
            </w:pPr>
            <w:r w:rsidRPr="00701439">
              <w:rPr>
                <w:rFonts w:asciiTheme="minorHAnsi" w:hAnsiTheme="minorHAnsi"/>
                <w:iCs/>
                <w:sz w:val="20"/>
                <w:szCs w:val="20"/>
              </w:rPr>
              <w:t>2.4%</w:t>
            </w:r>
          </w:p>
        </w:tc>
        <w:tc>
          <w:tcPr>
            <w:tcW w:w="1508" w:type="dxa"/>
          </w:tcPr>
          <w:p w14:paraId="187C5261" w14:textId="77777777" w:rsidR="00494E05" w:rsidRPr="00701439" w:rsidRDefault="00494E05">
            <w:pPr>
              <w:jc w:val="right"/>
              <w:rPr>
                <w:rFonts w:asciiTheme="minorHAnsi" w:hAnsiTheme="minorHAnsi"/>
                <w:iCs/>
                <w:sz w:val="20"/>
                <w:szCs w:val="20"/>
              </w:rPr>
            </w:pPr>
            <w:r w:rsidRPr="00701439">
              <w:rPr>
                <w:rFonts w:asciiTheme="minorHAnsi" w:hAnsiTheme="minorHAnsi"/>
                <w:iCs/>
                <w:sz w:val="20"/>
                <w:szCs w:val="20"/>
              </w:rPr>
              <w:t>3.1%</w:t>
            </w:r>
          </w:p>
        </w:tc>
      </w:tr>
      <w:tr w:rsidR="00494E05" w:rsidRPr="00701439" w14:paraId="21070BC5" w14:textId="77777777" w:rsidTr="0002541E">
        <w:trPr>
          <w:jc w:val="center"/>
        </w:trPr>
        <w:tc>
          <w:tcPr>
            <w:tcW w:w="3681" w:type="dxa"/>
          </w:tcPr>
          <w:p w14:paraId="2EE1EEBD" w14:textId="77777777" w:rsidR="00494E05" w:rsidRPr="00701439" w:rsidRDefault="00494E05">
            <w:pPr>
              <w:rPr>
                <w:rFonts w:asciiTheme="minorHAnsi" w:hAnsiTheme="minorHAnsi"/>
                <w:iCs/>
                <w:sz w:val="20"/>
                <w:szCs w:val="20"/>
              </w:rPr>
            </w:pPr>
            <w:proofErr w:type="spellStart"/>
            <w:r w:rsidRPr="00701439">
              <w:rPr>
                <w:rFonts w:asciiTheme="minorHAnsi" w:hAnsiTheme="minorHAnsi"/>
                <w:iCs/>
                <w:sz w:val="20"/>
                <w:szCs w:val="20"/>
              </w:rPr>
              <w:t>Cost:income</w:t>
            </w:r>
            <w:proofErr w:type="spellEnd"/>
            <w:r w:rsidRPr="00701439">
              <w:rPr>
                <w:rFonts w:asciiTheme="minorHAnsi" w:hAnsiTheme="minorHAnsi"/>
                <w:iCs/>
                <w:sz w:val="20"/>
                <w:szCs w:val="20"/>
              </w:rPr>
              <w:t xml:space="preserve"> ratio</w:t>
            </w:r>
          </w:p>
        </w:tc>
        <w:tc>
          <w:tcPr>
            <w:tcW w:w="992" w:type="dxa"/>
          </w:tcPr>
          <w:p w14:paraId="2C90A7E5" w14:textId="77777777" w:rsidR="00494E05" w:rsidRPr="00701439" w:rsidRDefault="00494E05">
            <w:pPr>
              <w:jc w:val="right"/>
              <w:rPr>
                <w:rFonts w:asciiTheme="minorHAnsi" w:hAnsiTheme="minorHAnsi"/>
                <w:iCs/>
                <w:sz w:val="20"/>
                <w:szCs w:val="20"/>
              </w:rPr>
            </w:pPr>
            <w:r w:rsidRPr="00701439">
              <w:rPr>
                <w:rFonts w:asciiTheme="minorHAnsi" w:hAnsiTheme="minorHAnsi"/>
                <w:iCs/>
                <w:sz w:val="20"/>
                <w:szCs w:val="20"/>
              </w:rPr>
              <w:t>59.9%</w:t>
            </w:r>
          </w:p>
        </w:tc>
        <w:tc>
          <w:tcPr>
            <w:tcW w:w="1418" w:type="dxa"/>
          </w:tcPr>
          <w:p w14:paraId="4485D0DC" w14:textId="77777777" w:rsidR="00494E05" w:rsidRPr="00701439" w:rsidRDefault="00494E05">
            <w:pPr>
              <w:jc w:val="right"/>
              <w:rPr>
                <w:rFonts w:asciiTheme="minorHAnsi" w:hAnsiTheme="minorHAnsi"/>
                <w:iCs/>
                <w:sz w:val="20"/>
                <w:szCs w:val="20"/>
              </w:rPr>
            </w:pPr>
            <w:r w:rsidRPr="00701439">
              <w:rPr>
                <w:rFonts w:asciiTheme="minorHAnsi" w:hAnsiTheme="minorHAnsi"/>
                <w:iCs/>
                <w:sz w:val="20"/>
                <w:szCs w:val="20"/>
              </w:rPr>
              <w:t>60.1%</w:t>
            </w:r>
          </w:p>
        </w:tc>
        <w:tc>
          <w:tcPr>
            <w:tcW w:w="1417" w:type="dxa"/>
          </w:tcPr>
          <w:p w14:paraId="5CAA6B80" w14:textId="77777777" w:rsidR="00494E05" w:rsidRPr="00701439" w:rsidRDefault="00494E05">
            <w:pPr>
              <w:jc w:val="right"/>
              <w:rPr>
                <w:rFonts w:asciiTheme="minorHAnsi" w:hAnsiTheme="minorHAnsi"/>
                <w:iCs/>
                <w:sz w:val="20"/>
                <w:szCs w:val="20"/>
              </w:rPr>
            </w:pPr>
            <w:r w:rsidRPr="00701439">
              <w:rPr>
                <w:rFonts w:asciiTheme="minorHAnsi" w:hAnsiTheme="minorHAnsi"/>
                <w:iCs/>
                <w:sz w:val="20"/>
                <w:szCs w:val="20"/>
              </w:rPr>
              <w:t>54.8%</w:t>
            </w:r>
          </w:p>
        </w:tc>
        <w:tc>
          <w:tcPr>
            <w:tcW w:w="1508" w:type="dxa"/>
          </w:tcPr>
          <w:p w14:paraId="10EAF6B4" w14:textId="77777777" w:rsidR="00494E05" w:rsidRPr="00701439" w:rsidRDefault="00494E05">
            <w:pPr>
              <w:jc w:val="right"/>
              <w:rPr>
                <w:rFonts w:asciiTheme="minorHAnsi" w:hAnsiTheme="minorHAnsi"/>
                <w:iCs/>
                <w:sz w:val="20"/>
                <w:szCs w:val="20"/>
              </w:rPr>
            </w:pPr>
            <w:r w:rsidRPr="00701439">
              <w:rPr>
                <w:rFonts w:asciiTheme="minorHAnsi" w:hAnsiTheme="minorHAnsi"/>
                <w:iCs/>
                <w:sz w:val="20"/>
                <w:szCs w:val="20"/>
              </w:rPr>
              <w:t>55.1%</w:t>
            </w:r>
          </w:p>
        </w:tc>
      </w:tr>
      <w:tr w:rsidR="00494E05" w:rsidRPr="00701439" w14:paraId="70A6882A" w14:textId="77777777" w:rsidTr="0002541E">
        <w:trPr>
          <w:jc w:val="center"/>
        </w:trPr>
        <w:tc>
          <w:tcPr>
            <w:tcW w:w="3681" w:type="dxa"/>
          </w:tcPr>
          <w:p w14:paraId="265B36C5" w14:textId="77777777" w:rsidR="00494E05" w:rsidRPr="00701439" w:rsidRDefault="00494E05">
            <w:pPr>
              <w:rPr>
                <w:rFonts w:asciiTheme="minorHAnsi" w:hAnsiTheme="minorHAnsi"/>
                <w:iCs/>
                <w:sz w:val="20"/>
                <w:szCs w:val="20"/>
              </w:rPr>
            </w:pPr>
            <w:r w:rsidRPr="00701439">
              <w:rPr>
                <w:rFonts w:asciiTheme="minorHAnsi" w:hAnsiTheme="minorHAnsi"/>
                <w:iCs/>
                <w:sz w:val="20"/>
                <w:szCs w:val="20"/>
              </w:rPr>
              <w:t>Adjusted return on assets (ROA)</w:t>
            </w:r>
          </w:p>
        </w:tc>
        <w:tc>
          <w:tcPr>
            <w:tcW w:w="992" w:type="dxa"/>
          </w:tcPr>
          <w:p w14:paraId="1450F1DF" w14:textId="77777777" w:rsidR="00494E05" w:rsidRPr="00701439" w:rsidRDefault="00494E05">
            <w:pPr>
              <w:jc w:val="right"/>
              <w:rPr>
                <w:rFonts w:asciiTheme="minorHAnsi" w:hAnsiTheme="minorHAnsi"/>
                <w:iCs/>
                <w:sz w:val="20"/>
                <w:szCs w:val="20"/>
              </w:rPr>
            </w:pPr>
            <w:r w:rsidRPr="00701439">
              <w:rPr>
                <w:rFonts w:asciiTheme="minorHAnsi" w:hAnsiTheme="minorHAnsi"/>
                <w:iCs/>
                <w:sz w:val="20"/>
                <w:szCs w:val="20"/>
              </w:rPr>
              <w:t>3.8%</w:t>
            </w:r>
          </w:p>
        </w:tc>
        <w:tc>
          <w:tcPr>
            <w:tcW w:w="1418" w:type="dxa"/>
          </w:tcPr>
          <w:p w14:paraId="005BA460" w14:textId="77777777" w:rsidR="00494E05" w:rsidRPr="00701439" w:rsidRDefault="00494E05">
            <w:pPr>
              <w:jc w:val="right"/>
              <w:rPr>
                <w:rFonts w:asciiTheme="minorHAnsi" w:hAnsiTheme="minorHAnsi"/>
                <w:iCs/>
                <w:sz w:val="20"/>
                <w:szCs w:val="20"/>
              </w:rPr>
            </w:pPr>
            <w:r w:rsidRPr="00701439">
              <w:rPr>
                <w:rFonts w:asciiTheme="minorHAnsi" w:hAnsiTheme="minorHAnsi"/>
                <w:iCs/>
                <w:sz w:val="20"/>
                <w:szCs w:val="20"/>
              </w:rPr>
              <w:t>7.9%</w:t>
            </w:r>
          </w:p>
        </w:tc>
        <w:tc>
          <w:tcPr>
            <w:tcW w:w="1417" w:type="dxa"/>
          </w:tcPr>
          <w:p w14:paraId="56BD985E" w14:textId="77777777" w:rsidR="00494E05" w:rsidRPr="00701439" w:rsidRDefault="00494E05">
            <w:pPr>
              <w:jc w:val="right"/>
              <w:rPr>
                <w:rFonts w:asciiTheme="minorHAnsi" w:hAnsiTheme="minorHAnsi"/>
                <w:iCs/>
                <w:sz w:val="20"/>
                <w:szCs w:val="20"/>
              </w:rPr>
            </w:pPr>
            <w:r w:rsidRPr="00701439">
              <w:rPr>
                <w:rFonts w:asciiTheme="minorHAnsi" w:hAnsiTheme="minorHAnsi"/>
                <w:iCs/>
                <w:sz w:val="20"/>
                <w:szCs w:val="20"/>
              </w:rPr>
              <w:t>5.3%</w:t>
            </w:r>
          </w:p>
        </w:tc>
        <w:tc>
          <w:tcPr>
            <w:tcW w:w="1508" w:type="dxa"/>
          </w:tcPr>
          <w:p w14:paraId="428B2F68" w14:textId="77777777" w:rsidR="00494E05" w:rsidRPr="00701439" w:rsidRDefault="00494E05">
            <w:pPr>
              <w:jc w:val="right"/>
              <w:rPr>
                <w:rFonts w:asciiTheme="minorHAnsi" w:hAnsiTheme="minorHAnsi"/>
                <w:iCs/>
                <w:sz w:val="20"/>
                <w:szCs w:val="20"/>
              </w:rPr>
            </w:pPr>
            <w:r w:rsidRPr="00701439">
              <w:rPr>
                <w:rFonts w:asciiTheme="minorHAnsi" w:hAnsiTheme="minorHAnsi"/>
                <w:iCs/>
                <w:sz w:val="20"/>
                <w:szCs w:val="20"/>
              </w:rPr>
              <w:t>11.5%</w:t>
            </w:r>
          </w:p>
        </w:tc>
      </w:tr>
      <w:tr w:rsidR="00494E05" w:rsidRPr="00701439" w14:paraId="1AD18535" w14:textId="77777777" w:rsidTr="0002541E">
        <w:trPr>
          <w:jc w:val="center"/>
        </w:trPr>
        <w:tc>
          <w:tcPr>
            <w:tcW w:w="3681" w:type="dxa"/>
          </w:tcPr>
          <w:p w14:paraId="3FC295DD" w14:textId="77777777" w:rsidR="00494E05" w:rsidRPr="00701439" w:rsidRDefault="00494E05">
            <w:pPr>
              <w:rPr>
                <w:rFonts w:asciiTheme="minorHAnsi" w:hAnsiTheme="minorHAnsi"/>
                <w:iCs/>
                <w:sz w:val="20"/>
                <w:szCs w:val="20"/>
              </w:rPr>
            </w:pPr>
            <w:r w:rsidRPr="00701439">
              <w:rPr>
                <w:rFonts w:asciiTheme="minorHAnsi" w:hAnsiTheme="minorHAnsi"/>
                <w:iCs/>
                <w:sz w:val="20"/>
                <w:szCs w:val="20"/>
              </w:rPr>
              <w:t>Adjusted return on equity (ROE)</w:t>
            </w:r>
          </w:p>
        </w:tc>
        <w:tc>
          <w:tcPr>
            <w:tcW w:w="992" w:type="dxa"/>
          </w:tcPr>
          <w:p w14:paraId="26FC1AA0" w14:textId="05232BED" w:rsidR="00494E05" w:rsidRPr="00701439" w:rsidRDefault="00494E05">
            <w:pPr>
              <w:jc w:val="right"/>
              <w:rPr>
                <w:rFonts w:asciiTheme="minorHAnsi" w:hAnsiTheme="minorHAnsi"/>
                <w:iCs/>
                <w:sz w:val="20"/>
                <w:szCs w:val="20"/>
              </w:rPr>
            </w:pPr>
            <w:r w:rsidRPr="00701439">
              <w:rPr>
                <w:rFonts w:asciiTheme="minorHAnsi" w:hAnsiTheme="minorHAnsi"/>
                <w:iCs/>
                <w:sz w:val="20"/>
                <w:szCs w:val="20"/>
              </w:rPr>
              <w:t>17.</w:t>
            </w:r>
            <w:r w:rsidR="00080AEA" w:rsidRPr="00701439">
              <w:rPr>
                <w:rFonts w:asciiTheme="minorHAnsi" w:hAnsiTheme="minorHAnsi"/>
                <w:iCs/>
                <w:sz w:val="20"/>
                <w:szCs w:val="20"/>
              </w:rPr>
              <w:t>1</w:t>
            </w:r>
            <w:r w:rsidRPr="00701439">
              <w:rPr>
                <w:rFonts w:asciiTheme="minorHAnsi" w:hAnsiTheme="minorHAnsi"/>
                <w:iCs/>
                <w:sz w:val="20"/>
                <w:szCs w:val="20"/>
              </w:rPr>
              <w:t>%</w:t>
            </w:r>
          </w:p>
        </w:tc>
        <w:tc>
          <w:tcPr>
            <w:tcW w:w="1418" w:type="dxa"/>
          </w:tcPr>
          <w:p w14:paraId="30962FB6" w14:textId="77777777" w:rsidR="00494E05" w:rsidRPr="00701439" w:rsidRDefault="00494E05">
            <w:pPr>
              <w:jc w:val="right"/>
              <w:rPr>
                <w:rFonts w:asciiTheme="minorHAnsi" w:hAnsiTheme="minorHAnsi"/>
                <w:iCs/>
                <w:sz w:val="20"/>
                <w:szCs w:val="20"/>
              </w:rPr>
            </w:pPr>
            <w:r w:rsidRPr="00701439">
              <w:rPr>
                <w:rFonts w:asciiTheme="minorHAnsi" w:hAnsiTheme="minorHAnsi"/>
                <w:iCs/>
                <w:sz w:val="20"/>
                <w:szCs w:val="20"/>
              </w:rPr>
              <w:t>17.2%</w:t>
            </w:r>
          </w:p>
        </w:tc>
        <w:tc>
          <w:tcPr>
            <w:tcW w:w="1417" w:type="dxa"/>
          </w:tcPr>
          <w:p w14:paraId="0CB12CD1" w14:textId="6E4D59A3" w:rsidR="00494E05" w:rsidRPr="00701439" w:rsidRDefault="00494E05">
            <w:pPr>
              <w:jc w:val="right"/>
              <w:rPr>
                <w:rFonts w:asciiTheme="minorHAnsi" w:hAnsiTheme="minorHAnsi"/>
                <w:iCs/>
                <w:sz w:val="20"/>
                <w:szCs w:val="20"/>
              </w:rPr>
            </w:pPr>
            <w:r w:rsidRPr="00701439">
              <w:rPr>
                <w:rFonts w:asciiTheme="minorHAnsi" w:hAnsiTheme="minorHAnsi"/>
                <w:iCs/>
                <w:sz w:val="20"/>
                <w:szCs w:val="20"/>
              </w:rPr>
              <w:t>25.6%</w:t>
            </w:r>
          </w:p>
        </w:tc>
        <w:tc>
          <w:tcPr>
            <w:tcW w:w="1508" w:type="dxa"/>
          </w:tcPr>
          <w:p w14:paraId="0410FD49" w14:textId="77777777" w:rsidR="00494E05" w:rsidRPr="00701439" w:rsidRDefault="00494E05">
            <w:pPr>
              <w:jc w:val="right"/>
              <w:rPr>
                <w:rFonts w:asciiTheme="minorHAnsi" w:hAnsiTheme="minorHAnsi"/>
                <w:iCs/>
                <w:sz w:val="20"/>
                <w:szCs w:val="20"/>
              </w:rPr>
            </w:pPr>
            <w:r w:rsidRPr="00701439">
              <w:rPr>
                <w:rFonts w:asciiTheme="minorHAnsi" w:hAnsiTheme="minorHAnsi"/>
                <w:iCs/>
                <w:sz w:val="20"/>
                <w:szCs w:val="20"/>
              </w:rPr>
              <w:t>25.5%</w:t>
            </w:r>
          </w:p>
        </w:tc>
      </w:tr>
      <w:tr w:rsidR="00494E05" w:rsidRPr="00701439" w14:paraId="7278A72D" w14:textId="77777777" w:rsidTr="0002541E">
        <w:trPr>
          <w:jc w:val="center"/>
        </w:trPr>
        <w:tc>
          <w:tcPr>
            <w:tcW w:w="3681" w:type="dxa"/>
          </w:tcPr>
          <w:p w14:paraId="72EFF1C1" w14:textId="77777777" w:rsidR="00494E05" w:rsidRPr="00701439" w:rsidRDefault="00494E05">
            <w:pPr>
              <w:rPr>
                <w:rFonts w:asciiTheme="minorHAnsi" w:hAnsiTheme="minorHAnsi"/>
                <w:iCs/>
                <w:sz w:val="20"/>
                <w:szCs w:val="20"/>
              </w:rPr>
            </w:pPr>
            <w:r w:rsidRPr="00701439">
              <w:rPr>
                <w:rFonts w:asciiTheme="minorHAnsi" w:hAnsiTheme="minorHAnsi"/>
                <w:iCs/>
                <w:sz w:val="20"/>
                <w:szCs w:val="20"/>
              </w:rPr>
              <w:t>Adjusted return on tangible equity (ROTE)</w:t>
            </w:r>
          </w:p>
        </w:tc>
        <w:tc>
          <w:tcPr>
            <w:tcW w:w="992" w:type="dxa"/>
          </w:tcPr>
          <w:p w14:paraId="7A1A7F75" w14:textId="3158D454" w:rsidR="00494E05" w:rsidRPr="00701439" w:rsidRDefault="00494E05">
            <w:pPr>
              <w:jc w:val="right"/>
              <w:rPr>
                <w:rFonts w:asciiTheme="minorHAnsi" w:hAnsiTheme="minorHAnsi"/>
                <w:iCs/>
                <w:sz w:val="20"/>
                <w:szCs w:val="20"/>
              </w:rPr>
            </w:pPr>
            <w:r w:rsidRPr="00701439">
              <w:rPr>
                <w:rFonts w:asciiTheme="minorHAnsi" w:hAnsiTheme="minorHAnsi"/>
                <w:iCs/>
                <w:sz w:val="20"/>
                <w:szCs w:val="20"/>
              </w:rPr>
              <w:t>22.</w:t>
            </w:r>
            <w:r w:rsidR="000E7C4A" w:rsidRPr="00701439">
              <w:rPr>
                <w:rFonts w:asciiTheme="minorHAnsi" w:hAnsiTheme="minorHAnsi"/>
                <w:iCs/>
                <w:sz w:val="20"/>
                <w:szCs w:val="20"/>
              </w:rPr>
              <w:t>2</w:t>
            </w:r>
            <w:r w:rsidRPr="00701439">
              <w:rPr>
                <w:rFonts w:asciiTheme="minorHAnsi" w:hAnsiTheme="minorHAnsi"/>
                <w:iCs/>
                <w:sz w:val="20"/>
                <w:szCs w:val="20"/>
              </w:rPr>
              <w:t>%</w:t>
            </w:r>
          </w:p>
        </w:tc>
        <w:tc>
          <w:tcPr>
            <w:tcW w:w="1418" w:type="dxa"/>
          </w:tcPr>
          <w:p w14:paraId="65989F91" w14:textId="77777777" w:rsidR="00494E05" w:rsidRPr="00701439" w:rsidRDefault="00494E05">
            <w:pPr>
              <w:jc w:val="right"/>
              <w:rPr>
                <w:rFonts w:asciiTheme="minorHAnsi" w:hAnsiTheme="minorHAnsi"/>
                <w:iCs/>
                <w:sz w:val="20"/>
                <w:szCs w:val="20"/>
              </w:rPr>
            </w:pPr>
            <w:r w:rsidRPr="00701439">
              <w:rPr>
                <w:rFonts w:asciiTheme="minorHAnsi" w:hAnsiTheme="minorHAnsi"/>
                <w:iCs/>
                <w:sz w:val="20"/>
                <w:szCs w:val="20"/>
              </w:rPr>
              <w:t>19.8%</w:t>
            </w:r>
          </w:p>
        </w:tc>
        <w:tc>
          <w:tcPr>
            <w:tcW w:w="1417" w:type="dxa"/>
          </w:tcPr>
          <w:p w14:paraId="2B2E6574" w14:textId="37D65AF4" w:rsidR="00494E05" w:rsidRPr="00701439" w:rsidRDefault="00494E05">
            <w:pPr>
              <w:jc w:val="right"/>
              <w:rPr>
                <w:rFonts w:asciiTheme="minorHAnsi" w:hAnsiTheme="minorHAnsi"/>
                <w:iCs/>
                <w:sz w:val="20"/>
                <w:szCs w:val="20"/>
              </w:rPr>
            </w:pPr>
            <w:r w:rsidRPr="00701439">
              <w:rPr>
                <w:rFonts w:asciiTheme="minorHAnsi" w:hAnsiTheme="minorHAnsi"/>
                <w:iCs/>
                <w:sz w:val="20"/>
                <w:szCs w:val="20"/>
              </w:rPr>
              <w:t>32.</w:t>
            </w:r>
            <w:r w:rsidR="00D52EA6" w:rsidRPr="00701439">
              <w:rPr>
                <w:rFonts w:asciiTheme="minorHAnsi" w:hAnsiTheme="minorHAnsi"/>
                <w:iCs/>
                <w:sz w:val="20"/>
                <w:szCs w:val="20"/>
              </w:rPr>
              <w:t>2</w:t>
            </w:r>
            <w:r w:rsidRPr="00701439">
              <w:rPr>
                <w:rFonts w:asciiTheme="minorHAnsi" w:hAnsiTheme="minorHAnsi"/>
                <w:iCs/>
                <w:sz w:val="20"/>
                <w:szCs w:val="20"/>
              </w:rPr>
              <w:t>%</w:t>
            </w:r>
          </w:p>
        </w:tc>
        <w:tc>
          <w:tcPr>
            <w:tcW w:w="1508" w:type="dxa"/>
          </w:tcPr>
          <w:p w14:paraId="2DF6DC92" w14:textId="77777777" w:rsidR="00494E05" w:rsidRPr="00701439" w:rsidRDefault="00494E05">
            <w:pPr>
              <w:jc w:val="right"/>
              <w:rPr>
                <w:rFonts w:asciiTheme="minorHAnsi" w:hAnsiTheme="minorHAnsi"/>
                <w:iCs/>
                <w:sz w:val="20"/>
                <w:szCs w:val="20"/>
              </w:rPr>
            </w:pPr>
            <w:r w:rsidRPr="00701439">
              <w:rPr>
                <w:rFonts w:asciiTheme="minorHAnsi" w:hAnsiTheme="minorHAnsi"/>
                <w:iCs/>
                <w:sz w:val="20"/>
                <w:szCs w:val="20"/>
              </w:rPr>
              <w:t>27.7%</w:t>
            </w:r>
          </w:p>
        </w:tc>
      </w:tr>
      <w:tr w:rsidR="00494E05" w:rsidRPr="00701439" w14:paraId="59AEB385" w14:textId="77777777" w:rsidTr="0002541E">
        <w:trPr>
          <w:jc w:val="center"/>
        </w:trPr>
        <w:tc>
          <w:tcPr>
            <w:tcW w:w="3681" w:type="dxa"/>
          </w:tcPr>
          <w:p w14:paraId="19B256E5" w14:textId="77777777" w:rsidR="00494E05" w:rsidRPr="00701439" w:rsidRDefault="00494E05">
            <w:pPr>
              <w:rPr>
                <w:rFonts w:asciiTheme="minorHAnsi" w:hAnsiTheme="minorHAnsi"/>
                <w:iCs/>
                <w:sz w:val="20"/>
                <w:szCs w:val="20"/>
              </w:rPr>
            </w:pPr>
            <w:r w:rsidRPr="00701439">
              <w:rPr>
                <w:rFonts w:asciiTheme="minorHAnsi" w:hAnsiTheme="minorHAnsi"/>
                <w:iCs/>
                <w:sz w:val="20"/>
                <w:szCs w:val="20"/>
              </w:rPr>
              <w:t>Adjusted return on required equity (RORE)</w:t>
            </w:r>
          </w:p>
        </w:tc>
        <w:tc>
          <w:tcPr>
            <w:tcW w:w="992" w:type="dxa"/>
          </w:tcPr>
          <w:p w14:paraId="69BC583F" w14:textId="77777777" w:rsidR="00494E05" w:rsidRPr="00701439" w:rsidRDefault="00494E05">
            <w:pPr>
              <w:jc w:val="right"/>
              <w:rPr>
                <w:rFonts w:asciiTheme="minorHAnsi" w:hAnsiTheme="minorHAnsi"/>
                <w:iCs/>
                <w:sz w:val="20"/>
                <w:szCs w:val="20"/>
              </w:rPr>
            </w:pPr>
            <w:r w:rsidRPr="00701439">
              <w:rPr>
                <w:rFonts w:asciiTheme="minorHAnsi" w:hAnsiTheme="minorHAnsi"/>
                <w:iCs/>
                <w:sz w:val="20"/>
                <w:szCs w:val="20"/>
              </w:rPr>
              <w:t>22.2%</w:t>
            </w:r>
          </w:p>
        </w:tc>
        <w:tc>
          <w:tcPr>
            <w:tcW w:w="1418" w:type="dxa"/>
          </w:tcPr>
          <w:p w14:paraId="7992468B" w14:textId="77777777" w:rsidR="00494E05" w:rsidRPr="00701439" w:rsidRDefault="00494E05">
            <w:pPr>
              <w:jc w:val="right"/>
              <w:rPr>
                <w:rFonts w:asciiTheme="minorHAnsi" w:hAnsiTheme="minorHAnsi"/>
                <w:iCs/>
                <w:sz w:val="20"/>
                <w:szCs w:val="20"/>
              </w:rPr>
            </w:pPr>
            <w:r w:rsidRPr="00701439">
              <w:rPr>
                <w:rFonts w:asciiTheme="minorHAnsi" w:hAnsiTheme="minorHAnsi"/>
                <w:iCs/>
                <w:sz w:val="20"/>
                <w:szCs w:val="20"/>
              </w:rPr>
              <w:t>21.4%</w:t>
            </w:r>
          </w:p>
        </w:tc>
        <w:tc>
          <w:tcPr>
            <w:tcW w:w="1417" w:type="dxa"/>
          </w:tcPr>
          <w:p w14:paraId="7BA944A5" w14:textId="77777777" w:rsidR="00494E05" w:rsidRPr="00701439" w:rsidRDefault="00494E05">
            <w:pPr>
              <w:jc w:val="right"/>
              <w:rPr>
                <w:rFonts w:asciiTheme="minorHAnsi" w:hAnsiTheme="minorHAnsi"/>
                <w:iCs/>
                <w:sz w:val="20"/>
                <w:szCs w:val="20"/>
              </w:rPr>
            </w:pPr>
            <w:r w:rsidRPr="00701439">
              <w:rPr>
                <w:rFonts w:asciiTheme="minorHAnsi" w:hAnsiTheme="minorHAnsi"/>
                <w:iCs/>
                <w:sz w:val="20"/>
                <w:szCs w:val="20"/>
              </w:rPr>
              <w:t>32.3%</w:t>
            </w:r>
          </w:p>
        </w:tc>
        <w:tc>
          <w:tcPr>
            <w:tcW w:w="1508" w:type="dxa"/>
          </w:tcPr>
          <w:p w14:paraId="27BB5B6A" w14:textId="77777777" w:rsidR="00494E05" w:rsidRPr="00701439" w:rsidRDefault="00494E05">
            <w:pPr>
              <w:jc w:val="right"/>
              <w:rPr>
                <w:rFonts w:asciiTheme="minorHAnsi" w:hAnsiTheme="minorHAnsi"/>
                <w:iCs/>
                <w:sz w:val="20"/>
                <w:szCs w:val="20"/>
              </w:rPr>
            </w:pPr>
            <w:r w:rsidRPr="00701439">
              <w:rPr>
                <w:rFonts w:asciiTheme="minorHAnsi" w:hAnsiTheme="minorHAnsi"/>
                <w:iCs/>
                <w:sz w:val="20"/>
                <w:szCs w:val="20"/>
              </w:rPr>
              <w:t>32.6%</w:t>
            </w:r>
          </w:p>
        </w:tc>
      </w:tr>
      <w:bookmarkEnd w:id="26"/>
    </w:tbl>
    <w:p w14:paraId="1E29D022" w14:textId="77777777" w:rsidR="00494E05" w:rsidRPr="00701439" w:rsidRDefault="00494E05" w:rsidP="00494E05">
      <w:pPr>
        <w:pStyle w:val="bodytext0"/>
        <w:rPr>
          <w:rFonts w:asciiTheme="minorHAnsi" w:eastAsia="Times New Roman" w:hAnsiTheme="minorHAnsi" w:cs="Times New Roman"/>
          <w:iCs/>
          <w:color w:val="auto"/>
          <w:sz w:val="20"/>
          <w:szCs w:val="20"/>
          <w:lang w:eastAsia="en-GB"/>
        </w:rPr>
      </w:pPr>
    </w:p>
    <w:p w14:paraId="6D07AA60" w14:textId="77777777" w:rsidR="005E7DED" w:rsidRDefault="005E7DED" w:rsidP="00A3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Style w:val="bodycopynumber"/>
          <w:rFonts w:asciiTheme="minorHAnsi" w:hAnsiTheme="minorHAnsi" w:cs="Arial"/>
          <w:b/>
          <w:bCs/>
          <w:color w:val="4747FF"/>
          <w:sz w:val="22"/>
          <w:szCs w:val="22"/>
        </w:rPr>
      </w:pPr>
      <w:bookmarkStart w:id="27" w:name="_Hlk29796596"/>
      <w:bookmarkStart w:id="28" w:name="_Hlk33535702"/>
    </w:p>
    <w:p w14:paraId="1B7541E2" w14:textId="77777777" w:rsidR="005E7DED" w:rsidRDefault="005E7DED" w:rsidP="00A3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Style w:val="bodycopynumber"/>
          <w:rFonts w:asciiTheme="minorHAnsi" w:hAnsiTheme="minorHAnsi" w:cs="Arial"/>
          <w:b/>
          <w:bCs/>
          <w:color w:val="4747FF"/>
          <w:sz w:val="22"/>
          <w:szCs w:val="22"/>
        </w:rPr>
      </w:pPr>
    </w:p>
    <w:p w14:paraId="06A032E9" w14:textId="77777777" w:rsidR="005E7DED" w:rsidRDefault="005E7DED" w:rsidP="00A3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Style w:val="bodycopynumber"/>
          <w:rFonts w:asciiTheme="minorHAnsi" w:hAnsiTheme="minorHAnsi" w:cs="Arial"/>
          <w:b/>
          <w:bCs/>
          <w:color w:val="4747FF"/>
          <w:sz w:val="22"/>
          <w:szCs w:val="22"/>
        </w:rPr>
      </w:pPr>
    </w:p>
    <w:p w14:paraId="0E9673CE" w14:textId="7C6D4294" w:rsidR="00A3021A" w:rsidRPr="00701439" w:rsidRDefault="00A3021A" w:rsidP="00A3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Style w:val="bodycopynumber"/>
          <w:rFonts w:asciiTheme="minorHAnsi" w:hAnsiTheme="minorHAnsi" w:cs="Arial"/>
          <w:b/>
          <w:bCs/>
          <w:color w:val="4747FF"/>
          <w:sz w:val="22"/>
          <w:szCs w:val="22"/>
        </w:rPr>
      </w:pPr>
      <w:r w:rsidRPr="00701439">
        <w:rPr>
          <w:rStyle w:val="bodycopynumber"/>
          <w:rFonts w:asciiTheme="minorHAnsi" w:hAnsiTheme="minorHAnsi" w:cs="Arial"/>
          <w:b/>
          <w:bCs/>
          <w:color w:val="4747FF"/>
          <w:sz w:val="22"/>
          <w:szCs w:val="22"/>
        </w:rPr>
        <w:lastRenderedPageBreak/>
        <w:t>Information for shareholders</w:t>
      </w:r>
    </w:p>
    <w:p w14:paraId="3CE559D6" w14:textId="77777777" w:rsidR="00A3021A" w:rsidRPr="00701439" w:rsidRDefault="00A3021A" w:rsidP="00A3021A">
      <w:pPr>
        <w:jc w:val="both"/>
        <w:rPr>
          <w:rFonts w:asciiTheme="minorHAnsi" w:hAnsiTheme="minorHAnsi" w:cs="Arial"/>
          <w:sz w:val="20"/>
          <w:szCs w:val="20"/>
        </w:rPr>
      </w:pPr>
    </w:p>
    <w:p w14:paraId="45B442D4" w14:textId="1537A7EB" w:rsidR="00A3021A" w:rsidRPr="00701439" w:rsidRDefault="00A3021A" w:rsidP="00A3021A">
      <w:pPr>
        <w:ind w:left="360" w:hanging="360"/>
        <w:jc w:val="both"/>
        <w:rPr>
          <w:rFonts w:asciiTheme="minorHAnsi" w:hAnsiTheme="minorHAnsi" w:cs="Arial"/>
          <w:sz w:val="20"/>
          <w:szCs w:val="20"/>
        </w:rPr>
      </w:pPr>
      <w:r w:rsidRPr="00701439">
        <w:rPr>
          <w:rFonts w:asciiTheme="minorHAnsi" w:hAnsiTheme="minorHAnsi" w:cs="Arial"/>
          <w:sz w:val="20"/>
          <w:szCs w:val="20"/>
        </w:rPr>
        <w:t>1</w:t>
      </w:r>
      <w:bookmarkStart w:id="29" w:name="_Hlk99555307"/>
      <w:r w:rsidRPr="00701439">
        <w:rPr>
          <w:rFonts w:asciiTheme="minorHAnsi" w:hAnsiTheme="minorHAnsi" w:cs="Arial"/>
          <w:sz w:val="20"/>
          <w:szCs w:val="20"/>
        </w:rPr>
        <w:t>.</w:t>
      </w:r>
      <w:r w:rsidRPr="00701439">
        <w:rPr>
          <w:rFonts w:asciiTheme="minorHAnsi" w:hAnsiTheme="minorHAnsi" w:cs="Arial"/>
          <w:sz w:val="20"/>
          <w:szCs w:val="20"/>
        </w:rPr>
        <w:tab/>
        <w:t xml:space="preserve">The 2022 Annual Report and Financial Statements together with the notice of the annual general meeting will be posted to shareholders on or around </w:t>
      </w:r>
      <w:r w:rsidR="00A10392" w:rsidRPr="00701439">
        <w:rPr>
          <w:rFonts w:asciiTheme="minorHAnsi" w:hAnsiTheme="minorHAnsi" w:cs="Arial"/>
          <w:sz w:val="20"/>
          <w:szCs w:val="20"/>
        </w:rPr>
        <w:t xml:space="preserve">18 April </w:t>
      </w:r>
      <w:r w:rsidRPr="00701439">
        <w:rPr>
          <w:rFonts w:asciiTheme="minorHAnsi" w:hAnsiTheme="minorHAnsi" w:cs="Arial"/>
          <w:sz w:val="20"/>
          <w:szCs w:val="20"/>
        </w:rPr>
        <w:t>2023</w:t>
      </w:r>
      <w:r w:rsidR="001D5A72">
        <w:rPr>
          <w:rFonts w:asciiTheme="minorHAnsi" w:hAnsiTheme="minorHAnsi" w:cs="Arial"/>
          <w:sz w:val="20"/>
          <w:szCs w:val="20"/>
        </w:rPr>
        <w:t>.</w:t>
      </w:r>
    </w:p>
    <w:p w14:paraId="2F74A1EC" w14:textId="77777777" w:rsidR="00A3021A" w:rsidRPr="00701439" w:rsidRDefault="00A3021A" w:rsidP="00A3021A">
      <w:pPr>
        <w:jc w:val="both"/>
        <w:rPr>
          <w:rFonts w:asciiTheme="minorHAnsi" w:hAnsiTheme="minorHAnsi" w:cs="Arial"/>
          <w:sz w:val="20"/>
          <w:szCs w:val="20"/>
        </w:rPr>
      </w:pPr>
    </w:p>
    <w:p w14:paraId="2874AB95" w14:textId="2BF5DCF5" w:rsidR="00A3021A" w:rsidRPr="002C7C8F" w:rsidRDefault="00A3021A" w:rsidP="00A3021A">
      <w:pPr>
        <w:ind w:left="360" w:hanging="360"/>
        <w:jc w:val="both"/>
      </w:pPr>
      <w:r w:rsidRPr="00701439">
        <w:rPr>
          <w:rFonts w:asciiTheme="minorHAnsi" w:hAnsiTheme="minorHAnsi" w:cs="Arial"/>
          <w:sz w:val="20"/>
          <w:szCs w:val="20"/>
        </w:rPr>
        <w:t>2.</w:t>
      </w:r>
      <w:r w:rsidRPr="00701439">
        <w:rPr>
          <w:rFonts w:asciiTheme="minorHAnsi" w:hAnsiTheme="minorHAnsi" w:cs="Arial"/>
          <w:sz w:val="20"/>
          <w:szCs w:val="20"/>
        </w:rPr>
        <w:tab/>
        <w:t xml:space="preserve">The annual general meeting will be held on </w:t>
      </w:r>
      <w:r w:rsidR="00A10392" w:rsidRPr="00701439">
        <w:rPr>
          <w:rFonts w:asciiTheme="minorHAnsi" w:hAnsiTheme="minorHAnsi" w:cs="Arial"/>
          <w:sz w:val="20"/>
          <w:szCs w:val="20"/>
        </w:rPr>
        <w:t xml:space="preserve">25 May </w:t>
      </w:r>
      <w:r w:rsidRPr="00701439">
        <w:rPr>
          <w:rFonts w:asciiTheme="minorHAnsi" w:hAnsiTheme="minorHAnsi" w:cs="Arial"/>
          <w:sz w:val="20"/>
          <w:szCs w:val="20"/>
        </w:rPr>
        <w:t xml:space="preserve">2023 at the </w:t>
      </w:r>
      <w:r w:rsidR="00523F87" w:rsidRPr="00701439">
        <w:rPr>
          <w:rFonts w:asciiTheme="minorHAnsi" w:hAnsiTheme="minorHAnsi" w:cs="Arial"/>
          <w:sz w:val="20"/>
          <w:szCs w:val="20"/>
        </w:rPr>
        <w:t>offices of Clifford Chance LLP</w:t>
      </w:r>
      <w:r w:rsidRPr="00701439">
        <w:rPr>
          <w:rFonts w:asciiTheme="minorHAnsi" w:hAnsiTheme="minorHAnsi" w:cs="Arial"/>
          <w:sz w:val="20"/>
          <w:szCs w:val="20"/>
        </w:rPr>
        <w:t xml:space="preserve">, </w:t>
      </w:r>
      <w:r w:rsidR="00523F87" w:rsidRPr="00701439">
        <w:rPr>
          <w:rFonts w:asciiTheme="minorHAnsi" w:hAnsiTheme="minorHAnsi" w:cs="Arial"/>
          <w:sz w:val="20"/>
          <w:szCs w:val="20"/>
        </w:rPr>
        <w:t>10 Upper Bank Street</w:t>
      </w:r>
      <w:r w:rsidRPr="00701439">
        <w:rPr>
          <w:rFonts w:asciiTheme="minorHAnsi" w:hAnsiTheme="minorHAnsi" w:cs="Arial"/>
          <w:sz w:val="20"/>
          <w:szCs w:val="20"/>
        </w:rPr>
        <w:t xml:space="preserve">, </w:t>
      </w:r>
      <w:r w:rsidR="00256B3F" w:rsidRPr="00701439">
        <w:rPr>
          <w:rFonts w:asciiTheme="minorHAnsi" w:hAnsiTheme="minorHAnsi" w:cs="Arial"/>
          <w:sz w:val="20"/>
          <w:szCs w:val="20"/>
        </w:rPr>
        <w:t>Canary Wharf</w:t>
      </w:r>
      <w:r w:rsidRPr="00701439">
        <w:rPr>
          <w:rFonts w:asciiTheme="minorHAnsi" w:hAnsiTheme="minorHAnsi" w:cs="Arial"/>
          <w:sz w:val="20"/>
          <w:szCs w:val="20"/>
        </w:rPr>
        <w:t xml:space="preserve">, </w:t>
      </w:r>
      <w:r w:rsidR="00256B3F" w:rsidRPr="00701439">
        <w:rPr>
          <w:rFonts w:asciiTheme="minorHAnsi" w:hAnsiTheme="minorHAnsi" w:cs="Arial"/>
          <w:sz w:val="20"/>
          <w:szCs w:val="20"/>
        </w:rPr>
        <w:t>London, E14 5JJ</w:t>
      </w:r>
      <w:r w:rsidRPr="00701439">
        <w:rPr>
          <w:rFonts w:asciiTheme="minorHAnsi" w:hAnsiTheme="minorHAnsi" w:cs="Arial"/>
          <w:sz w:val="20"/>
          <w:szCs w:val="20"/>
        </w:rPr>
        <w:t>.</w:t>
      </w:r>
      <w:bookmarkEnd w:id="29"/>
      <w:r w:rsidRPr="00BF0806">
        <w:rPr>
          <w:rFonts w:asciiTheme="minorHAnsi" w:hAnsiTheme="minorHAnsi" w:cs="Arial"/>
          <w:sz w:val="20"/>
          <w:szCs w:val="20"/>
        </w:rPr>
        <w:t xml:space="preserve"> </w:t>
      </w:r>
      <w:bookmarkEnd w:id="27"/>
      <w:bookmarkEnd w:id="28"/>
      <w:r>
        <w:t xml:space="preserve"> </w:t>
      </w:r>
      <w:r>
        <w:tab/>
      </w:r>
    </w:p>
    <w:p w14:paraId="4335951C" w14:textId="77777777" w:rsidR="00A3021A" w:rsidRDefault="00A3021A" w:rsidP="00607E22">
      <w:pPr>
        <w:jc w:val="both"/>
        <w:rPr>
          <w:rFonts w:asciiTheme="minorHAnsi" w:hAnsiTheme="minorHAnsi" w:cs="Arial"/>
          <w:b/>
          <w:sz w:val="20"/>
          <w:szCs w:val="20"/>
          <w:u w:val="single"/>
        </w:rPr>
      </w:pPr>
    </w:p>
    <w:sectPr w:rsidR="00A3021A" w:rsidSect="0085107A">
      <w:headerReference w:type="even" r:id="rId12"/>
      <w:headerReference w:type="default" r:id="rId13"/>
      <w:footerReference w:type="even" r:id="rId14"/>
      <w:footerReference w:type="default" r:id="rId15"/>
      <w:headerReference w:type="first" r:id="rId16"/>
      <w:pgSz w:w="11906" w:h="16838"/>
      <w:pgMar w:top="1134" w:right="1106" w:bottom="1134" w:left="1077"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523C9" w14:textId="77777777" w:rsidR="00D07581" w:rsidRDefault="00D07581">
      <w:r>
        <w:separator/>
      </w:r>
    </w:p>
  </w:endnote>
  <w:endnote w:type="continuationSeparator" w:id="0">
    <w:p w14:paraId="69280EB7" w14:textId="77777777" w:rsidR="00D07581" w:rsidRDefault="00D07581">
      <w:r>
        <w:continuationSeparator/>
      </w:r>
    </w:p>
  </w:endnote>
  <w:endnote w:type="continuationNotice" w:id="1">
    <w:p w14:paraId="0C821271" w14:textId="77777777" w:rsidR="00D07581" w:rsidRDefault="00D075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rmes-Thin">
    <w:altName w:val="Times New Roman"/>
    <w:panose1 w:val="00000000000000000000"/>
    <w:charset w:val="00"/>
    <w:family w:val="auto"/>
    <w:notTrueType/>
    <w:pitch w:val="variable"/>
    <w:sig w:usb0="00000083" w:usb1="00000000" w:usb2="00000000" w:usb3="00000000" w:csb0="00000009" w:csb1="00000000"/>
  </w:font>
  <w:font w:name="Clarendon">
    <w:charset w:val="00"/>
    <w:family w:val="roman"/>
    <w:pitch w:val="default"/>
  </w:font>
  <w:font w:name="Hermes-Regular">
    <w:altName w:val="Times New Roman"/>
    <w:panose1 w:val="00000000000000000000"/>
    <w:charset w:val="00"/>
    <w:family w:val="auto"/>
    <w:notTrueType/>
    <w:pitch w:val="variable"/>
    <w:sig w:usb0="00000083" w:usb1="00000000" w:usb2="00000000" w:usb3="00000000" w:csb0="00000009" w:csb1="00000000"/>
  </w:font>
  <w:font w:name="Clarendon Light">
    <w:panose1 w:val="00000000000000000000"/>
    <w:charset w:val="00"/>
    <w:family w:val="roman"/>
    <w:notTrueType/>
    <w:pitch w:val="variable"/>
    <w:sig w:usb0="00000003" w:usb1="00000000" w:usb2="00000000" w:usb3="00000000" w:csb0="00000001" w:csb1="00000000"/>
  </w:font>
  <w:font w:name="Pluto Sans Light">
    <w:altName w:val="Arial"/>
    <w:panose1 w:val="00000000000000000000"/>
    <w:charset w:val="00"/>
    <w:family w:val="modern"/>
    <w:notTrueType/>
    <w:pitch w:val="variable"/>
    <w:sig w:usb0="00000001" w:usb1="5000207B"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Pluto Sans Medium">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Effra Medium">
    <w:altName w:val="Effra Medium"/>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Open Sans Light">
    <w:charset w:val="00"/>
    <w:family w:val="swiss"/>
    <w:pitch w:val="variable"/>
    <w:sig w:usb0="E00002EF" w:usb1="4000205B" w:usb2="00000028" w:usb3="00000000" w:csb0="0000019F" w:csb1="00000000"/>
  </w:font>
  <w:font w:name="Graphik Light">
    <w:altName w:val="Calibri"/>
    <w:panose1 w:val="00000000000000000000"/>
    <w:charset w:val="00"/>
    <w:family w:val="swiss"/>
    <w:notTrueType/>
    <w:pitch w:val="variable"/>
    <w:sig w:usb0="A000002F" w:usb1="4000045A" w:usb2="00000000" w:usb3="00000000" w:csb0="00000093" w:csb1="00000000"/>
  </w:font>
  <w:font w:name="Graphik Medium">
    <w:panose1 w:val="00000000000000000000"/>
    <w:charset w:val="00"/>
    <w:family w:val="swiss"/>
    <w:notTrueType/>
    <w:pitch w:val="variable"/>
    <w:sig w:usb0="A000002F" w:usb1="4000045A" w:usb2="00000000" w:usb3="00000000" w:csb0="00000093" w:csb1="00000000"/>
  </w:font>
  <w:font w:name="Poppins Light">
    <w:charset w:val="00"/>
    <w:family w:val="auto"/>
    <w:pitch w:val="variable"/>
    <w:sig w:usb0="00008007" w:usb1="00000000" w:usb2="00000000" w:usb3="00000000" w:csb0="00000093" w:csb1="00000000"/>
  </w:font>
  <w:font w:name="Poppins-Light">
    <w:altName w:val="Calibri"/>
    <w:panose1 w:val="00000000000000000000"/>
    <w:charset w:val="00"/>
    <w:family w:val="swiss"/>
    <w:notTrueType/>
    <w:pitch w:val="default"/>
    <w:sig w:usb0="00000003" w:usb1="00000000" w:usb2="00000000" w:usb3="00000000" w:csb0="00000001" w:csb1="00000000"/>
  </w:font>
  <w:font w:name="Avenir-Light">
    <w:panose1 w:val="00000000000000000000"/>
    <w:charset w:val="00"/>
    <w:family w:val="swiss"/>
    <w:notTrueType/>
    <w:pitch w:val="default"/>
    <w:sig w:usb0="00000003" w:usb1="00000000" w:usb2="00000000" w:usb3="00000000" w:csb0="00000001" w:csb1="00000000"/>
  </w:font>
  <w:font w:name="Calibri (Body)">
    <w:altName w:val="Calibr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Poppins-Regular">
    <w:altName w:val="Poppin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6138B" w14:textId="77777777" w:rsidR="00B7371A" w:rsidRDefault="00B737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289A0E" w14:textId="77777777" w:rsidR="00B7371A" w:rsidRDefault="00B737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0182199"/>
      <w:docPartObj>
        <w:docPartGallery w:val="Page Numbers (Bottom of Page)"/>
        <w:docPartUnique/>
      </w:docPartObj>
    </w:sdtPr>
    <w:sdtEndPr>
      <w:rPr>
        <w:rFonts w:asciiTheme="minorHAnsi" w:hAnsiTheme="minorHAnsi"/>
        <w:noProof/>
        <w:sz w:val="20"/>
      </w:rPr>
    </w:sdtEndPr>
    <w:sdtContent>
      <w:p w14:paraId="7C151006" w14:textId="6815E5D0" w:rsidR="00B7371A" w:rsidRPr="004F75DB" w:rsidRDefault="00B7371A">
        <w:pPr>
          <w:pStyle w:val="Footer"/>
          <w:jc w:val="center"/>
          <w:rPr>
            <w:rFonts w:asciiTheme="minorHAnsi" w:hAnsiTheme="minorHAnsi"/>
            <w:sz w:val="20"/>
          </w:rPr>
        </w:pPr>
        <w:r w:rsidRPr="004F75DB">
          <w:rPr>
            <w:rFonts w:asciiTheme="minorHAnsi" w:hAnsiTheme="minorHAnsi"/>
            <w:sz w:val="20"/>
          </w:rPr>
          <w:fldChar w:fldCharType="begin"/>
        </w:r>
        <w:r w:rsidRPr="004F75DB">
          <w:rPr>
            <w:rFonts w:asciiTheme="minorHAnsi" w:hAnsiTheme="minorHAnsi"/>
            <w:sz w:val="20"/>
          </w:rPr>
          <w:instrText xml:space="preserve"> PAGE   \* MERGEFORMAT </w:instrText>
        </w:r>
        <w:r w:rsidRPr="004F75DB">
          <w:rPr>
            <w:rFonts w:asciiTheme="minorHAnsi" w:hAnsiTheme="minorHAnsi"/>
            <w:sz w:val="20"/>
          </w:rPr>
          <w:fldChar w:fldCharType="separate"/>
        </w:r>
        <w:r>
          <w:rPr>
            <w:rFonts w:asciiTheme="minorHAnsi" w:hAnsiTheme="minorHAnsi"/>
            <w:noProof/>
            <w:sz w:val="20"/>
          </w:rPr>
          <w:t>21</w:t>
        </w:r>
        <w:r w:rsidRPr="004F75DB">
          <w:rPr>
            <w:rFonts w:asciiTheme="minorHAnsi" w:hAnsiTheme="minorHAnsi"/>
            <w:noProof/>
            <w:sz w:val="20"/>
          </w:rPr>
          <w:fldChar w:fldCharType="end"/>
        </w:r>
      </w:p>
    </w:sdtContent>
  </w:sdt>
  <w:p w14:paraId="0E4D130F" w14:textId="77777777" w:rsidR="00B7371A" w:rsidRPr="00702F82" w:rsidRDefault="00B7371A" w:rsidP="00B32ABF">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F2DC5" w14:textId="77777777" w:rsidR="00D07581" w:rsidRDefault="00D07581">
      <w:r>
        <w:separator/>
      </w:r>
    </w:p>
  </w:footnote>
  <w:footnote w:type="continuationSeparator" w:id="0">
    <w:p w14:paraId="11F2D4DB" w14:textId="77777777" w:rsidR="00D07581" w:rsidRDefault="00D07581">
      <w:r>
        <w:continuationSeparator/>
      </w:r>
    </w:p>
  </w:footnote>
  <w:footnote w:type="continuationNotice" w:id="1">
    <w:p w14:paraId="44E6E26F" w14:textId="77777777" w:rsidR="00D07581" w:rsidRDefault="00D07581"/>
  </w:footnote>
  <w:footnote w:id="2">
    <w:p w14:paraId="60081E03" w14:textId="7E5B51CF" w:rsidR="009E48C2" w:rsidRDefault="009E48C2">
      <w:pPr>
        <w:pStyle w:val="FootnoteText"/>
      </w:pPr>
      <w:r>
        <w:rPr>
          <w:rStyle w:val="FootnoteReference"/>
        </w:rPr>
        <w:footnoteRef/>
      </w:r>
      <w:r>
        <w:t xml:space="preserve"> </w:t>
      </w:r>
      <w:r w:rsidRPr="009E48C2">
        <w:rPr>
          <w:rFonts w:asciiTheme="minorHAnsi" w:hAnsiTheme="minorHAnsi" w:cstheme="minorHAnsi"/>
          <w:sz w:val="16"/>
          <w:szCs w:val="16"/>
        </w:rPr>
        <w:t xml:space="preserve">Excluding any confidential </w:t>
      </w:r>
      <w:r w:rsidR="0046143D">
        <w:rPr>
          <w:rFonts w:asciiTheme="minorHAnsi" w:hAnsiTheme="minorHAnsi" w:cstheme="minorHAnsi"/>
          <w:sz w:val="16"/>
          <w:szCs w:val="16"/>
        </w:rPr>
        <w:t>and management buffers</w:t>
      </w:r>
      <w:r w:rsidR="0027292E">
        <w:rPr>
          <w:rFonts w:asciiTheme="minorHAnsi" w:hAnsiTheme="minorHAnsi" w:cstheme="minorHAnsi"/>
          <w:sz w:val="16"/>
          <w:szCs w:val="16"/>
        </w:rPr>
        <w:t xml:space="preserve"> and pre C-SREP</w:t>
      </w:r>
      <w:r w:rsidR="005806DF">
        <w:rPr>
          <w:rFonts w:asciiTheme="minorHAnsi" w:hAnsiTheme="minorHAnsi" w:cstheme="minorHAnsi"/>
          <w:sz w:val="16"/>
          <w:szCs w:val="16"/>
        </w:rPr>
        <w:t xml:space="preserve"> reduction</w:t>
      </w:r>
      <w:r w:rsidR="0046143D">
        <w:rPr>
          <w:rFonts w:asciiTheme="minorHAnsi" w:hAnsiTheme="minorHAnsi" w:cstheme="minorHAnsi"/>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1FBE3" w14:textId="38C27834" w:rsidR="00B7371A" w:rsidRDefault="00B7371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D90163" w14:textId="77777777" w:rsidR="00B7371A" w:rsidRDefault="00B737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8D092" w14:textId="178A285A" w:rsidR="00B7371A" w:rsidRDefault="00B7371A">
    <w:pPr>
      <w:pStyle w:val="Header"/>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7D4BA" w14:textId="2B8F6FD8" w:rsidR="00B7371A" w:rsidRDefault="00B7371A">
    <w:pPr>
      <w:pStyle w:val="Header"/>
      <w:tabs>
        <w:tab w:val="clear" w:pos="8306"/>
        <w:tab w:val="right" w:pos="9360"/>
      </w:tabs>
      <w:rPr>
        <w:b/>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73A35"/>
    <w:multiLevelType w:val="hybridMultilevel"/>
    <w:tmpl w:val="A1BC326A"/>
    <w:lvl w:ilvl="0" w:tplc="90602304">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BF01DB"/>
    <w:multiLevelType w:val="hybridMultilevel"/>
    <w:tmpl w:val="D7847138"/>
    <w:lvl w:ilvl="0" w:tplc="65B09266">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41BD4"/>
    <w:multiLevelType w:val="hybridMultilevel"/>
    <w:tmpl w:val="B900A3D8"/>
    <w:lvl w:ilvl="0" w:tplc="6F64CE44">
      <w:start w:val="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3A0CD0"/>
    <w:multiLevelType w:val="hybridMultilevel"/>
    <w:tmpl w:val="257688AA"/>
    <w:lvl w:ilvl="0" w:tplc="820CA2FC">
      <w:start w:val="2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19202F"/>
    <w:multiLevelType w:val="hybridMultilevel"/>
    <w:tmpl w:val="507AEC80"/>
    <w:lvl w:ilvl="0" w:tplc="08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9992C7A"/>
    <w:multiLevelType w:val="hybridMultilevel"/>
    <w:tmpl w:val="25825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740800"/>
    <w:multiLevelType w:val="hybridMultilevel"/>
    <w:tmpl w:val="306C2140"/>
    <w:lvl w:ilvl="0" w:tplc="5BF4F9FA">
      <w:start w:val="202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025894"/>
    <w:multiLevelType w:val="hybridMultilevel"/>
    <w:tmpl w:val="F22651F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2466176C"/>
    <w:multiLevelType w:val="hybridMultilevel"/>
    <w:tmpl w:val="7CAE9CBE"/>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5125E66"/>
    <w:multiLevelType w:val="hybridMultilevel"/>
    <w:tmpl w:val="AE2AFDAE"/>
    <w:lvl w:ilvl="0" w:tplc="5BF4F9FA">
      <w:start w:val="202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890F3E"/>
    <w:multiLevelType w:val="hybridMultilevel"/>
    <w:tmpl w:val="005AE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3524A7"/>
    <w:multiLevelType w:val="hybridMultilevel"/>
    <w:tmpl w:val="8B083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6F2622"/>
    <w:multiLevelType w:val="hybridMultilevel"/>
    <w:tmpl w:val="F022FA0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2D3C2399"/>
    <w:multiLevelType w:val="hybridMultilevel"/>
    <w:tmpl w:val="59C09E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F25595C"/>
    <w:multiLevelType w:val="hybridMultilevel"/>
    <w:tmpl w:val="D80A7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F909C5"/>
    <w:multiLevelType w:val="hybridMultilevel"/>
    <w:tmpl w:val="17101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3B60B1"/>
    <w:multiLevelType w:val="hybridMultilevel"/>
    <w:tmpl w:val="615A1936"/>
    <w:lvl w:ilvl="0" w:tplc="E68882C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5431135"/>
    <w:multiLevelType w:val="hybridMultilevel"/>
    <w:tmpl w:val="027E1DEA"/>
    <w:lvl w:ilvl="0" w:tplc="FE0832C0">
      <w:start w:val="1"/>
      <w:numFmt w:val="bullet"/>
      <w:lvlText w:val=""/>
      <w:lvlJc w:val="left"/>
      <w:pPr>
        <w:ind w:left="720" w:hanging="360"/>
      </w:pPr>
      <w:rPr>
        <w:rFonts w:ascii="Symbol" w:hAnsi="Symbol"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8EC67B1"/>
    <w:multiLevelType w:val="hybridMultilevel"/>
    <w:tmpl w:val="C4D6017A"/>
    <w:lvl w:ilvl="0" w:tplc="862E224A">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EC74C4"/>
    <w:multiLevelType w:val="hybridMultilevel"/>
    <w:tmpl w:val="988C9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0F641C"/>
    <w:multiLevelType w:val="hybridMultilevel"/>
    <w:tmpl w:val="68DA0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737970"/>
    <w:multiLevelType w:val="hybridMultilevel"/>
    <w:tmpl w:val="CCF8FB62"/>
    <w:lvl w:ilvl="0" w:tplc="D0CA67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194F1F"/>
    <w:multiLevelType w:val="hybridMultilevel"/>
    <w:tmpl w:val="35FC5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0CB5D79"/>
    <w:multiLevelType w:val="hybridMultilevel"/>
    <w:tmpl w:val="74567F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F45483"/>
    <w:multiLevelType w:val="hybridMultilevel"/>
    <w:tmpl w:val="F954C2B0"/>
    <w:lvl w:ilvl="0" w:tplc="938E30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204A8C"/>
    <w:multiLevelType w:val="hybridMultilevel"/>
    <w:tmpl w:val="4C805D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C78518D"/>
    <w:multiLevelType w:val="hybridMultilevel"/>
    <w:tmpl w:val="2A8CA4AA"/>
    <w:lvl w:ilvl="0" w:tplc="F5D69F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932D7D"/>
    <w:multiLevelType w:val="hybridMultilevel"/>
    <w:tmpl w:val="81F65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EB5279"/>
    <w:multiLevelType w:val="hybridMultilevel"/>
    <w:tmpl w:val="926A8AE0"/>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15:restartNumberingAfterBreak="0">
    <w:nsid w:val="4FF51FE1"/>
    <w:multiLevelType w:val="hybridMultilevel"/>
    <w:tmpl w:val="53984E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2F5562E"/>
    <w:multiLevelType w:val="multilevel"/>
    <w:tmpl w:val="A23096EE"/>
    <w:name w:val="oc_Num_4th"/>
    <w:lvl w:ilvl="0">
      <w:start w:val="1"/>
      <w:numFmt w:val="none"/>
      <w:pStyle w:val="ocNum4th1"/>
      <w:suff w:val="nothing"/>
      <w:lvlText w:val=""/>
      <w:lvlJc w:val="left"/>
      <w:pPr>
        <w:ind w:left="0" w:firstLine="0"/>
      </w:pPr>
      <w:rPr>
        <w:rFonts w:ascii="Times New Roman" w:hAnsi="Times New Roman" w:cs="Times New Roman" w:hint="default"/>
        <w:b w:val="0"/>
        <w:i w:val="0"/>
        <w:caps w:val="0"/>
        <w:strike w:val="0"/>
        <w:dstrike w:val="0"/>
        <w:vanish w:val="0"/>
        <w:color w:val="auto"/>
        <w:sz w:val="18"/>
        <w:u w:val="none"/>
        <w:effect w:val="none"/>
        <w:vertAlign w:val="baseline"/>
      </w:rPr>
    </w:lvl>
    <w:lvl w:ilvl="1">
      <w:start w:val="1"/>
      <w:numFmt w:val="decimal"/>
      <w:pStyle w:val="ocNum4th2"/>
      <w:lvlText w:val="%2."/>
      <w:lvlJc w:val="left"/>
      <w:pPr>
        <w:tabs>
          <w:tab w:val="num" w:pos="680"/>
        </w:tabs>
        <w:ind w:left="680" w:hanging="680"/>
      </w:pPr>
      <w:rPr>
        <w:rFonts w:ascii="Times New Roman" w:hAnsi="Times New Roman" w:cs="Times New Roman" w:hint="default"/>
        <w:b w:val="0"/>
        <w:i w:val="0"/>
        <w:caps w:val="0"/>
        <w:strike w:val="0"/>
        <w:dstrike w:val="0"/>
        <w:vanish w:val="0"/>
        <w:color w:val="auto"/>
        <w:sz w:val="18"/>
        <w:u w:val="none"/>
        <w:effect w:val="none"/>
        <w:vertAlign w:val="baseline"/>
      </w:rPr>
    </w:lvl>
    <w:lvl w:ilvl="2">
      <w:start w:val="1"/>
      <w:numFmt w:val="decimal"/>
      <w:pStyle w:val="ocNum4th3"/>
      <w:isLgl/>
      <w:lvlText w:val="%2.%3"/>
      <w:lvlJc w:val="left"/>
      <w:pPr>
        <w:tabs>
          <w:tab w:val="num" w:pos="680"/>
        </w:tabs>
        <w:ind w:left="680" w:hanging="680"/>
      </w:pPr>
      <w:rPr>
        <w:rFonts w:ascii="Times New Roman" w:hAnsi="Times New Roman" w:cs="Times New Roman" w:hint="default"/>
        <w:b w:val="0"/>
        <w:i w:val="0"/>
        <w:caps w:val="0"/>
        <w:strike w:val="0"/>
        <w:dstrike w:val="0"/>
        <w:vanish w:val="0"/>
        <w:color w:val="auto"/>
        <w:sz w:val="18"/>
        <w:u w:val="none"/>
        <w:effect w:val="none"/>
        <w:vertAlign w:val="baseline"/>
      </w:rPr>
    </w:lvl>
    <w:lvl w:ilvl="3">
      <w:start w:val="1"/>
      <w:numFmt w:val="none"/>
      <w:pStyle w:val="ocNum4th4"/>
      <w:suff w:val="nothing"/>
      <w:lvlText w:val=""/>
      <w:lvlJc w:val="left"/>
      <w:pPr>
        <w:ind w:left="680" w:firstLine="0"/>
      </w:pPr>
      <w:rPr>
        <w:rFonts w:ascii="Times New Roman" w:hAnsi="Times New Roman" w:cs="Times New Roman" w:hint="default"/>
        <w:b w:val="0"/>
        <w:i w:val="0"/>
        <w:caps w:val="0"/>
        <w:strike w:val="0"/>
        <w:dstrike w:val="0"/>
        <w:vanish w:val="0"/>
        <w:color w:val="auto"/>
        <w:sz w:val="18"/>
        <w:u w:val="none"/>
        <w:effect w:val="none"/>
        <w:vertAlign w:val="baseline"/>
      </w:rPr>
    </w:lvl>
    <w:lvl w:ilvl="4">
      <w:start w:val="1"/>
      <w:numFmt w:val="lowerLetter"/>
      <w:pStyle w:val="ocNum4th5"/>
      <w:lvlText w:val="(%5)"/>
      <w:lvlJc w:val="left"/>
      <w:pPr>
        <w:tabs>
          <w:tab w:val="num" w:pos="1361"/>
        </w:tabs>
        <w:ind w:left="1361" w:hanging="681"/>
      </w:pPr>
      <w:rPr>
        <w:rFonts w:ascii="Times New Roman" w:hAnsi="Times New Roman" w:cs="Times New Roman" w:hint="default"/>
        <w:b w:val="0"/>
        <w:i w:val="0"/>
        <w:caps w:val="0"/>
        <w:strike w:val="0"/>
        <w:dstrike w:val="0"/>
        <w:vanish w:val="0"/>
        <w:color w:val="auto"/>
        <w:sz w:val="18"/>
        <w:u w:val="none"/>
        <w:effect w:val="none"/>
        <w:vertAlign w:val="baseline"/>
      </w:rPr>
    </w:lvl>
    <w:lvl w:ilvl="5">
      <w:start w:val="1"/>
      <w:numFmt w:val="lowerRoman"/>
      <w:pStyle w:val="ocNum4th6"/>
      <w:lvlText w:val="(%6)"/>
      <w:lvlJc w:val="left"/>
      <w:pPr>
        <w:tabs>
          <w:tab w:val="num" w:pos="2041"/>
        </w:tabs>
        <w:ind w:left="2041" w:hanging="680"/>
      </w:pPr>
      <w:rPr>
        <w:rFonts w:ascii="Times New Roman" w:hAnsi="Times New Roman" w:cs="Times New Roman" w:hint="default"/>
        <w:b w:val="0"/>
        <w:i w:val="0"/>
        <w:caps w:val="0"/>
        <w:strike w:val="0"/>
        <w:dstrike w:val="0"/>
        <w:vanish w:val="0"/>
        <w:color w:val="auto"/>
        <w:sz w:val="18"/>
        <w:u w:val="none"/>
        <w:effect w:val="none"/>
        <w:vertAlign w:val="baseline"/>
      </w:rPr>
    </w:lvl>
    <w:lvl w:ilvl="6">
      <w:start w:val="1"/>
      <w:numFmt w:val="upperLetter"/>
      <w:pStyle w:val="ocNum4th7"/>
      <w:lvlText w:val="(%7)"/>
      <w:lvlJc w:val="left"/>
      <w:pPr>
        <w:tabs>
          <w:tab w:val="num" w:pos="2722"/>
        </w:tabs>
        <w:ind w:left="2722" w:hanging="681"/>
      </w:pPr>
      <w:rPr>
        <w:rFonts w:ascii="Times New Roman" w:hAnsi="Times New Roman" w:cs="Times New Roman" w:hint="default"/>
        <w:b w:val="0"/>
        <w:i w:val="0"/>
        <w:caps w:val="0"/>
        <w:strike w:val="0"/>
        <w:dstrike w:val="0"/>
        <w:vanish w:val="0"/>
        <w:color w:val="auto"/>
        <w:sz w:val="18"/>
        <w:u w:val="none"/>
        <w:effect w:val="none"/>
        <w:vertAlign w:val="baseline"/>
      </w:rPr>
    </w:lvl>
    <w:lvl w:ilvl="7">
      <w:start w:val="1"/>
      <w:numFmt w:val="decimal"/>
      <w:pStyle w:val="ocNum4th8"/>
      <w:lvlText w:val="(%8)"/>
      <w:lvlJc w:val="left"/>
      <w:pPr>
        <w:tabs>
          <w:tab w:val="num" w:pos="3402"/>
        </w:tabs>
        <w:ind w:left="3402" w:hanging="680"/>
      </w:pPr>
      <w:rPr>
        <w:rFonts w:ascii="Times New Roman" w:hAnsi="Times New Roman" w:cs="Times New Roman" w:hint="default"/>
        <w:b w:val="0"/>
        <w:i w:val="0"/>
        <w:caps w:val="0"/>
        <w:strike w:val="0"/>
        <w:dstrike w:val="0"/>
        <w:vanish w:val="0"/>
        <w:color w:val="auto"/>
        <w:sz w:val="20"/>
        <w:u w:val="none"/>
        <w:effect w:val="none"/>
        <w:vertAlign w:val="baseline"/>
      </w:rPr>
    </w:lvl>
    <w:lvl w:ilvl="8">
      <w:start w:val="1"/>
      <w:numFmt w:val="none"/>
      <w:pStyle w:val="ocNum4th9"/>
      <w:suff w:val="nothing"/>
      <w:lvlText w:val=""/>
      <w:lvlJc w:val="left"/>
      <w:pPr>
        <w:ind w:left="0" w:firstLine="0"/>
      </w:pPr>
      <w:rPr>
        <w:rFonts w:ascii="Times New Roman" w:hAnsi="Times New Roman" w:cs="Times New Roman" w:hint="default"/>
        <w:b w:val="0"/>
        <w:i w:val="0"/>
        <w:caps w:val="0"/>
        <w:strike w:val="0"/>
        <w:dstrike w:val="0"/>
        <w:vanish w:val="0"/>
        <w:color w:val="auto"/>
        <w:sz w:val="20"/>
        <w:u w:val="none"/>
        <w:effect w:val="none"/>
        <w:vertAlign w:val="baseline"/>
      </w:rPr>
    </w:lvl>
  </w:abstractNum>
  <w:abstractNum w:abstractNumId="31" w15:restartNumberingAfterBreak="0">
    <w:nsid w:val="56A54641"/>
    <w:multiLevelType w:val="hybridMultilevel"/>
    <w:tmpl w:val="00949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E72EF2"/>
    <w:multiLevelType w:val="hybridMultilevel"/>
    <w:tmpl w:val="E4E6D62C"/>
    <w:lvl w:ilvl="0" w:tplc="08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A302B5E"/>
    <w:multiLevelType w:val="hybridMultilevel"/>
    <w:tmpl w:val="DB9698BA"/>
    <w:lvl w:ilvl="0" w:tplc="DF3CBF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BCF6C52"/>
    <w:multiLevelType w:val="hybridMultilevel"/>
    <w:tmpl w:val="EEBC6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4206CC"/>
    <w:multiLevelType w:val="hybridMultilevel"/>
    <w:tmpl w:val="CA280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C259B6"/>
    <w:multiLevelType w:val="hybridMultilevel"/>
    <w:tmpl w:val="A094FAAE"/>
    <w:lvl w:ilvl="0" w:tplc="60C00524">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0419BA"/>
    <w:multiLevelType w:val="hybridMultilevel"/>
    <w:tmpl w:val="CEAAD804"/>
    <w:lvl w:ilvl="0" w:tplc="1D0A6EB6">
      <w:start w:val="2021"/>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F730A36"/>
    <w:multiLevelType w:val="hybridMultilevel"/>
    <w:tmpl w:val="FA66D352"/>
    <w:lvl w:ilvl="0" w:tplc="699611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3C66962"/>
    <w:multiLevelType w:val="hybridMultilevel"/>
    <w:tmpl w:val="95044CC2"/>
    <w:lvl w:ilvl="0" w:tplc="CAC6B8F8">
      <w:start w:val="202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AD5693"/>
    <w:multiLevelType w:val="hybridMultilevel"/>
    <w:tmpl w:val="08EA4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7D1108"/>
    <w:multiLevelType w:val="hybridMultilevel"/>
    <w:tmpl w:val="1D546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361B2D"/>
    <w:multiLevelType w:val="hybridMultilevel"/>
    <w:tmpl w:val="23FE46D2"/>
    <w:lvl w:ilvl="0" w:tplc="08090001">
      <w:start w:val="1"/>
      <w:numFmt w:val="bullet"/>
      <w:lvlText w:val=""/>
      <w:lvlJc w:val="left"/>
      <w:pPr>
        <w:ind w:left="1080" w:hanging="360"/>
      </w:pPr>
      <w:rPr>
        <w:rFonts w:ascii="Symbol" w:hAnsi="Symbol" w:hint="default"/>
      </w:rPr>
    </w:lvl>
    <w:lvl w:ilvl="1" w:tplc="47ECAF80">
      <w:numFmt w:val="bullet"/>
      <w:lvlText w:val="–"/>
      <w:lvlJc w:val="left"/>
      <w:pPr>
        <w:ind w:left="1800" w:hanging="360"/>
      </w:pPr>
      <w:rPr>
        <w:rFonts w:ascii="Calibri" w:eastAsia="Times New Roman" w:hAnsi="Calibri"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8576D6B"/>
    <w:multiLevelType w:val="hybridMultilevel"/>
    <w:tmpl w:val="890C35A6"/>
    <w:lvl w:ilvl="0" w:tplc="83D4F75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8645CE9"/>
    <w:multiLevelType w:val="hybridMultilevel"/>
    <w:tmpl w:val="3BBCE8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F826853"/>
    <w:multiLevelType w:val="hybridMultilevel"/>
    <w:tmpl w:val="EB92C246"/>
    <w:lvl w:ilvl="0" w:tplc="FA6EFB80">
      <w:start w:val="202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BD4D4E"/>
    <w:multiLevelType w:val="hybridMultilevel"/>
    <w:tmpl w:val="856E62F6"/>
    <w:lvl w:ilvl="0" w:tplc="7CB6E03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817502645">
    <w:abstractNumId w:val="30"/>
  </w:num>
  <w:num w:numId="2" w16cid:durableId="1039088670">
    <w:abstractNumId w:val="17"/>
  </w:num>
  <w:num w:numId="3" w16cid:durableId="63964075">
    <w:abstractNumId w:val="29"/>
  </w:num>
  <w:num w:numId="4" w16cid:durableId="370806656">
    <w:abstractNumId w:val="22"/>
  </w:num>
  <w:num w:numId="5" w16cid:durableId="1448039958">
    <w:abstractNumId w:val="14"/>
  </w:num>
  <w:num w:numId="6" w16cid:durableId="1804931594">
    <w:abstractNumId w:val="12"/>
  </w:num>
  <w:num w:numId="7" w16cid:durableId="696390169">
    <w:abstractNumId w:val="25"/>
  </w:num>
  <w:num w:numId="8" w16cid:durableId="905337966">
    <w:abstractNumId w:val="42"/>
  </w:num>
  <w:num w:numId="9" w16cid:durableId="142820867">
    <w:abstractNumId w:val="5"/>
  </w:num>
  <w:num w:numId="10" w16cid:durableId="538855027">
    <w:abstractNumId w:val="16"/>
  </w:num>
  <w:num w:numId="11" w16cid:durableId="326055396">
    <w:abstractNumId w:val="21"/>
  </w:num>
  <w:num w:numId="12" w16cid:durableId="335154626">
    <w:abstractNumId w:val="34"/>
  </w:num>
  <w:num w:numId="13" w16cid:durableId="1950048016">
    <w:abstractNumId w:val="19"/>
  </w:num>
  <w:num w:numId="14" w16cid:durableId="1035277429">
    <w:abstractNumId w:val="20"/>
  </w:num>
  <w:num w:numId="15" w16cid:durableId="1327634038">
    <w:abstractNumId w:val="31"/>
  </w:num>
  <w:num w:numId="16" w16cid:durableId="1242444978">
    <w:abstractNumId w:val="7"/>
  </w:num>
  <w:num w:numId="17" w16cid:durableId="1092893141">
    <w:abstractNumId w:val="40"/>
  </w:num>
  <w:num w:numId="18" w16cid:durableId="1812597578">
    <w:abstractNumId w:val="10"/>
  </w:num>
  <w:num w:numId="19" w16cid:durableId="561528828">
    <w:abstractNumId w:val="45"/>
  </w:num>
  <w:num w:numId="20" w16cid:durableId="997656312">
    <w:abstractNumId w:val="37"/>
  </w:num>
  <w:num w:numId="21" w16cid:durableId="1225601607">
    <w:abstractNumId w:val="39"/>
  </w:num>
  <w:num w:numId="22" w16cid:durableId="917523121">
    <w:abstractNumId w:val="9"/>
  </w:num>
  <w:num w:numId="23" w16cid:durableId="199899501">
    <w:abstractNumId w:val="15"/>
  </w:num>
  <w:num w:numId="24" w16cid:durableId="1113590814">
    <w:abstractNumId w:val="46"/>
  </w:num>
  <w:num w:numId="25" w16cid:durableId="1698967291">
    <w:abstractNumId w:val="43"/>
  </w:num>
  <w:num w:numId="26" w16cid:durableId="1423182804">
    <w:abstractNumId w:val="13"/>
  </w:num>
  <w:num w:numId="27" w16cid:durableId="1724256514">
    <w:abstractNumId w:val="18"/>
  </w:num>
  <w:num w:numId="28" w16cid:durableId="283929312">
    <w:abstractNumId w:val="36"/>
  </w:num>
  <w:num w:numId="29" w16cid:durableId="587227913">
    <w:abstractNumId w:val="33"/>
  </w:num>
  <w:num w:numId="30" w16cid:durableId="1705792366">
    <w:abstractNumId w:val="26"/>
  </w:num>
  <w:num w:numId="31" w16cid:durableId="1838691297">
    <w:abstractNumId w:val="28"/>
  </w:num>
  <w:num w:numId="32" w16cid:durableId="606087673">
    <w:abstractNumId w:val="41"/>
  </w:num>
  <w:num w:numId="33" w16cid:durableId="1254893883">
    <w:abstractNumId w:val="8"/>
  </w:num>
  <w:num w:numId="34" w16cid:durableId="7949345">
    <w:abstractNumId w:val="23"/>
  </w:num>
  <w:num w:numId="35" w16cid:durableId="1360350562">
    <w:abstractNumId w:val="44"/>
  </w:num>
  <w:num w:numId="36" w16cid:durableId="1215510951">
    <w:abstractNumId w:val="32"/>
  </w:num>
  <w:num w:numId="37" w16cid:durableId="1638728194">
    <w:abstractNumId w:val="4"/>
  </w:num>
  <w:num w:numId="38" w16cid:durableId="545416016">
    <w:abstractNumId w:val="27"/>
  </w:num>
  <w:num w:numId="39" w16cid:durableId="800535352">
    <w:abstractNumId w:val="11"/>
  </w:num>
  <w:num w:numId="40" w16cid:durableId="706294328">
    <w:abstractNumId w:val="35"/>
  </w:num>
  <w:num w:numId="41" w16cid:durableId="1394698023">
    <w:abstractNumId w:val="6"/>
  </w:num>
  <w:num w:numId="42" w16cid:durableId="256450658">
    <w:abstractNumId w:val="3"/>
  </w:num>
  <w:num w:numId="43" w16cid:durableId="359010944">
    <w:abstractNumId w:val="24"/>
  </w:num>
  <w:num w:numId="44" w16cid:durableId="1687094448">
    <w:abstractNumId w:val="38"/>
  </w:num>
  <w:num w:numId="45" w16cid:durableId="96608043">
    <w:abstractNumId w:val="2"/>
  </w:num>
  <w:num w:numId="46" w16cid:durableId="1669019893">
    <w:abstractNumId w:val="0"/>
  </w:num>
  <w:num w:numId="47" w16cid:durableId="171189771">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B73"/>
    <w:rsid w:val="000003D5"/>
    <w:rsid w:val="000007BA"/>
    <w:rsid w:val="0000097A"/>
    <w:rsid w:val="00000DA1"/>
    <w:rsid w:val="00000E17"/>
    <w:rsid w:val="00001067"/>
    <w:rsid w:val="00001099"/>
    <w:rsid w:val="00001820"/>
    <w:rsid w:val="00001E28"/>
    <w:rsid w:val="00001F7A"/>
    <w:rsid w:val="00001FD3"/>
    <w:rsid w:val="00002307"/>
    <w:rsid w:val="00002325"/>
    <w:rsid w:val="000025D1"/>
    <w:rsid w:val="00002F10"/>
    <w:rsid w:val="00003DC2"/>
    <w:rsid w:val="000040C4"/>
    <w:rsid w:val="0000450F"/>
    <w:rsid w:val="00004785"/>
    <w:rsid w:val="00004898"/>
    <w:rsid w:val="000048E9"/>
    <w:rsid w:val="00004C4C"/>
    <w:rsid w:val="00004F55"/>
    <w:rsid w:val="00005083"/>
    <w:rsid w:val="00005FB0"/>
    <w:rsid w:val="0000606D"/>
    <w:rsid w:val="00006234"/>
    <w:rsid w:val="00006892"/>
    <w:rsid w:val="00006AB4"/>
    <w:rsid w:val="000070B6"/>
    <w:rsid w:val="00007119"/>
    <w:rsid w:val="000071DB"/>
    <w:rsid w:val="00007276"/>
    <w:rsid w:val="0000761D"/>
    <w:rsid w:val="00007AE6"/>
    <w:rsid w:val="000105D1"/>
    <w:rsid w:val="0001088B"/>
    <w:rsid w:val="00010F18"/>
    <w:rsid w:val="000110BD"/>
    <w:rsid w:val="00011141"/>
    <w:rsid w:val="000112E8"/>
    <w:rsid w:val="00011810"/>
    <w:rsid w:val="00011A4D"/>
    <w:rsid w:val="00012006"/>
    <w:rsid w:val="000120DD"/>
    <w:rsid w:val="000124D8"/>
    <w:rsid w:val="0001271C"/>
    <w:rsid w:val="000129D6"/>
    <w:rsid w:val="00012AC8"/>
    <w:rsid w:val="00012C83"/>
    <w:rsid w:val="00012F25"/>
    <w:rsid w:val="00013C41"/>
    <w:rsid w:val="00013DD6"/>
    <w:rsid w:val="0001422F"/>
    <w:rsid w:val="00014241"/>
    <w:rsid w:val="0001424D"/>
    <w:rsid w:val="000142CC"/>
    <w:rsid w:val="0001448C"/>
    <w:rsid w:val="00014E05"/>
    <w:rsid w:val="0001540C"/>
    <w:rsid w:val="0001540E"/>
    <w:rsid w:val="00015A80"/>
    <w:rsid w:val="00015E22"/>
    <w:rsid w:val="00015E6F"/>
    <w:rsid w:val="00016A03"/>
    <w:rsid w:val="00016E45"/>
    <w:rsid w:val="0001771E"/>
    <w:rsid w:val="000179C3"/>
    <w:rsid w:val="00017AA9"/>
    <w:rsid w:val="00017AE7"/>
    <w:rsid w:val="00017D12"/>
    <w:rsid w:val="000203FA"/>
    <w:rsid w:val="000206B1"/>
    <w:rsid w:val="000212F0"/>
    <w:rsid w:val="00021DE5"/>
    <w:rsid w:val="00021F8D"/>
    <w:rsid w:val="00022138"/>
    <w:rsid w:val="00022145"/>
    <w:rsid w:val="00022705"/>
    <w:rsid w:val="00022A0D"/>
    <w:rsid w:val="00022AB3"/>
    <w:rsid w:val="00023014"/>
    <w:rsid w:val="0002355D"/>
    <w:rsid w:val="000235C3"/>
    <w:rsid w:val="00023679"/>
    <w:rsid w:val="000239E5"/>
    <w:rsid w:val="00023A1B"/>
    <w:rsid w:val="00023CA0"/>
    <w:rsid w:val="00023D8D"/>
    <w:rsid w:val="00024307"/>
    <w:rsid w:val="00024653"/>
    <w:rsid w:val="00024A83"/>
    <w:rsid w:val="00024B9A"/>
    <w:rsid w:val="0002503C"/>
    <w:rsid w:val="000252F2"/>
    <w:rsid w:val="0002541E"/>
    <w:rsid w:val="0002559A"/>
    <w:rsid w:val="00026467"/>
    <w:rsid w:val="000268A5"/>
    <w:rsid w:val="0002738C"/>
    <w:rsid w:val="00027A6B"/>
    <w:rsid w:val="00027C6F"/>
    <w:rsid w:val="000300F8"/>
    <w:rsid w:val="0003038E"/>
    <w:rsid w:val="000304AB"/>
    <w:rsid w:val="00030AA2"/>
    <w:rsid w:val="00030B3F"/>
    <w:rsid w:val="00030D8F"/>
    <w:rsid w:val="00030F3D"/>
    <w:rsid w:val="00030F73"/>
    <w:rsid w:val="00030F75"/>
    <w:rsid w:val="0003194E"/>
    <w:rsid w:val="00031A77"/>
    <w:rsid w:val="00032032"/>
    <w:rsid w:val="00032102"/>
    <w:rsid w:val="00032239"/>
    <w:rsid w:val="0003225B"/>
    <w:rsid w:val="000325D3"/>
    <w:rsid w:val="000328C7"/>
    <w:rsid w:val="00032D9E"/>
    <w:rsid w:val="00032DDD"/>
    <w:rsid w:val="0003385A"/>
    <w:rsid w:val="00033CEE"/>
    <w:rsid w:val="0003404C"/>
    <w:rsid w:val="0003426B"/>
    <w:rsid w:val="0003466E"/>
    <w:rsid w:val="0003470B"/>
    <w:rsid w:val="000347B9"/>
    <w:rsid w:val="00034861"/>
    <w:rsid w:val="00034CED"/>
    <w:rsid w:val="00035081"/>
    <w:rsid w:val="000352FA"/>
    <w:rsid w:val="00035A32"/>
    <w:rsid w:val="00035E59"/>
    <w:rsid w:val="00036369"/>
    <w:rsid w:val="000367AA"/>
    <w:rsid w:val="00036AFE"/>
    <w:rsid w:val="00036BF1"/>
    <w:rsid w:val="00036D70"/>
    <w:rsid w:val="00037212"/>
    <w:rsid w:val="000374E4"/>
    <w:rsid w:val="000377BA"/>
    <w:rsid w:val="000379BB"/>
    <w:rsid w:val="00037BB9"/>
    <w:rsid w:val="00040049"/>
    <w:rsid w:val="00040282"/>
    <w:rsid w:val="0004040E"/>
    <w:rsid w:val="00040632"/>
    <w:rsid w:val="00040A8A"/>
    <w:rsid w:val="00040D41"/>
    <w:rsid w:val="0004106E"/>
    <w:rsid w:val="00041252"/>
    <w:rsid w:val="000415F3"/>
    <w:rsid w:val="00041906"/>
    <w:rsid w:val="00041954"/>
    <w:rsid w:val="00041C78"/>
    <w:rsid w:val="00041F9A"/>
    <w:rsid w:val="0004297F"/>
    <w:rsid w:val="00042AA7"/>
    <w:rsid w:val="0004309D"/>
    <w:rsid w:val="000436DA"/>
    <w:rsid w:val="00043796"/>
    <w:rsid w:val="00043A12"/>
    <w:rsid w:val="000443D6"/>
    <w:rsid w:val="00044766"/>
    <w:rsid w:val="00044795"/>
    <w:rsid w:val="00044BEB"/>
    <w:rsid w:val="00044EC3"/>
    <w:rsid w:val="00044F14"/>
    <w:rsid w:val="00044F8B"/>
    <w:rsid w:val="000451A6"/>
    <w:rsid w:val="00045596"/>
    <w:rsid w:val="00045876"/>
    <w:rsid w:val="00045945"/>
    <w:rsid w:val="00045BF8"/>
    <w:rsid w:val="00045C39"/>
    <w:rsid w:val="00045F56"/>
    <w:rsid w:val="0004607F"/>
    <w:rsid w:val="0004623A"/>
    <w:rsid w:val="00046643"/>
    <w:rsid w:val="00046682"/>
    <w:rsid w:val="000468A4"/>
    <w:rsid w:val="00046974"/>
    <w:rsid w:val="00046C3A"/>
    <w:rsid w:val="00046EF2"/>
    <w:rsid w:val="000473E2"/>
    <w:rsid w:val="0004775A"/>
    <w:rsid w:val="00047770"/>
    <w:rsid w:val="000477FD"/>
    <w:rsid w:val="0004781F"/>
    <w:rsid w:val="00047A88"/>
    <w:rsid w:val="00047A99"/>
    <w:rsid w:val="00050C74"/>
    <w:rsid w:val="00051639"/>
    <w:rsid w:val="000519C5"/>
    <w:rsid w:val="00051CF6"/>
    <w:rsid w:val="00051EC9"/>
    <w:rsid w:val="000524B6"/>
    <w:rsid w:val="000535EB"/>
    <w:rsid w:val="00053742"/>
    <w:rsid w:val="0005381F"/>
    <w:rsid w:val="00053FD0"/>
    <w:rsid w:val="00054021"/>
    <w:rsid w:val="0005417A"/>
    <w:rsid w:val="0005433F"/>
    <w:rsid w:val="00054512"/>
    <w:rsid w:val="00054543"/>
    <w:rsid w:val="0005454B"/>
    <w:rsid w:val="00054798"/>
    <w:rsid w:val="00054A25"/>
    <w:rsid w:val="00054C37"/>
    <w:rsid w:val="00054DF2"/>
    <w:rsid w:val="00055061"/>
    <w:rsid w:val="000550A9"/>
    <w:rsid w:val="000550C8"/>
    <w:rsid w:val="000556C6"/>
    <w:rsid w:val="00055888"/>
    <w:rsid w:val="00055BBF"/>
    <w:rsid w:val="00055EE4"/>
    <w:rsid w:val="00056432"/>
    <w:rsid w:val="000566D1"/>
    <w:rsid w:val="00056771"/>
    <w:rsid w:val="000567F1"/>
    <w:rsid w:val="0005683E"/>
    <w:rsid w:val="0005736F"/>
    <w:rsid w:val="00057566"/>
    <w:rsid w:val="00060208"/>
    <w:rsid w:val="0006038B"/>
    <w:rsid w:val="0006043A"/>
    <w:rsid w:val="00060AB6"/>
    <w:rsid w:val="00060CCE"/>
    <w:rsid w:val="000613A7"/>
    <w:rsid w:val="000613B8"/>
    <w:rsid w:val="00061712"/>
    <w:rsid w:val="00061909"/>
    <w:rsid w:val="00061C57"/>
    <w:rsid w:val="00062C75"/>
    <w:rsid w:val="00062F71"/>
    <w:rsid w:val="00062FFD"/>
    <w:rsid w:val="00063287"/>
    <w:rsid w:val="00063292"/>
    <w:rsid w:val="00063686"/>
    <w:rsid w:val="000637B7"/>
    <w:rsid w:val="000639B8"/>
    <w:rsid w:val="00064947"/>
    <w:rsid w:val="00064999"/>
    <w:rsid w:val="00064A5C"/>
    <w:rsid w:val="00065029"/>
    <w:rsid w:val="00065211"/>
    <w:rsid w:val="000655B9"/>
    <w:rsid w:val="00065646"/>
    <w:rsid w:val="000658DF"/>
    <w:rsid w:val="00065C85"/>
    <w:rsid w:val="00066250"/>
    <w:rsid w:val="00066331"/>
    <w:rsid w:val="00066469"/>
    <w:rsid w:val="00066D8B"/>
    <w:rsid w:val="00066EB8"/>
    <w:rsid w:val="0006714E"/>
    <w:rsid w:val="00067438"/>
    <w:rsid w:val="00067466"/>
    <w:rsid w:val="000677A5"/>
    <w:rsid w:val="00067883"/>
    <w:rsid w:val="00067AC9"/>
    <w:rsid w:val="00067D8A"/>
    <w:rsid w:val="00067F59"/>
    <w:rsid w:val="00070DB4"/>
    <w:rsid w:val="00070E2E"/>
    <w:rsid w:val="00070EE4"/>
    <w:rsid w:val="00071365"/>
    <w:rsid w:val="000713A7"/>
    <w:rsid w:val="00071587"/>
    <w:rsid w:val="00071E2A"/>
    <w:rsid w:val="00072214"/>
    <w:rsid w:val="00072565"/>
    <w:rsid w:val="0007267F"/>
    <w:rsid w:val="0007299E"/>
    <w:rsid w:val="00072B7F"/>
    <w:rsid w:val="000731F3"/>
    <w:rsid w:val="000734E0"/>
    <w:rsid w:val="000735D7"/>
    <w:rsid w:val="000737C5"/>
    <w:rsid w:val="00073B19"/>
    <w:rsid w:val="00073B36"/>
    <w:rsid w:val="00073DEA"/>
    <w:rsid w:val="00073FCB"/>
    <w:rsid w:val="00074A4D"/>
    <w:rsid w:val="00074A7F"/>
    <w:rsid w:val="00074B9D"/>
    <w:rsid w:val="00074EAA"/>
    <w:rsid w:val="00074F46"/>
    <w:rsid w:val="00075176"/>
    <w:rsid w:val="000754E3"/>
    <w:rsid w:val="00075741"/>
    <w:rsid w:val="00075C06"/>
    <w:rsid w:val="00076221"/>
    <w:rsid w:val="00076244"/>
    <w:rsid w:val="00076C87"/>
    <w:rsid w:val="00076FC6"/>
    <w:rsid w:val="000775E6"/>
    <w:rsid w:val="000776CE"/>
    <w:rsid w:val="00077D15"/>
    <w:rsid w:val="00080107"/>
    <w:rsid w:val="0008025D"/>
    <w:rsid w:val="0008043C"/>
    <w:rsid w:val="000806E4"/>
    <w:rsid w:val="00080AEA"/>
    <w:rsid w:val="00080F07"/>
    <w:rsid w:val="000811F3"/>
    <w:rsid w:val="00081617"/>
    <w:rsid w:val="00081A4A"/>
    <w:rsid w:val="00081DE3"/>
    <w:rsid w:val="00082315"/>
    <w:rsid w:val="0008240B"/>
    <w:rsid w:val="00082465"/>
    <w:rsid w:val="0008259E"/>
    <w:rsid w:val="000828E8"/>
    <w:rsid w:val="000833A7"/>
    <w:rsid w:val="000839BB"/>
    <w:rsid w:val="00083B33"/>
    <w:rsid w:val="00084386"/>
    <w:rsid w:val="00084410"/>
    <w:rsid w:val="00084645"/>
    <w:rsid w:val="0008493D"/>
    <w:rsid w:val="00084AB8"/>
    <w:rsid w:val="000852F8"/>
    <w:rsid w:val="000853B1"/>
    <w:rsid w:val="00085C43"/>
    <w:rsid w:val="00085D10"/>
    <w:rsid w:val="000862CD"/>
    <w:rsid w:val="00086318"/>
    <w:rsid w:val="00086615"/>
    <w:rsid w:val="00086870"/>
    <w:rsid w:val="00086991"/>
    <w:rsid w:val="00086BCB"/>
    <w:rsid w:val="00086DE2"/>
    <w:rsid w:val="00086ECC"/>
    <w:rsid w:val="00086FBA"/>
    <w:rsid w:val="0008748F"/>
    <w:rsid w:val="0009010E"/>
    <w:rsid w:val="00090277"/>
    <w:rsid w:val="0009051E"/>
    <w:rsid w:val="00090696"/>
    <w:rsid w:val="00090C17"/>
    <w:rsid w:val="00090EED"/>
    <w:rsid w:val="00090F21"/>
    <w:rsid w:val="00090F24"/>
    <w:rsid w:val="00090FBA"/>
    <w:rsid w:val="000910CA"/>
    <w:rsid w:val="000910D0"/>
    <w:rsid w:val="0009157E"/>
    <w:rsid w:val="000917AB"/>
    <w:rsid w:val="00091B45"/>
    <w:rsid w:val="00091DA1"/>
    <w:rsid w:val="00091E0B"/>
    <w:rsid w:val="00092197"/>
    <w:rsid w:val="00092A00"/>
    <w:rsid w:val="00092CC5"/>
    <w:rsid w:val="00092D43"/>
    <w:rsid w:val="00092DC1"/>
    <w:rsid w:val="00092E5E"/>
    <w:rsid w:val="0009301F"/>
    <w:rsid w:val="0009342B"/>
    <w:rsid w:val="000937F4"/>
    <w:rsid w:val="00093B6F"/>
    <w:rsid w:val="00093BE0"/>
    <w:rsid w:val="000940A3"/>
    <w:rsid w:val="0009444D"/>
    <w:rsid w:val="000946D9"/>
    <w:rsid w:val="00094FCF"/>
    <w:rsid w:val="000950DA"/>
    <w:rsid w:val="000952E4"/>
    <w:rsid w:val="00095300"/>
    <w:rsid w:val="00095975"/>
    <w:rsid w:val="000959A3"/>
    <w:rsid w:val="00096060"/>
    <w:rsid w:val="000961DB"/>
    <w:rsid w:val="00096444"/>
    <w:rsid w:val="00096B74"/>
    <w:rsid w:val="00097084"/>
    <w:rsid w:val="000972AA"/>
    <w:rsid w:val="0009787D"/>
    <w:rsid w:val="00097B0D"/>
    <w:rsid w:val="000A0278"/>
    <w:rsid w:val="000A0A8D"/>
    <w:rsid w:val="000A0B9E"/>
    <w:rsid w:val="000A0E28"/>
    <w:rsid w:val="000A1067"/>
    <w:rsid w:val="000A16AF"/>
    <w:rsid w:val="000A17B3"/>
    <w:rsid w:val="000A1A4C"/>
    <w:rsid w:val="000A1ACB"/>
    <w:rsid w:val="000A1EF2"/>
    <w:rsid w:val="000A218E"/>
    <w:rsid w:val="000A22FD"/>
    <w:rsid w:val="000A23F3"/>
    <w:rsid w:val="000A27CD"/>
    <w:rsid w:val="000A28CD"/>
    <w:rsid w:val="000A2D36"/>
    <w:rsid w:val="000A33D2"/>
    <w:rsid w:val="000A3645"/>
    <w:rsid w:val="000A36EC"/>
    <w:rsid w:val="000A379E"/>
    <w:rsid w:val="000A3896"/>
    <w:rsid w:val="000A3981"/>
    <w:rsid w:val="000A3AC5"/>
    <w:rsid w:val="000A40BB"/>
    <w:rsid w:val="000A426A"/>
    <w:rsid w:val="000A4C78"/>
    <w:rsid w:val="000A4DB3"/>
    <w:rsid w:val="000A4FE1"/>
    <w:rsid w:val="000A56E0"/>
    <w:rsid w:val="000A5DF6"/>
    <w:rsid w:val="000A698F"/>
    <w:rsid w:val="000A6A20"/>
    <w:rsid w:val="000A71A8"/>
    <w:rsid w:val="000A7290"/>
    <w:rsid w:val="000A7777"/>
    <w:rsid w:val="000A7ECC"/>
    <w:rsid w:val="000B0E6E"/>
    <w:rsid w:val="000B0F99"/>
    <w:rsid w:val="000B1059"/>
    <w:rsid w:val="000B1260"/>
    <w:rsid w:val="000B12B4"/>
    <w:rsid w:val="000B1423"/>
    <w:rsid w:val="000B15D1"/>
    <w:rsid w:val="000B17AB"/>
    <w:rsid w:val="000B1A4D"/>
    <w:rsid w:val="000B20C2"/>
    <w:rsid w:val="000B20D6"/>
    <w:rsid w:val="000B20FD"/>
    <w:rsid w:val="000B2279"/>
    <w:rsid w:val="000B2593"/>
    <w:rsid w:val="000B2A1A"/>
    <w:rsid w:val="000B2C2A"/>
    <w:rsid w:val="000B3016"/>
    <w:rsid w:val="000B3061"/>
    <w:rsid w:val="000B328C"/>
    <w:rsid w:val="000B33EB"/>
    <w:rsid w:val="000B35EB"/>
    <w:rsid w:val="000B459E"/>
    <w:rsid w:val="000B4626"/>
    <w:rsid w:val="000B46DA"/>
    <w:rsid w:val="000B4AD8"/>
    <w:rsid w:val="000B50DB"/>
    <w:rsid w:val="000B5482"/>
    <w:rsid w:val="000B58C9"/>
    <w:rsid w:val="000B5AC9"/>
    <w:rsid w:val="000B5E80"/>
    <w:rsid w:val="000B5F0B"/>
    <w:rsid w:val="000B6393"/>
    <w:rsid w:val="000B666C"/>
    <w:rsid w:val="000B681B"/>
    <w:rsid w:val="000B68E2"/>
    <w:rsid w:val="000B6A9A"/>
    <w:rsid w:val="000B7122"/>
    <w:rsid w:val="000B7230"/>
    <w:rsid w:val="000B7618"/>
    <w:rsid w:val="000B7862"/>
    <w:rsid w:val="000B7BF7"/>
    <w:rsid w:val="000C01A1"/>
    <w:rsid w:val="000C03CD"/>
    <w:rsid w:val="000C0987"/>
    <w:rsid w:val="000C09F5"/>
    <w:rsid w:val="000C139E"/>
    <w:rsid w:val="000C13C1"/>
    <w:rsid w:val="000C13E9"/>
    <w:rsid w:val="000C1452"/>
    <w:rsid w:val="000C1507"/>
    <w:rsid w:val="000C1ADB"/>
    <w:rsid w:val="000C2033"/>
    <w:rsid w:val="000C2071"/>
    <w:rsid w:val="000C292D"/>
    <w:rsid w:val="000C2C16"/>
    <w:rsid w:val="000C2C78"/>
    <w:rsid w:val="000C3249"/>
    <w:rsid w:val="000C340A"/>
    <w:rsid w:val="000C381A"/>
    <w:rsid w:val="000C3B40"/>
    <w:rsid w:val="000C3B65"/>
    <w:rsid w:val="000C3CA8"/>
    <w:rsid w:val="000C3F20"/>
    <w:rsid w:val="000C4751"/>
    <w:rsid w:val="000C4D46"/>
    <w:rsid w:val="000C4F47"/>
    <w:rsid w:val="000C52DD"/>
    <w:rsid w:val="000C52F9"/>
    <w:rsid w:val="000C531C"/>
    <w:rsid w:val="000C5BA5"/>
    <w:rsid w:val="000C5E98"/>
    <w:rsid w:val="000C64CE"/>
    <w:rsid w:val="000C661A"/>
    <w:rsid w:val="000C69CE"/>
    <w:rsid w:val="000C6A43"/>
    <w:rsid w:val="000C6B14"/>
    <w:rsid w:val="000C6EDE"/>
    <w:rsid w:val="000C6F64"/>
    <w:rsid w:val="000C70E1"/>
    <w:rsid w:val="000C76D9"/>
    <w:rsid w:val="000C77FB"/>
    <w:rsid w:val="000C7DAE"/>
    <w:rsid w:val="000C7F58"/>
    <w:rsid w:val="000D0510"/>
    <w:rsid w:val="000D0683"/>
    <w:rsid w:val="000D0BE3"/>
    <w:rsid w:val="000D17CF"/>
    <w:rsid w:val="000D1CDB"/>
    <w:rsid w:val="000D1DAA"/>
    <w:rsid w:val="000D20DA"/>
    <w:rsid w:val="000D2AA4"/>
    <w:rsid w:val="000D34A0"/>
    <w:rsid w:val="000D353B"/>
    <w:rsid w:val="000D354C"/>
    <w:rsid w:val="000D35FD"/>
    <w:rsid w:val="000D3891"/>
    <w:rsid w:val="000D3DAE"/>
    <w:rsid w:val="000D3F65"/>
    <w:rsid w:val="000D423E"/>
    <w:rsid w:val="000D4AAF"/>
    <w:rsid w:val="000D4D7A"/>
    <w:rsid w:val="000D56D1"/>
    <w:rsid w:val="000D5DB4"/>
    <w:rsid w:val="000D61DE"/>
    <w:rsid w:val="000D624F"/>
    <w:rsid w:val="000D6269"/>
    <w:rsid w:val="000D697D"/>
    <w:rsid w:val="000D6C7F"/>
    <w:rsid w:val="000D6D3E"/>
    <w:rsid w:val="000D6E40"/>
    <w:rsid w:val="000D7023"/>
    <w:rsid w:val="000D73B2"/>
    <w:rsid w:val="000D73D0"/>
    <w:rsid w:val="000D746A"/>
    <w:rsid w:val="000D751A"/>
    <w:rsid w:val="000D7660"/>
    <w:rsid w:val="000D78BF"/>
    <w:rsid w:val="000D7FDE"/>
    <w:rsid w:val="000E01AF"/>
    <w:rsid w:val="000E0422"/>
    <w:rsid w:val="000E0EB5"/>
    <w:rsid w:val="000E1196"/>
    <w:rsid w:val="000E123D"/>
    <w:rsid w:val="000E18E6"/>
    <w:rsid w:val="000E1D3D"/>
    <w:rsid w:val="000E1EF3"/>
    <w:rsid w:val="000E282A"/>
    <w:rsid w:val="000E3424"/>
    <w:rsid w:val="000E399F"/>
    <w:rsid w:val="000E3BD0"/>
    <w:rsid w:val="000E3CE7"/>
    <w:rsid w:val="000E3E76"/>
    <w:rsid w:val="000E4355"/>
    <w:rsid w:val="000E43CC"/>
    <w:rsid w:val="000E4D31"/>
    <w:rsid w:val="000E4DF9"/>
    <w:rsid w:val="000E4EC7"/>
    <w:rsid w:val="000E528D"/>
    <w:rsid w:val="000E5489"/>
    <w:rsid w:val="000E55D9"/>
    <w:rsid w:val="000E5780"/>
    <w:rsid w:val="000E5AE0"/>
    <w:rsid w:val="000E5E60"/>
    <w:rsid w:val="000E5F89"/>
    <w:rsid w:val="000E635A"/>
    <w:rsid w:val="000E6ED6"/>
    <w:rsid w:val="000E6F7C"/>
    <w:rsid w:val="000E71C4"/>
    <w:rsid w:val="000E78AD"/>
    <w:rsid w:val="000E7A31"/>
    <w:rsid w:val="000E7C4A"/>
    <w:rsid w:val="000E7C7C"/>
    <w:rsid w:val="000E7EC5"/>
    <w:rsid w:val="000F0124"/>
    <w:rsid w:val="000F0405"/>
    <w:rsid w:val="000F0599"/>
    <w:rsid w:val="000F0617"/>
    <w:rsid w:val="000F0687"/>
    <w:rsid w:val="000F06E6"/>
    <w:rsid w:val="000F06FB"/>
    <w:rsid w:val="000F105A"/>
    <w:rsid w:val="000F11F3"/>
    <w:rsid w:val="000F14BF"/>
    <w:rsid w:val="000F1645"/>
    <w:rsid w:val="000F191A"/>
    <w:rsid w:val="000F1999"/>
    <w:rsid w:val="000F203C"/>
    <w:rsid w:val="000F21A4"/>
    <w:rsid w:val="000F3218"/>
    <w:rsid w:val="000F3358"/>
    <w:rsid w:val="000F43A0"/>
    <w:rsid w:val="000F4E1F"/>
    <w:rsid w:val="000F5148"/>
    <w:rsid w:val="000F5749"/>
    <w:rsid w:val="000F58DE"/>
    <w:rsid w:val="000F5D54"/>
    <w:rsid w:val="000F5E1B"/>
    <w:rsid w:val="000F6745"/>
    <w:rsid w:val="000F6758"/>
    <w:rsid w:val="000F6AD3"/>
    <w:rsid w:val="000F6D05"/>
    <w:rsid w:val="000F7BF2"/>
    <w:rsid w:val="000F7DCB"/>
    <w:rsid w:val="001003BA"/>
    <w:rsid w:val="001009E5"/>
    <w:rsid w:val="00100A80"/>
    <w:rsid w:val="00100CFC"/>
    <w:rsid w:val="00100FA0"/>
    <w:rsid w:val="001017B9"/>
    <w:rsid w:val="00101C73"/>
    <w:rsid w:val="00101CA7"/>
    <w:rsid w:val="00101EC5"/>
    <w:rsid w:val="001023A6"/>
    <w:rsid w:val="00102766"/>
    <w:rsid w:val="00102DA9"/>
    <w:rsid w:val="00102FA0"/>
    <w:rsid w:val="0010318F"/>
    <w:rsid w:val="00103BED"/>
    <w:rsid w:val="001042F9"/>
    <w:rsid w:val="0010494E"/>
    <w:rsid w:val="00104D76"/>
    <w:rsid w:val="00104ECB"/>
    <w:rsid w:val="00104F7E"/>
    <w:rsid w:val="001050C8"/>
    <w:rsid w:val="001050E4"/>
    <w:rsid w:val="001056B6"/>
    <w:rsid w:val="0010593F"/>
    <w:rsid w:val="00105AA2"/>
    <w:rsid w:val="00105B42"/>
    <w:rsid w:val="00105BF0"/>
    <w:rsid w:val="00106351"/>
    <w:rsid w:val="001065D1"/>
    <w:rsid w:val="00107865"/>
    <w:rsid w:val="001078DD"/>
    <w:rsid w:val="00107D3C"/>
    <w:rsid w:val="0011061E"/>
    <w:rsid w:val="001109B0"/>
    <w:rsid w:val="001109D5"/>
    <w:rsid w:val="001114BD"/>
    <w:rsid w:val="00111911"/>
    <w:rsid w:val="00111A87"/>
    <w:rsid w:val="00111DD5"/>
    <w:rsid w:val="00112556"/>
    <w:rsid w:val="00112792"/>
    <w:rsid w:val="00112A4C"/>
    <w:rsid w:val="00112E28"/>
    <w:rsid w:val="001130EF"/>
    <w:rsid w:val="00113269"/>
    <w:rsid w:val="001132FD"/>
    <w:rsid w:val="001135C7"/>
    <w:rsid w:val="00113FA9"/>
    <w:rsid w:val="00114797"/>
    <w:rsid w:val="0011497E"/>
    <w:rsid w:val="00114F5D"/>
    <w:rsid w:val="00114F6E"/>
    <w:rsid w:val="00115193"/>
    <w:rsid w:val="001154DF"/>
    <w:rsid w:val="0011564C"/>
    <w:rsid w:val="00115BBB"/>
    <w:rsid w:val="00115BF4"/>
    <w:rsid w:val="001160AD"/>
    <w:rsid w:val="00116196"/>
    <w:rsid w:val="00116914"/>
    <w:rsid w:val="00117139"/>
    <w:rsid w:val="001174D0"/>
    <w:rsid w:val="001174DD"/>
    <w:rsid w:val="00117965"/>
    <w:rsid w:val="001201A2"/>
    <w:rsid w:val="001204F9"/>
    <w:rsid w:val="00120B39"/>
    <w:rsid w:val="00120E8A"/>
    <w:rsid w:val="00120F22"/>
    <w:rsid w:val="001213A6"/>
    <w:rsid w:val="001214D9"/>
    <w:rsid w:val="00121799"/>
    <w:rsid w:val="00121DF1"/>
    <w:rsid w:val="001225C4"/>
    <w:rsid w:val="001226F4"/>
    <w:rsid w:val="00122B43"/>
    <w:rsid w:val="00122EE4"/>
    <w:rsid w:val="0012384D"/>
    <w:rsid w:val="001239DC"/>
    <w:rsid w:val="00123C5A"/>
    <w:rsid w:val="001243A9"/>
    <w:rsid w:val="00124A1F"/>
    <w:rsid w:val="00124A91"/>
    <w:rsid w:val="00124D12"/>
    <w:rsid w:val="00124D28"/>
    <w:rsid w:val="00124F87"/>
    <w:rsid w:val="001254F6"/>
    <w:rsid w:val="00125801"/>
    <w:rsid w:val="00125B93"/>
    <w:rsid w:val="00125E2F"/>
    <w:rsid w:val="00125E3E"/>
    <w:rsid w:val="001260CA"/>
    <w:rsid w:val="001268A1"/>
    <w:rsid w:val="00126ABF"/>
    <w:rsid w:val="00126AC5"/>
    <w:rsid w:val="00126BCD"/>
    <w:rsid w:val="001273C0"/>
    <w:rsid w:val="001273E1"/>
    <w:rsid w:val="001279B5"/>
    <w:rsid w:val="00127C4F"/>
    <w:rsid w:val="00127C71"/>
    <w:rsid w:val="00127EB5"/>
    <w:rsid w:val="00130403"/>
    <w:rsid w:val="00130999"/>
    <w:rsid w:val="00130A4A"/>
    <w:rsid w:val="001313E1"/>
    <w:rsid w:val="0013175C"/>
    <w:rsid w:val="001318F6"/>
    <w:rsid w:val="00131A82"/>
    <w:rsid w:val="00131CB9"/>
    <w:rsid w:val="001321E7"/>
    <w:rsid w:val="001326B9"/>
    <w:rsid w:val="0013291A"/>
    <w:rsid w:val="0013306E"/>
    <w:rsid w:val="001330BD"/>
    <w:rsid w:val="00133447"/>
    <w:rsid w:val="001334D2"/>
    <w:rsid w:val="00133562"/>
    <w:rsid w:val="001335E8"/>
    <w:rsid w:val="00133893"/>
    <w:rsid w:val="0013389F"/>
    <w:rsid w:val="00133DE7"/>
    <w:rsid w:val="00133F66"/>
    <w:rsid w:val="001342A8"/>
    <w:rsid w:val="00134633"/>
    <w:rsid w:val="00134696"/>
    <w:rsid w:val="00135199"/>
    <w:rsid w:val="00135452"/>
    <w:rsid w:val="001355CE"/>
    <w:rsid w:val="00135ACC"/>
    <w:rsid w:val="001365CF"/>
    <w:rsid w:val="00136631"/>
    <w:rsid w:val="0013692F"/>
    <w:rsid w:val="00137BB0"/>
    <w:rsid w:val="00137F02"/>
    <w:rsid w:val="00140141"/>
    <w:rsid w:val="001403D2"/>
    <w:rsid w:val="00140E67"/>
    <w:rsid w:val="00140F2A"/>
    <w:rsid w:val="00141232"/>
    <w:rsid w:val="0014129D"/>
    <w:rsid w:val="001413AF"/>
    <w:rsid w:val="001417C7"/>
    <w:rsid w:val="00141ACC"/>
    <w:rsid w:val="00141CC3"/>
    <w:rsid w:val="001422DB"/>
    <w:rsid w:val="00142A76"/>
    <w:rsid w:val="00142D1F"/>
    <w:rsid w:val="00142DD9"/>
    <w:rsid w:val="00142E7D"/>
    <w:rsid w:val="001430F2"/>
    <w:rsid w:val="0014313B"/>
    <w:rsid w:val="00143325"/>
    <w:rsid w:val="00143507"/>
    <w:rsid w:val="00143E1D"/>
    <w:rsid w:val="001440D0"/>
    <w:rsid w:val="00144879"/>
    <w:rsid w:val="00144CF7"/>
    <w:rsid w:val="00144DEB"/>
    <w:rsid w:val="00144E1B"/>
    <w:rsid w:val="00144EBB"/>
    <w:rsid w:val="00144F4D"/>
    <w:rsid w:val="001453BB"/>
    <w:rsid w:val="001460FF"/>
    <w:rsid w:val="001462AF"/>
    <w:rsid w:val="001465BB"/>
    <w:rsid w:val="001467CE"/>
    <w:rsid w:val="00146A02"/>
    <w:rsid w:val="00146DCC"/>
    <w:rsid w:val="00147042"/>
    <w:rsid w:val="0014717F"/>
    <w:rsid w:val="0014772D"/>
    <w:rsid w:val="0014774A"/>
    <w:rsid w:val="001477AE"/>
    <w:rsid w:val="00147E69"/>
    <w:rsid w:val="00150021"/>
    <w:rsid w:val="00150232"/>
    <w:rsid w:val="00150BA6"/>
    <w:rsid w:val="00150D9C"/>
    <w:rsid w:val="00151252"/>
    <w:rsid w:val="00151616"/>
    <w:rsid w:val="001516B7"/>
    <w:rsid w:val="001519EC"/>
    <w:rsid w:val="00151FC2"/>
    <w:rsid w:val="0015232F"/>
    <w:rsid w:val="001523AB"/>
    <w:rsid w:val="001523D5"/>
    <w:rsid w:val="001529FA"/>
    <w:rsid w:val="00153B43"/>
    <w:rsid w:val="001544F6"/>
    <w:rsid w:val="00154849"/>
    <w:rsid w:val="00154E41"/>
    <w:rsid w:val="00154E78"/>
    <w:rsid w:val="00154F82"/>
    <w:rsid w:val="00155014"/>
    <w:rsid w:val="00155103"/>
    <w:rsid w:val="00155195"/>
    <w:rsid w:val="001553A0"/>
    <w:rsid w:val="00155663"/>
    <w:rsid w:val="00155795"/>
    <w:rsid w:val="00155968"/>
    <w:rsid w:val="00155979"/>
    <w:rsid w:val="00156321"/>
    <w:rsid w:val="00156485"/>
    <w:rsid w:val="00156716"/>
    <w:rsid w:val="00156C7A"/>
    <w:rsid w:val="00157482"/>
    <w:rsid w:val="00157C67"/>
    <w:rsid w:val="0016011B"/>
    <w:rsid w:val="001601FA"/>
    <w:rsid w:val="00160232"/>
    <w:rsid w:val="001604DB"/>
    <w:rsid w:val="00160846"/>
    <w:rsid w:val="00160952"/>
    <w:rsid w:val="00160C30"/>
    <w:rsid w:val="00160D3A"/>
    <w:rsid w:val="00160D53"/>
    <w:rsid w:val="00160E2A"/>
    <w:rsid w:val="00161080"/>
    <w:rsid w:val="00161736"/>
    <w:rsid w:val="0016185B"/>
    <w:rsid w:val="0016186A"/>
    <w:rsid w:val="00162071"/>
    <w:rsid w:val="001621BB"/>
    <w:rsid w:val="00162248"/>
    <w:rsid w:val="0016241F"/>
    <w:rsid w:val="001624E3"/>
    <w:rsid w:val="00162959"/>
    <w:rsid w:val="00162A31"/>
    <w:rsid w:val="00162B80"/>
    <w:rsid w:val="0016397C"/>
    <w:rsid w:val="00163A47"/>
    <w:rsid w:val="00163BA0"/>
    <w:rsid w:val="00164155"/>
    <w:rsid w:val="001643DF"/>
    <w:rsid w:val="001644AE"/>
    <w:rsid w:val="001644EB"/>
    <w:rsid w:val="001646C4"/>
    <w:rsid w:val="001646ED"/>
    <w:rsid w:val="00164853"/>
    <w:rsid w:val="00164909"/>
    <w:rsid w:val="00164949"/>
    <w:rsid w:val="00164A89"/>
    <w:rsid w:val="00164C60"/>
    <w:rsid w:val="00164E14"/>
    <w:rsid w:val="00165423"/>
    <w:rsid w:val="001659CB"/>
    <w:rsid w:val="00165AF8"/>
    <w:rsid w:val="00165B65"/>
    <w:rsid w:val="00165FA0"/>
    <w:rsid w:val="00166667"/>
    <w:rsid w:val="00166AB4"/>
    <w:rsid w:val="00166B86"/>
    <w:rsid w:val="00166C5A"/>
    <w:rsid w:val="00166F16"/>
    <w:rsid w:val="0016722F"/>
    <w:rsid w:val="001678E3"/>
    <w:rsid w:val="00167CBE"/>
    <w:rsid w:val="00167D15"/>
    <w:rsid w:val="0017041E"/>
    <w:rsid w:val="0017070C"/>
    <w:rsid w:val="00170AFB"/>
    <w:rsid w:val="00170E8F"/>
    <w:rsid w:val="00170FA7"/>
    <w:rsid w:val="001710E1"/>
    <w:rsid w:val="0017135D"/>
    <w:rsid w:val="0017168B"/>
    <w:rsid w:val="00171C21"/>
    <w:rsid w:val="00172226"/>
    <w:rsid w:val="00172240"/>
    <w:rsid w:val="00172264"/>
    <w:rsid w:val="001722FF"/>
    <w:rsid w:val="0017286A"/>
    <w:rsid w:val="00172C52"/>
    <w:rsid w:val="00172D20"/>
    <w:rsid w:val="00172ECD"/>
    <w:rsid w:val="00173011"/>
    <w:rsid w:val="0017392F"/>
    <w:rsid w:val="00173EA5"/>
    <w:rsid w:val="00174412"/>
    <w:rsid w:val="001746F0"/>
    <w:rsid w:val="00175465"/>
    <w:rsid w:val="001755AD"/>
    <w:rsid w:val="00175775"/>
    <w:rsid w:val="00175CEB"/>
    <w:rsid w:val="00175D8F"/>
    <w:rsid w:val="001761A1"/>
    <w:rsid w:val="00176903"/>
    <w:rsid w:val="00176DCB"/>
    <w:rsid w:val="00177465"/>
    <w:rsid w:val="001778E0"/>
    <w:rsid w:val="00177BA5"/>
    <w:rsid w:val="00177E2C"/>
    <w:rsid w:val="00177EAD"/>
    <w:rsid w:val="001802AA"/>
    <w:rsid w:val="0018085F"/>
    <w:rsid w:val="0018089B"/>
    <w:rsid w:val="00180A06"/>
    <w:rsid w:val="00180C8D"/>
    <w:rsid w:val="00180D36"/>
    <w:rsid w:val="00180D51"/>
    <w:rsid w:val="0018119D"/>
    <w:rsid w:val="00181BD3"/>
    <w:rsid w:val="00181D69"/>
    <w:rsid w:val="00181DDD"/>
    <w:rsid w:val="00181E84"/>
    <w:rsid w:val="00182D23"/>
    <w:rsid w:val="00182DA1"/>
    <w:rsid w:val="00182F0F"/>
    <w:rsid w:val="00183692"/>
    <w:rsid w:val="001837B5"/>
    <w:rsid w:val="00183911"/>
    <w:rsid w:val="001839BD"/>
    <w:rsid w:val="00183B9F"/>
    <w:rsid w:val="00183F2B"/>
    <w:rsid w:val="0018424E"/>
    <w:rsid w:val="0018452A"/>
    <w:rsid w:val="00184988"/>
    <w:rsid w:val="00184DCC"/>
    <w:rsid w:val="001850B2"/>
    <w:rsid w:val="00185179"/>
    <w:rsid w:val="0018542C"/>
    <w:rsid w:val="001855C5"/>
    <w:rsid w:val="0018564B"/>
    <w:rsid w:val="00185F2B"/>
    <w:rsid w:val="00186AC7"/>
    <w:rsid w:val="00187137"/>
    <w:rsid w:val="001875AB"/>
    <w:rsid w:val="00187BFD"/>
    <w:rsid w:val="00187E6A"/>
    <w:rsid w:val="00190136"/>
    <w:rsid w:val="001904A3"/>
    <w:rsid w:val="00190572"/>
    <w:rsid w:val="001905A6"/>
    <w:rsid w:val="001905E7"/>
    <w:rsid w:val="001906E4"/>
    <w:rsid w:val="00190761"/>
    <w:rsid w:val="00191777"/>
    <w:rsid w:val="00191BED"/>
    <w:rsid w:val="00191F0A"/>
    <w:rsid w:val="00192073"/>
    <w:rsid w:val="001920F3"/>
    <w:rsid w:val="001924F1"/>
    <w:rsid w:val="00192617"/>
    <w:rsid w:val="001927EF"/>
    <w:rsid w:val="001929DB"/>
    <w:rsid w:val="00192C86"/>
    <w:rsid w:val="00192D7D"/>
    <w:rsid w:val="0019366C"/>
    <w:rsid w:val="00193960"/>
    <w:rsid w:val="00193A38"/>
    <w:rsid w:val="00193D48"/>
    <w:rsid w:val="00193ED8"/>
    <w:rsid w:val="001943B8"/>
    <w:rsid w:val="0019448A"/>
    <w:rsid w:val="00194638"/>
    <w:rsid w:val="00194D97"/>
    <w:rsid w:val="00194E5F"/>
    <w:rsid w:val="00194EF0"/>
    <w:rsid w:val="00195517"/>
    <w:rsid w:val="00195632"/>
    <w:rsid w:val="001957C2"/>
    <w:rsid w:val="00195D01"/>
    <w:rsid w:val="00196160"/>
    <w:rsid w:val="00196594"/>
    <w:rsid w:val="001965F4"/>
    <w:rsid w:val="001969FA"/>
    <w:rsid w:val="00196A38"/>
    <w:rsid w:val="00196AF9"/>
    <w:rsid w:val="001973DC"/>
    <w:rsid w:val="001976BB"/>
    <w:rsid w:val="001977DE"/>
    <w:rsid w:val="00197817"/>
    <w:rsid w:val="00197AD8"/>
    <w:rsid w:val="00197C00"/>
    <w:rsid w:val="00197C6A"/>
    <w:rsid w:val="00197C7A"/>
    <w:rsid w:val="001A0880"/>
    <w:rsid w:val="001A0FAB"/>
    <w:rsid w:val="001A18E8"/>
    <w:rsid w:val="001A1C00"/>
    <w:rsid w:val="001A1C13"/>
    <w:rsid w:val="001A271A"/>
    <w:rsid w:val="001A2A6B"/>
    <w:rsid w:val="001A2BEF"/>
    <w:rsid w:val="001A2C45"/>
    <w:rsid w:val="001A3091"/>
    <w:rsid w:val="001A3436"/>
    <w:rsid w:val="001A34B6"/>
    <w:rsid w:val="001A38A4"/>
    <w:rsid w:val="001A3EE6"/>
    <w:rsid w:val="001A3EFF"/>
    <w:rsid w:val="001A3F38"/>
    <w:rsid w:val="001A4C34"/>
    <w:rsid w:val="001A4E4C"/>
    <w:rsid w:val="001A516D"/>
    <w:rsid w:val="001A51B8"/>
    <w:rsid w:val="001A5BEF"/>
    <w:rsid w:val="001A609A"/>
    <w:rsid w:val="001A61C5"/>
    <w:rsid w:val="001A67EF"/>
    <w:rsid w:val="001A6970"/>
    <w:rsid w:val="001A697C"/>
    <w:rsid w:val="001A69C7"/>
    <w:rsid w:val="001A69DC"/>
    <w:rsid w:val="001A69F6"/>
    <w:rsid w:val="001A6A88"/>
    <w:rsid w:val="001A6C48"/>
    <w:rsid w:val="001A759C"/>
    <w:rsid w:val="001A7BE0"/>
    <w:rsid w:val="001B00C9"/>
    <w:rsid w:val="001B0B85"/>
    <w:rsid w:val="001B0D7E"/>
    <w:rsid w:val="001B1427"/>
    <w:rsid w:val="001B19B8"/>
    <w:rsid w:val="001B1B60"/>
    <w:rsid w:val="001B21F1"/>
    <w:rsid w:val="001B2599"/>
    <w:rsid w:val="001B25A9"/>
    <w:rsid w:val="001B2600"/>
    <w:rsid w:val="001B269B"/>
    <w:rsid w:val="001B27C4"/>
    <w:rsid w:val="001B280E"/>
    <w:rsid w:val="001B2B1C"/>
    <w:rsid w:val="001B2DB9"/>
    <w:rsid w:val="001B346F"/>
    <w:rsid w:val="001B37E8"/>
    <w:rsid w:val="001B37F4"/>
    <w:rsid w:val="001B3882"/>
    <w:rsid w:val="001B3E17"/>
    <w:rsid w:val="001B4647"/>
    <w:rsid w:val="001B493B"/>
    <w:rsid w:val="001B5080"/>
    <w:rsid w:val="001B5B59"/>
    <w:rsid w:val="001B6015"/>
    <w:rsid w:val="001B60DF"/>
    <w:rsid w:val="001B653D"/>
    <w:rsid w:val="001B673E"/>
    <w:rsid w:val="001B6C52"/>
    <w:rsid w:val="001B6C68"/>
    <w:rsid w:val="001B6D23"/>
    <w:rsid w:val="001B6EE8"/>
    <w:rsid w:val="001B6F84"/>
    <w:rsid w:val="001B7153"/>
    <w:rsid w:val="001B722F"/>
    <w:rsid w:val="001B74D2"/>
    <w:rsid w:val="001C066C"/>
    <w:rsid w:val="001C0A16"/>
    <w:rsid w:val="001C10AC"/>
    <w:rsid w:val="001C11CD"/>
    <w:rsid w:val="001C1755"/>
    <w:rsid w:val="001C17BE"/>
    <w:rsid w:val="001C18C3"/>
    <w:rsid w:val="001C1B85"/>
    <w:rsid w:val="001C1CE3"/>
    <w:rsid w:val="001C1E25"/>
    <w:rsid w:val="001C2276"/>
    <w:rsid w:val="001C24B5"/>
    <w:rsid w:val="001C255F"/>
    <w:rsid w:val="001C280D"/>
    <w:rsid w:val="001C2C34"/>
    <w:rsid w:val="001C2FF8"/>
    <w:rsid w:val="001C3220"/>
    <w:rsid w:val="001C335A"/>
    <w:rsid w:val="001C34DE"/>
    <w:rsid w:val="001C3669"/>
    <w:rsid w:val="001C3A39"/>
    <w:rsid w:val="001C3D51"/>
    <w:rsid w:val="001C40D4"/>
    <w:rsid w:val="001C4467"/>
    <w:rsid w:val="001C4C3A"/>
    <w:rsid w:val="001C4D30"/>
    <w:rsid w:val="001C5350"/>
    <w:rsid w:val="001C5689"/>
    <w:rsid w:val="001C5BD1"/>
    <w:rsid w:val="001C5D1E"/>
    <w:rsid w:val="001C5D55"/>
    <w:rsid w:val="001C6110"/>
    <w:rsid w:val="001C6717"/>
    <w:rsid w:val="001C6850"/>
    <w:rsid w:val="001C6959"/>
    <w:rsid w:val="001C6A70"/>
    <w:rsid w:val="001C6A8F"/>
    <w:rsid w:val="001C6B98"/>
    <w:rsid w:val="001C6F9F"/>
    <w:rsid w:val="001C6FBC"/>
    <w:rsid w:val="001C7010"/>
    <w:rsid w:val="001C75C6"/>
    <w:rsid w:val="001C75D8"/>
    <w:rsid w:val="001C75FD"/>
    <w:rsid w:val="001C76EF"/>
    <w:rsid w:val="001C7906"/>
    <w:rsid w:val="001C7F79"/>
    <w:rsid w:val="001C7FE9"/>
    <w:rsid w:val="001D0929"/>
    <w:rsid w:val="001D0D56"/>
    <w:rsid w:val="001D127F"/>
    <w:rsid w:val="001D1400"/>
    <w:rsid w:val="001D1BBB"/>
    <w:rsid w:val="001D1C58"/>
    <w:rsid w:val="001D20FF"/>
    <w:rsid w:val="001D2201"/>
    <w:rsid w:val="001D27EB"/>
    <w:rsid w:val="001D2985"/>
    <w:rsid w:val="001D2B59"/>
    <w:rsid w:val="001D2D0E"/>
    <w:rsid w:val="001D2FA5"/>
    <w:rsid w:val="001D30F2"/>
    <w:rsid w:val="001D3118"/>
    <w:rsid w:val="001D317F"/>
    <w:rsid w:val="001D3253"/>
    <w:rsid w:val="001D33C1"/>
    <w:rsid w:val="001D34E6"/>
    <w:rsid w:val="001D36FC"/>
    <w:rsid w:val="001D3748"/>
    <w:rsid w:val="001D384F"/>
    <w:rsid w:val="001D3DF6"/>
    <w:rsid w:val="001D41E2"/>
    <w:rsid w:val="001D44B3"/>
    <w:rsid w:val="001D4CA9"/>
    <w:rsid w:val="001D4CDE"/>
    <w:rsid w:val="001D54E6"/>
    <w:rsid w:val="001D55D7"/>
    <w:rsid w:val="001D5633"/>
    <w:rsid w:val="001D5792"/>
    <w:rsid w:val="001D58C3"/>
    <w:rsid w:val="001D5A72"/>
    <w:rsid w:val="001D5B50"/>
    <w:rsid w:val="001D5EB9"/>
    <w:rsid w:val="001D6460"/>
    <w:rsid w:val="001D66F8"/>
    <w:rsid w:val="001D6F97"/>
    <w:rsid w:val="001D7012"/>
    <w:rsid w:val="001D7045"/>
    <w:rsid w:val="001D708E"/>
    <w:rsid w:val="001D71DF"/>
    <w:rsid w:val="001D73B4"/>
    <w:rsid w:val="001D78AC"/>
    <w:rsid w:val="001D7D2C"/>
    <w:rsid w:val="001D7D3E"/>
    <w:rsid w:val="001D7E4B"/>
    <w:rsid w:val="001E020A"/>
    <w:rsid w:val="001E050B"/>
    <w:rsid w:val="001E089E"/>
    <w:rsid w:val="001E0935"/>
    <w:rsid w:val="001E0A1D"/>
    <w:rsid w:val="001E0BA6"/>
    <w:rsid w:val="001E0C56"/>
    <w:rsid w:val="001E0D66"/>
    <w:rsid w:val="001E0DA7"/>
    <w:rsid w:val="001E0E15"/>
    <w:rsid w:val="001E142F"/>
    <w:rsid w:val="001E1C51"/>
    <w:rsid w:val="001E1D98"/>
    <w:rsid w:val="001E2010"/>
    <w:rsid w:val="001E22BC"/>
    <w:rsid w:val="001E23BC"/>
    <w:rsid w:val="001E25CD"/>
    <w:rsid w:val="001E26EC"/>
    <w:rsid w:val="001E2925"/>
    <w:rsid w:val="001E2A0D"/>
    <w:rsid w:val="001E2C51"/>
    <w:rsid w:val="001E2EFE"/>
    <w:rsid w:val="001E3106"/>
    <w:rsid w:val="001E3169"/>
    <w:rsid w:val="001E33E5"/>
    <w:rsid w:val="001E3E47"/>
    <w:rsid w:val="001E441B"/>
    <w:rsid w:val="001E45E8"/>
    <w:rsid w:val="001E4EB9"/>
    <w:rsid w:val="001E5128"/>
    <w:rsid w:val="001E51CF"/>
    <w:rsid w:val="001E558E"/>
    <w:rsid w:val="001E6CCE"/>
    <w:rsid w:val="001E6FE1"/>
    <w:rsid w:val="001E71B0"/>
    <w:rsid w:val="001E7A41"/>
    <w:rsid w:val="001F04C9"/>
    <w:rsid w:val="001F05F5"/>
    <w:rsid w:val="001F0644"/>
    <w:rsid w:val="001F0860"/>
    <w:rsid w:val="001F144E"/>
    <w:rsid w:val="001F1956"/>
    <w:rsid w:val="001F1F2D"/>
    <w:rsid w:val="001F24C8"/>
    <w:rsid w:val="001F270E"/>
    <w:rsid w:val="001F2827"/>
    <w:rsid w:val="001F2892"/>
    <w:rsid w:val="001F2BC8"/>
    <w:rsid w:val="001F2C7C"/>
    <w:rsid w:val="001F353F"/>
    <w:rsid w:val="001F41F7"/>
    <w:rsid w:val="001F4AFC"/>
    <w:rsid w:val="001F4D2B"/>
    <w:rsid w:val="001F51E1"/>
    <w:rsid w:val="001F5409"/>
    <w:rsid w:val="001F59B8"/>
    <w:rsid w:val="001F5F1D"/>
    <w:rsid w:val="001F7006"/>
    <w:rsid w:val="001F70C5"/>
    <w:rsid w:val="001F7483"/>
    <w:rsid w:val="001F7489"/>
    <w:rsid w:val="001F76BC"/>
    <w:rsid w:val="001F7CE0"/>
    <w:rsid w:val="001F7FB2"/>
    <w:rsid w:val="0020046A"/>
    <w:rsid w:val="00200477"/>
    <w:rsid w:val="002007B0"/>
    <w:rsid w:val="00200E1D"/>
    <w:rsid w:val="00200E41"/>
    <w:rsid w:val="00200F33"/>
    <w:rsid w:val="00201480"/>
    <w:rsid w:val="002016BB"/>
    <w:rsid w:val="002019EE"/>
    <w:rsid w:val="00201CB1"/>
    <w:rsid w:val="0020246D"/>
    <w:rsid w:val="00202506"/>
    <w:rsid w:val="00202D1F"/>
    <w:rsid w:val="00202F7D"/>
    <w:rsid w:val="00202F91"/>
    <w:rsid w:val="0020334B"/>
    <w:rsid w:val="002036AF"/>
    <w:rsid w:val="00203FE5"/>
    <w:rsid w:val="00204254"/>
    <w:rsid w:val="002042BE"/>
    <w:rsid w:val="0020443A"/>
    <w:rsid w:val="0020461D"/>
    <w:rsid w:val="00204A5A"/>
    <w:rsid w:val="002054ED"/>
    <w:rsid w:val="0020562E"/>
    <w:rsid w:val="00205936"/>
    <w:rsid w:val="00205F69"/>
    <w:rsid w:val="00206212"/>
    <w:rsid w:val="002068DB"/>
    <w:rsid w:val="00206B1E"/>
    <w:rsid w:val="002071E4"/>
    <w:rsid w:val="002079FA"/>
    <w:rsid w:val="00207C74"/>
    <w:rsid w:val="00207F08"/>
    <w:rsid w:val="00210008"/>
    <w:rsid w:val="00210402"/>
    <w:rsid w:val="00210901"/>
    <w:rsid w:val="00210A35"/>
    <w:rsid w:val="00210EB3"/>
    <w:rsid w:val="002110A8"/>
    <w:rsid w:val="002111FA"/>
    <w:rsid w:val="002112FE"/>
    <w:rsid w:val="0021149C"/>
    <w:rsid w:val="002115C6"/>
    <w:rsid w:val="00212082"/>
    <w:rsid w:val="002122C4"/>
    <w:rsid w:val="0021247A"/>
    <w:rsid w:val="00212A26"/>
    <w:rsid w:val="002130DD"/>
    <w:rsid w:val="002132BF"/>
    <w:rsid w:val="002138A3"/>
    <w:rsid w:val="00213A82"/>
    <w:rsid w:val="00213D22"/>
    <w:rsid w:val="00213D6C"/>
    <w:rsid w:val="00213E6D"/>
    <w:rsid w:val="0021416A"/>
    <w:rsid w:val="00214412"/>
    <w:rsid w:val="00214801"/>
    <w:rsid w:val="0021489F"/>
    <w:rsid w:val="002148FC"/>
    <w:rsid w:val="00214C83"/>
    <w:rsid w:val="00214DE7"/>
    <w:rsid w:val="00215E3A"/>
    <w:rsid w:val="0021614B"/>
    <w:rsid w:val="002168A5"/>
    <w:rsid w:val="002168D9"/>
    <w:rsid w:val="00216DD4"/>
    <w:rsid w:val="002176AF"/>
    <w:rsid w:val="00217A19"/>
    <w:rsid w:val="00217B61"/>
    <w:rsid w:val="00220183"/>
    <w:rsid w:val="0022026B"/>
    <w:rsid w:val="00220647"/>
    <w:rsid w:val="002207F6"/>
    <w:rsid w:val="00220951"/>
    <w:rsid w:val="00220A64"/>
    <w:rsid w:val="00220DF4"/>
    <w:rsid w:val="0022112C"/>
    <w:rsid w:val="00221316"/>
    <w:rsid w:val="00221AD2"/>
    <w:rsid w:val="002220E4"/>
    <w:rsid w:val="00222618"/>
    <w:rsid w:val="002229FC"/>
    <w:rsid w:val="00222B7B"/>
    <w:rsid w:val="00222E0E"/>
    <w:rsid w:val="00223233"/>
    <w:rsid w:val="0022333F"/>
    <w:rsid w:val="0022339A"/>
    <w:rsid w:val="0022357F"/>
    <w:rsid w:val="002235AB"/>
    <w:rsid w:val="0022361D"/>
    <w:rsid w:val="00223CF2"/>
    <w:rsid w:val="002243BF"/>
    <w:rsid w:val="00224499"/>
    <w:rsid w:val="002244DB"/>
    <w:rsid w:val="00224D86"/>
    <w:rsid w:val="002253C5"/>
    <w:rsid w:val="00225AD1"/>
    <w:rsid w:val="00225B95"/>
    <w:rsid w:val="00225D2B"/>
    <w:rsid w:val="002261AB"/>
    <w:rsid w:val="002275AE"/>
    <w:rsid w:val="00227DCB"/>
    <w:rsid w:val="00230521"/>
    <w:rsid w:val="00230548"/>
    <w:rsid w:val="00230726"/>
    <w:rsid w:val="0023072E"/>
    <w:rsid w:val="002308E2"/>
    <w:rsid w:val="00231385"/>
    <w:rsid w:val="002314A3"/>
    <w:rsid w:val="002320A6"/>
    <w:rsid w:val="002321B2"/>
    <w:rsid w:val="00232609"/>
    <w:rsid w:val="00232901"/>
    <w:rsid w:val="00232AFA"/>
    <w:rsid w:val="00232CA9"/>
    <w:rsid w:val="00232D5A"/>
    <w:rsid w:val="00232E6E"/>
    <w:rsid w:val="00232F12"/>
    <w:rsid w:val="00232F4C"/>
    <w:rsid w:val="00233828"/>
    <w:rsid w:val="00233A76"/>
    <w:rsid w:val="00233C6A"/>
    <w:rsid w:val="0023439A"/>
    <w:rsid w:val="0023449D"/>
    <w:rsid w:val="0023492E"/>
    <w:rsid w:val="0023498D"/>
    <w:rsid w:val="0023516A"/>
    <w:rsid w:val="002351EA"/>
    <w:rsid w:val="002356AB"/>
    <w:rsid w:val="00236076"/>
    <w:rsid w:val="002361B8"/>
    <w:rsid w:val="00236700"/>
    <w:rsid w:val="002367AE"/>
    <w:rsid w:val="00236805"/>
    <w:rsid w:val="00237097"/>
    <w:rsid w:val="00237286"/>
    <w:rsid w:val="00237EB8"/>
    <w:rsid w:val="00240138"/>
    <w:rsid w:val="002407B3"/>
    <w:rsid w:val="002407DC"/>
    <w:rsid w:val="00240856"/>
    <w:rsid w:val="00241042"/>
    <w:rsid w:val="00241694"/>
    <w:rsid w:val="00241A31"/>
    <w:rsid w:val="00241ACC"/>
    <w:rsid w:val="00241F0C"/>
    <w:rsid w:val="00242066"/>
    <w:rsid w:val="0024214D"/>
    <w:rsid w:val="00242231"/>
    <w:rsid w:val="00242411"/>
    <w:rsid w:val="0024280D"/>
    <w:rsid w:val="0024350A"/>
    <w:rsid w:val="00243CF9"/>
    <w:rsid w:val="00243D7F"/>
    <w:rsid w:val="00243E4F"/>
    <w:rsid w:val="00243FF1"/>
    <w:rsid w:val="002442A8"/>
    <w:rsid w:val="0024455D"/>
    <w:rsid w:val="00244916"/>
    <w:rsid w:val="00244B2F"/>
    <w:rsid w:val="00244CA7"/>
    <w:rsid w:val="00244CC4"/>
    <w:rsid w:val="00244D8F"/>
    <w:rsid w:val="00244F8F"/>
    <w:rsid w:val="00244FE1"/>
    <w:rsid w:val="00244FFF"/>
    <w:rsid w:val="002450D2"/>
    <w:rsid w:val="002451DA"/>
    <w:rsid w:val="00245305"/>
    <w:rsid w:val="0024585E"/>
    <w:rsid w:val="002458A5"/>
    <w:rsid w:val="00245BCC"/>
    <w:rsid w:val="00245BDD"/>
    <w:rsid w:val="00246A17"/>
    <w:rsid w:val="00246AC6"/>
    <w:rsid w:val="00246F20"/>
    <w:rsid w:val="002472C1"/>
    <w:rsid w:val="002478D2"/>
    <w:rsid w:val="0024796F"/>
    <w:rsid w:val="00250E22"/>
    <w:rsid w:val="002516D2"/>
    <w:rsid w:val="002519AA"/>
    <w:rsid w:val="002525A9"/>
    <w:rsid w:val="002528F8"/>
    <w:rsid w:val="00252A25"/>
    <w:rsid w:val="00252B3C"/>
    <w:rsid w:val="00252B86"/>
    <w:rsid w:val="00252E56"/>
    <w:rsid w:val="00253AA3"/>
    <w:rsid w:val="00253C92"/>
    <w:rsid w:val="00253F54"/>
    <w:rsid w:val="00254320"/>
    <w:rsid w:val="0025491E"/>
    <w:rsid w:val="00254C0A"/>
    <w:rsid w:val="00255269"/>
    <w:rsid w:val="0025572F"/>
    <w:rsid w:val="00255745"/>
    <w:rsid w:val="00255868"/>
    <w:rsid w:val="00256473"/>
    <w:rsid w:val="00256580"/>
    <w:rsid w:val="002567A0"/>
    <w:rsid w:val="00256B3F"/>
    <w:rsid w:val="00256B55"/>
    <w:rsid w:val="00256F73"/>
    <w:rsid w:val="0025706B"/>
    <w:rsid w:val="00257133"/>
    <w:rsid w:val="00257196"/>
    <w:rsid w:val="00257398"/>
    <w:rsid w:val="0025741B"/>
    <w:rsid w:val="00257B86"/>
    <w:rsid w:val="00257C4A"/>
    <w:rsid w:val="00257C5F"/>
    <w:rsid w:val="00257ED9"/>
    <w:rsid w:val="0026006C"/>
    <w:rsid w:val="002600F2"/>
    <w:rsid w:val="0026087B"/>
    <w:rsid w:val="0026128B"/>
    <w:rsid w:val="0026175B"/>
    <w:rsid w:val="002617F9"/>
    <w:rsid w:val="00261D92"/>
    <w:rsid w:val="00261F12"/>
    <w:rsid w:val="00262A9C"/>
    <w:rsid w:val="00262C71"/>
    <w:rsid w:val="00262FE6"/>
    <w:rsid w:val="00263331"/>
    <w:rsid w:val="002633E7"/>
    <w:rsid w:val="0026378E"/>
    <w:rsid w:val="00263E1B"/>
    <w:rsid w:val="00263ECC"/>
    <w:rsid w:val="002641B8"/>
    <w:rsid w:val="002645D3"/>
    <w:rsid w:val="00264A11"/>
    <w:rsid w:val="00264A3C"/>
    <w:rsid w:val="00264D4C"/>
    <w:rsid w:val="00265675"/>
    <w:rsid w:val="00265B63"/>
    <w:rsid w:val="00265D53"/>
    <w:rsid w:val="00265F49"/>
    <w:rsid w:val="00266349"/>
    <w:rsid w:val="00266373"/>
    <w:rsid w:val="00266A0C"/>
    <w:rsid w:val="00266C43"/>
    <w:rsid w:val="00266DA7"/>
    <w:rsid w:val="00266F0C"/>
    <w:rsid w:val="002671D1"/>
    <w:rsid w:val="0026746A"/>
    <w:rsid w:val="0026758C"/>
    <w:rsid w:val="00267626"/>
    <w:rsid w:val="0026773A"/>
    <w:rsid w:val="00267AEA"/>
    <w:rsid w:val="002701DC"/>
    <w:rsid w:val="00270294"/>
    <w:rsid w:val="0027035F"/>
    <w:rsid w:val="00270E4C"/>
    <w:rsid w:val="00270EAC"/>
    <w:rsid w:val="0027142E"/>
    <w:rsid w:val="0027170A"/>
    <w:rsid w:val="00271ACF"/>
    <w:rsid w:val="00272210"/>
    <w:rsid w:val="0027292E"/>
    <w:rsid w:val="00272A42"/>
    <w:rsid w:val="00272D6F"/>
    <w:rsid w:val="0027312F"/>
    <w:rsid w:val="00273442"/>
    <w:rsid w:val="00273851"/>
    <w:rsid w:val="00273EC3"/>
    <w:rsid w:val="002743BA"/>
    <w:rsid w:val="00274A68"/>
    <w:rsid w:val="00275155"/>
    <w:rsid w:val="00275457"/>
    <w:rsid w:val="0027547D"/>
    <w:rsid w:val="00275CC0"/>
    <w:rsid w:val="00275CE9"/>
    <w:rsid w:val="00275D41"/>
    <w:rsid w:val="00275D42"/>
    <w:rsid w:val="002773A0"/>
    <w:rsid w:val="002773B8"/>
    <w:rsid w:val="00277516"/>
    <w:rsid w:val="0027756F"/>
    <w:rsid w:val="00277597"/>
    <w:rsid w:val="002777DE"/>
    <w:rsid w:val="002779C2"/>
    <w:rsid w:val="00277A20"/>
    <w:rsid w:val="00277A76"/>
    <w:rsid w:val="00277A7A"/>
    <w:rsid w:val="002801A2"/>
    <w:rsid w:val="00281A7A"/>
    <w:rsid w:val="00281AF9"/>
    <w:rsid w:val="00281D79"/>
    <w:rsid w:val="00281F10"/>
    <w:rsid w:val="00281FF3"/>
    <w:rsid w:val="002827E7"/>
    <w:rsid w:val="00282925"/>
    <w:rsid w:val="00282CF3"/>
    <w:rsid w:val="0028301C"/>
    <w:rsid w:val="002834A4"/>
    <w:rsid w:val="00284840"/>
    <w:rsid w:val="002849B4"/>
    <w:rsid w:val="00284F5D"/>
    <w:rsid w:val="002852D2"/>
    <w:rsid w:val="00285370"/>
    <w:rsid w:val="00285413"/>
    <w:rsid w:val="00285461"/>
    <w:rsid w:val="002854A0"/>
    <w:rsid w:val="00285A48"/>
    <w:rsid w:val="00285E2C"/>
    <w:rsid w:val="0028652C"/>
    <w:rsid w:val="0028664C"/>
    <w:rsid w:val="0028684A"/>
    <w:rsid w:val="00286F1C"/>
    <w:rsid w:val="00287050"/>
    <w:rsid w:val="002870B7"/>
    <w:rsid w:val="002873B9"/>
    <w:rsid w:val="0028775A"/>
    <w:rsid w:val="00287ECA"/>
    <w:rsid w:val="0029058C"/>
    <w:rsid w:val="0029061E"/>
    <w:rsid w:val="00290A7E"/>
    <w:rsid w:val="00290D1A"/>
    <w:rsid w:val="00290D65"/>
    <w:rsid w:val="00290F30"/>
    <w:rsid w:val="002911FD"/>
    <w:rsid w:val="002918DF"/>
    <w:rsid w:val="00291AB9"/>
    <w:rsid w:val="00292118"/>
    <w:rsid w:val="00292163"/>
    <w:rsid w:val="00292339"/>
    <w:rsid w:val="00292676"/>
    <w:rsid w:val="002929D8"/>
    <w:rsid w:val="00292C8B"/>
    <w:rsid w:val="00292FA0"/>
    <w:rsid w:val="00293106"/>
    <w:rsid w:val="002933FC"/>
    <w:rsid w:val="00293693"/>
    <w:rsid w:val="002936BB"/>
    <w:rsid w:val="002937A4"/>
    <w:rsid w:val="00293AE6"/>
    <w:rsid w:val="00293CA5"/>
    <w:rsid w:val="00294290"/>
    <w:rsid w:val="0029444E"/>
    <w:rsid w:val="002948F8"/>
    <w:rsid w:val="002950C5"/>
    <w:rsid w:val="00295423"/>
    <w:rsid w:val="0029571E"/>
    <w:rsid w:val="00295B74"/>
    <w:rsid w:val="00295F88"/>
    <w:rsid w:val="0029619C"/>
    <w:rsid w:val="0029681F"/>
    <w:rsid w:val="0029694F"/>
    <w:rsid w:val="00296A3C"/>
    <w:rsid w:val="00296A52"/>
    <w:rsid w:val="00296AC7"/>
    <w:rsid w:val="00296B9D"/>
    <w:rsid w:val="00296CEE"/>
    <w:rsid w:val="0029706F"/>
    <w:rsid w:val="0029727F"/>
    <w:rsid w:val="00297293"/>
    <w:rsid w:val="0029747E"/>
    <w:rsid w:val="00297859"/>
    <w:rsid w:val="00297867"/>
    <w:rsid w:val="00297A0E"/>
    <w:rsid w:val="00297BCE"/>
    <w:rsid w:val="00297FAD"/>
    <w:rsid w:val="002A04D4"/>
    <w:rsid w:val="002A0749"/>
    <w:rsid w:val="002A082E"/>
    <w:rsid w:val="002A09A9"/>
    <w:rsid w:val="002A0A0A"/>
    <w:rsid w:val="002A0CBD"/>
    <w:rsid w:val="002A14A8"/>
    <w:rsid w:val="002A1946"/>
    <w:rsid w:val="002A1A2A"/>
    <w:rsid w:val="002A311C"/>
    <w:rsid w:val="002A3184"/>
    <w:rsid w:val="002A3639"/>
    <w:rsid w:val="002A36AE"/>
    <w:rsid w:val="002A3A9F"/>
    <w:rsid w:val="002A3E35"/>
    <w:rsid w:val="002A3F30"/>
    <w:rsid w:val="002A40A3"/>
    <w:rsid w:val="002A41A1"/>
    <w:rsid w:val="002A45C2"/>
    <w:rsid w:val="002A4690"/>
    <w:rsid w:val="002A4D74"/>
    <w:rsid w:val="002A4E64"/>
    <w:rsid w:val="002A5069"/>
    <w:rsid w:val="002A5102"/>
    <w:rsid w:val="002A5119"/>
    <w:rsid w:val="002A5524"/>
    <w:rsid w:val="002A56D5"/>
    <w:rsid w:val="002A5702"/>
    <w:rsid w:val="002A57E4"/>
    <w:rsid w:val="002A5A6C"/>
    <w:rsid w:val="002A5CC1"/>
    <w:rsid w:val="002A5F34"/>
    <w:rsid w:val="002A629F"/>
    <w:rsid w:val="002A62A4"/>
    <w:rsid w:val="002A6531"/>
    <w:rsid w:val="002A694B"/>
    <w:rsid w:val="002A6B7E"/>
    <w:rsid w:val="002A780E"/>
    <w:rsid w:val="002B07D2"/>
    <w:rsid w:val="002B0997"/>
    <w:rsid w:val="002B0A97"/>
    <w:rsid w:val="002B0DFB"/>
    <w:rsid w:val="002B0F52"/>
    <w:rsid w:val="002B0FDA"/>
    <w:rsid w:val="002B10EF"/>
    <w:rsid w:val="002B1881"/>
    <w:rsid w:val="002B18B1"/>
    <w:rsid w:val="002B18C6"/>
    <w:rsid w:val="002B1CDD"/>
    <w:rsid w:val="002B1EE6"/>
    <w:rsid w:val="002B20E3"/>
    <w:rsid w:val="002B2195"/>
    <w:rsid w:val="002B21C5"/>
    <w:rsid w:val="002B2D32"/>
    <w:rsid w:val="002B30F4"/>
    <w:rsid w:val="002B379E"/>
    <w:rsid w:val="002B468A"/>
    <w:rsid w:val="002B4DB8"/>
    <w:rsid w:val="002B4EB7"/>
    <w:rsid w:val="002B4EC7"/>
    <w:rsid w:val="002B5146"/>
    <w:rsid w:val="002B5A51"/>
    <w:rsid w:val="002B5BD1"/>
    <w:rsid w:val="002B5C2D"/>
    <w:rsid w:val="002B615B"/>
    <w:rsid w:val="002B61A6"/>
    <w:rsid w:val="002B647F"/>
    <w:rsid w:val="002B678A"/>
    <w:rsid w:val="002B68F5"/>
    <w:rsid w:val="002B6A5D"/>
    <w:rsid w:val="002B74CA"/>
    <w:rsid w:val="002B74D7"/>
    <w:rsid w:val="002B74DB"/>
    <w:rsid w:val="002B77F2"/>
    <w:rsid w:val="002B7AB1"/>
    <w:rsid w:val="002B7FC3"/>
    <w:rsid w:val="002C05F9"/>
    <w:rsid w:val="002C0640"/>
    <w:rsid w:val="002C0AA5"/>
    <w:rsid w:val="002C1124"/>
    <w:rsid w:val="002C17F0"/>
    <w:rsid w:val="002C1E1D"/>
    <w:rsid w:val="002C248D"/>
    <w:rsid w:val="002C2931"/>
    <w:rsid w:val="002C2BBC"/>
    <w:rsid w:val="002C2D53"/>
    <w:rsid w:val="002C3125"/>
    <w:rsid w:val="002C3129"/>
    <w:rsid w:val="002C3976"/>
    <w:rsid w:val="002C3AA5"/>
    <w:rsid w:val="002C3AF1"/>
    <w:rsid w:val="002C3CA4"/>
    <w:rsid w:val="002C44C1"/>
    <w:rsid w:val="002C45E0"/>
    <w:rsid w:val="002C47E7"/>
    <w:rsid w:val="002C4C96"/>
    <w:rsid w:val="002C4D1B"/>
    <w:rsid w:val="002C4E75"/>
    <w:rsid w:val="002C5118"/>
    <w:rsid w:val="002C5682"/>
    <w:rsid w:val="002C56C7"/>
    <w:rsid w:val="002C5A8F"/>
    <w:rsid w:val="002C5E8A"/>
    <w:rsid w:val="002C5F97"/>
    <w:rsid w:val="002C605F"/>
    <w:rsid w:val="002C6194"/>
    <w:rsid w:val="002C648C"/>
    <w:rsid w:val="002C6DAB"/>
    <w:rsid w:val="002C6F71"/>
    <w:rsid w:val="002C71E6"/>
    <w:rsid w:val="002C738B"/>
    <w:rsid w:val="002C76E0"/>
    <w:rsid w:val="002C7B06"/>
    <w:rsid w:val="002C7C02"/>
    <w:rsid w:val="002C7D52"/>
    <w:rsid w:val="002C7E80"/>
    <w:rsid w:val="002C7F7D"/>
    <w:rsid w:val="002D008D"/>
    <w:rsid w:val="002D05DE"/>
    <w:rsid w:val="002D06F2"/>
    <w:rsid w:val="002D076E"/>
    <w:rsid w:val="002D0BFE"/>
    <w:rsid w:val="002D0C03"/>
    <w:rsid w:val="002D0C2F"/>
    <w:rsid w:val="002D1077"/>
    <w:rsid w:val="002D1457"/>
    <w:rsid w:val="002D166E"/>
    <w:rsid w:val="002D1940"/>
    <w:rsid w:val="002D1B17"/>
    <w:rsid w:val="002D1EC5"/>
    <w:rsid w:val="002D1EFF"/>
    <w:rsid w:val="002D1F32"/>
    <w:rsid w:val="002D21C0"/>
    <w:rsid w:val="002D22A2"/>
    <w:rsid w:val="002D2877"/>
    <w:rsid w:val="002D2895"/>
    <w:rsid w:val="002D28FE"/>
    <w:rsid w:val="002D3630"/>
    <w:rsid w:val="002D38B4"/>
    <w:rsid w:val="002D39D0"/>
    <w:rsid w:val="002D3CFC"/>
    <w:rsid w:val="002D404D"/>
    <w:rsid w:val="002D40BD"/>
    <w:rsid w:val="002D4812"/>
    <w:rsid w:val="002D4AC5"/>
    <w:rsid w:val="002D5536"/>
    <w:rsid w:val="002D5A31"/>
    <w:rsid w:val="002D5CB3"/>
    <w:rsid w:val="002D6010"/>
    <w:rsid w:val="002D61ED"/>
    <w:rsid w:val="002D62AE"/>
    <w:rsid w:val="002D6976"/>
    <w:rsid w:val="002D69B9"/>
    <w:rsid w:val="002D6DEB"/>
    <w:rsid w:val="002D6E22"/>
    <w:rsid w:val="002D6E78"/>
    <w:rsid w:val="002D7465"/>
    <w:rsid w:val="002D7507"/>
    <w:rsid w:val="002D7745"/>
    <w:rsid w:val="002D7BBC"/>
    <w:rsid w:val="002D7FEB"/>
    <w:rsid w:val="002E0500"/>
    <w:rsid w:val="002E0550"/>
    <w:rsid w:val="002E0773"/>
    <w:rsid w:val="002E09EF"/>
    <w:rsid w:val="002E0A6A"/>
    <w:rsid w:val="002E1007"/>
    <w:rsid w:val="002E114C"/>
    <w:rsid w:val="002E1956"/>
    <w:rsid w:val="002E1C5F"/>
    <w:rsid w:val="002E1F0A"/>
    <w:rsid w:val="002E2105"/>
    <w:rsid w:val="002E2548"/>
    <w:rsid w:val="002E26A1"/>
    <w:rsid w:val="002E27C2"/>
    <w:rsid w:val="002E27EF"/>
    <w:rsid w:val="002E2AD8"/>
    <w:rsid w:val="002E2AE4"/>
    <w:rsid w:val="002E2F8D"/>
    <w:rsid w:val="002E3374"/>
    <w:rsid w:val="002E3666"/>
    <w:rsid w:val="002E3860"/>
    <w:rsid w:val="002E3BD2"/>
    <w:rsid w:val="002E3CE5"/>
    <w:rsid w:val="002E3DD4"/>
    <w:rsid w:val="002E40BC"/>
    <w:rsid w:val="002E44CF"/>
    <w:rsid w:val="002E5260"/>
    <w:rsid w:val="002E5F41"/>
    <w:rsid w:val="002E61D7"/>
    <w:rsid w:val="002E639E"/>
    <w:rsid w:val="002E640B"/>
    <w:rsid w:val="002E6CFF"/>
    <w:rsid w:val="002E72F6"/>
    <w:rsid w:val="002E7BE9"/>
    <w:rsid w:val="002E7D17"/>
    <w:rsid w:val="002E7EE3"/>
    <w:rsid w:val="002F0302"/>
    <w:rsid w:val="002F03CB"/>
    <w:rsid w:val="002F0784"/>
    <w:rsid w:val="002F0867"/>
    <w:rsid w:val="002F08F5"/>
    <w:rsid w:val="002F0FF6"/>
    <w:rsid w:val="002F15BE"/>
    <w:rsid w:val="002F16F6"/>
    <w:rsid w:val="002F1961"/>
    <w:rsid w:val="002F19E5"/>
    <w:rsid w:val="002F1BBD"/>
    <w:rsid w:val="002F1C35"/>
    <w:rsid w:val="002F1DB5"/>
    <w:rsid w:val="002F20F7"/>
    <w:rsid w:val="002F21C0"/>
    <w:rsid w:val="002F2281"/>
    <w:rsid w:val="002F2788"/>
    <w:rsid w:val="002F2880"/>
    <w:rsid w:val="002F28D4"/>
    <w:rsid w:val="002F2A9E"/>
    <w:rsid w:val="002F2E75"/>
    <w:rsid w:val="002F3780"/>
    <w:rsid w:val="002F389C"/>
    <w:rsid w:val="002F3E3F"/>
    <w:rsid w:val="002F40C7"/>
    <w:rsid w:val="002F429A"/>
    <w:rsid w:val="002F4E60"/>
    <w:rsid w:val="002F50C3"/>
    <w:rsid w:val="002F50E3"/>
    <w:rsid w:val="002F5D9C"/>
    <w:rsid w:val="002F5E3F"/>
    <w:rsid w:val="002F601E"/>
    <w:rsid w:val="002F6227"/>
    <w:rsid w:val="002F6D72"/>
    <w:rsid w:val="002F7AC4"/>
    <w:rsid w:val="002F7E27"/>
    <w:rsid w:val="002F7EA6"/>
    <w:rsid w:val="003006C2"/>
    <w:rsid w:val="00300842"/>
    <w:rsid w:val="00300B09"/>
    <w:rsid w:val="00300E31"/>
    <w:rsid w:val="0030160D"/>
    <w:rsid w:val="00302272"/>
    <w:rsid w:val="003024A0"/>
    <w:rsid w:val="003025A9"/>
    <w:rsid w:val="00302BFA"/>
    <w:rsid w:val="00302F03"/>
    <w:rsid w:val="0030337D"/>
    <w:rsid w:val="003041AB"/>
    <w:rsid w:val="00304953"/>
    <w:rsid w:val="00304AE8"/>
    <w:rsid w:val="00304FA2"/>
    <w:rsid w:val="0030545F"/>
    <w:rsid w:val="00305B65"/>
    <w:rsid w:val="00306209"/>
    <w:rsid w:val="003065B4"/>
    <w:rsid w:val="003067A5"/>
    <w:rsid w:val="00306A94"/>
    <w:rsid w:val="00306BA4"/>
    <w:rsid w:val="00306CDF"/>
    <w:rsid w:val="003072D7"/>
    <w:rsid w:val="00307358"/>
    <w:rsid w:val="003073C7"/>
    <w:rsid w:val="00307427"/>
    <w:rsid w:val="00307553"/>
    <w:rsid w:val="0030759C"/>
    <w:rsid w:val="003104F0"/>
    <w:rsid w:val="00310AA3"/>
    <w:rsid w:val="00310E9B"/>
    <w:rsid w:val="0031102A"/>
    <w:rsid w:val="003110A0"/>
    <w:rsid w:val="0031186B"/>
    <w:rsid w:val="00311AEB"/>
    <w:rsid w:val="00311FA0"/>
    <w:rsid w:val="00312044"/>
    <w:rsid w:val="00312076"/>
    <w:rsid w:val="00312084"/>
    <w:rsid w:val="0031226E"/>
    <w:rsid w:val="003125A4"/>
    <w:rsid w:val="00313359"/>
    <w:rsid w:val="00313922"/>
    <w:rsid w:val="00313AFD"/>
    <w:rsid w:val="00313BAB"/>
    <w:rsid w:val="00313C31"/>
    <w:rsid w:val="003140DD"/>
    <w:rsid w:val="00314282"/>
    <w:rsid w:val="00314869"/>
    <w:rsid w:val="00314B76"/>
    <w:rsid w:val="00314CE9"/>
    <w:rsid w:val="00314E76"/>
    <w:rsid w:val="00314F80"/>
    <w:rsid w:val="00315266"/>
    <w:rsid w:val="003158D3"/>
    <w:rsid w:val="00316525"/>
    <w:rsid w:val="0031676F"/>
    <w:rsid w:val="00316A35"/>
    <w:rsid w:val="00316D14"/>
    <w:rsid w:val="00316DB8"/>
    <w:rsid w:val="003171F0"/>
    <w:rsid w:val="0031725C"/>
    <w:rsid w:val="003172C9"/>
    <w:rsid w:val="00317F84"/>
    <w:rsid w:val="00320114"/>
    <w:rsid w:val="00320468"/>
    <w:rsid w:val="00320B60"/>
    <w:rsid w:val="00320E32"/>
    <w:rsid w:val="003210A1"/>
    <w:rsid w:val="0032150A"/>
    <w:rsid w:val="00321712"/>
    <w:rsid w:val="00321C78"/>
    <w:rsid w:val="00321ECC"/>
    <w:rsid w:val="00321EFB"/>
    <w:rsid w:val="0032252C"/>
    <w:rsid w:val="00322656"/>
    <w:rsid w:val="00322A75"/>
    <w:rsid w:val="00322BCC"/>
    <w:rsid w:val="00322E3B"/>
    <w:rsid w:val="00322ECE"/>
    <w:rsid w:val="0032306A"/>
    <w:rsid w:val="0032312C"/>
    <w:rsid w:val="003231F6"/>
    <w:rsid w:val="0032323F"/>
    <w:rsid w:val="00323390"/>
    <w:rsid w:val="00323BE2"/>
    <w:rsid w:val="00323F4C"/>
    <w:rsid w:val="003242E5"/>
    <w:rsid w:val="00324422"/>
    <w:rsid w:val="00324520"/>
    <w:rsid w:val="00324906"/>
    <w:rsid w:val="00324CBF"/>
    <w:rsid w:val="00324D34"/>
    <w:rsid w:val="00324E2D"/>
    <w:rsid w:val="00325E6A"/>
    <w:rsid w:val="0032618F"/>
    <w:rsid w:val="0032634E"/>
    <w:rsid w:val="00326553"/>
    <w:rsid w:val="00326D83"/>
    <w:rsid w:val="00326D88"/>
    <w:rsid w:val="00326E72"/>
    <w:rsid w:val="0032729C"/>
    <w:rsid w:val="003275EA"/>
    <w:rsid w:val="00327954"/>
    <w:rsid w:val="00327AC5"/>
    <w:rsid w:val="00327FED"/>
    <w:rsid w:val="003302F4"/>
    <w:rsid w:val="0033034C"/>
    <w:rsid w:val="00330509"/>
    <w:rsid w:val="0033083B"/>
    <w:rsid w:val="00330B30"/>
    <w:rsid w:val="00331208"/>
    <w:rsid w:val="0033166E"/>
    <w:rsid w:val="0033191C"/>
    <w:rsid w:val="00331982"/>
    <w:rsid w:val="00331CC7"/>
    <w:rsid w:val="00332190"/>
    <w:rsid w:val="0033220B"/>
    <w:rsid w:val="00332353"/>
    <w:rsid w:val="003326EA"/>
    <w:rsid w:val="00332901"/>
    <w:rsid w:val="00332FB8"/>
    <w:rsid w:val="00333A81"/>
    <w:rsid w:val="00333B1A"/>
    <w:rsid w:val="00333ED6"/>
    <w:rsid w:val="00334190"/>
    <w:rsid w:val="00334499"/>
    <w:rsid w:val="00334540"/>
    <w:rsid w:val="00334828"/>
    <w:rsid w:val="00334C61"/>
    <w:rsid w:val="00335030"/>
    <w:rsid w:val="003355ED"/>
    <w:rsid w:val="003356DF"/>
    <w:rsid w:val="00335761"/>
    <w:rsid w:val="003358C8"/>
    <w:rsid w:val="003358D4"/>
    <w:rsid w:val="0033617F"/>
    <w:rsid w:val="00336778"/>
    <w:rsid w:val="00336F5D"/>
    <w:rsid w:val="00336FDA"/>
    <w:rsid w:val="0033718F"/>
    <w:rsid w:val="0033768D"/>
    <w:rsid w:val="003377E5"/>
    <w:rsid w:val="003378FD"/>
    <w:rsid w:val="00337D98"/>
    <w:rsid w:val="00340213"/>
    <w:rsid w:val="00341988"/>
    <w:rsid w:val="00341E56"/>
    <w:rsid w:val="00341FCA"/>
    <w:rsid w:val="00342119"/>
    <w:rsid w:val="003421F6"/>
    <w:rsid w:val="00342297"/>
    <w:rsid w:val="0034233B"/>
    <w:rsid w:val="00342511"/>
    <w:rsid w:val="00342A2D"/>
    <w:rsid w:val="00342E1C"/>
    <w:rsid w:val="0034363F"/>
    <w:rsid w:val="003437E7"/>
    <w:rsid w:val="00343C39"/>
    <w:rsid w:val="003442CC"/>
    <w:rsid w:val="003442CD"/>
    <w:rsid w:val="003447D8"/>
    <w:rsid w:val="00344910"/>
    <w:rsid w:val="00344C0A"/>
    <w:rsid w:val="00344C34"/>
    <w:rsid w:val="0034503D"/>
    <w:rsid w:val="003456F9"/>
    <w:rsid w:val="00345751"/>
    <w:rsid w:val="00345CD9"/>
    <w:rsid w:val="00346040"/>
    <w:rsid w:val="00346E99"/>
    <w:rsid w:val="00347117"/>
    <w:rsid w:val="0034712F"/>
    <w:rsid w:val="003471C0"/>
    <w:rsid w:val="00347830"/>
    <w:rsid w:val="003479E0"/>
    <w:rsid w:val="00347AA9"/>
    <w:rsid w:val="00347DDF"/>
    <w:rsid w:val="00347EF7"/>
    <w:rsid w:val="00347FD2"/>
    <w:rsid w:val="003503DD"/>
    <w:rsid w:val="003504D4"/>
    <w:rsid w:val="003507D8"/>
    <w:rsid w:val="00350C94"/>
    <w:rsid w:val="00350F0C"/>
    <w:rsid w:val="00350F4C"/>
    <w:rsid w:val="003510EA"/>
    <w:rsid w:val="0035146D"/>
    <w:rsid w:val="00351593"/>
    <w:rsid w:val="003517A6"/>
    <w:rsid w:val="00351818"/>
    <w:rsid w:val="00351B36"/>
    <w:rsid w:val="00351C19"/>
    <w:rsid w:val="00351CAA"/>
    <w:rsid w:val="00351CEF"/>
    <w:rsid w:val="00351E98"/>
    <w:rsid w:val="00352344"/>
    <w:rsid w:val="00352828"/>
    <w:rsid w:val="00352FDF"/>
    <w:rsid w:val="00353493"/>
    <w:rsid w:val="00353B7F"/>
    <w:rsid w:val="00353F55"/>
    <w:rsid w:val="00353F6D"/>
    <w:rsid w:val="003540DB"/>
    <w:rsid w:val="0035452B"/>
    <w:rsid w:val="00354B21"/>
    <w:rsid w:val="00354B5E"/>
    <w:rsid w:val="00354E0C"/>
    <w:rsid w:val="00355049"/>
    <w:rsid w:val="00355169"/>
    <w:rsid w:val="003558A9"/>
    <w:rsid w:val="003558B8"/>
    <w:rsid w:val="00355994"/>
    <w:rsid w:val="00355A38"/>
    <w:rsid w:val="00355AB2"/>
    <w:rsid w:val="00355BF8"/>
    <w:rsid w:val="00355FE5"/>
    <w:rsid w:val="00356164"/>
    <w:rsid w:val="003566C7"/>
    <w:rsid w:val="00356898"/>
    <w:rsid w:val="003568D3"/>
    <w:rsid w:val="00357157"/>
    <w:rsid w:val="00357381"/>
    <w:rsid w:val="0035786B"/>
    <w:rsid w:val="00357D7A"/>
    <w:rsid w:val="00357DC4"/>
    <w:rsid w:val="00360791"/>
    <w:rsid w:val="00360F97"/>
    <w:rsid w:val="0036154D"/>
    <w:rsid w:val="00362222"/>
    <w:rsid w:val="0036265F"/>
    <w:rsid w:val="0036291D"/>
    <w:rsid w:val="00362A05"/>
    <w:rsid w:val="0036309B"/>
    <w:rsid w:val="0036317F"/>
    <w:rsid w:val="003631B4"/>
    <w:rsid w:val="00363253"/>
    <w:rsid w:val="00363448"/>
    <w:rsid w:val="003636AA"/>
    <w:rsid w:val="0036397B"/>
    <w:rsid w:val="00363A4A"/>
    <w:rsid w:val="00363CFD"/>
    <w:rsid w:val="00364286"/>
    <w:rsid w:val="00364824"/>
    <w:rsid w:val="00364901"/>
    <w:rsid w:val="00364C8D"/>
    <w:rsid w:val="003650FE"/>
    <w:rsid w:val="003652D2"/>
    <w:rsid w:val="00365403"/>
    <w:rsid w:val="00365B13"/>
    <w:rsid w:val="00366192"/>
    <w:rsid w:val="003661CE"/>
    <w:rsid w:val="00366430"/>
    <w:rsid w:val="003672ED"/>
    <w:rsid w:val="0036761A"/>
    <w:rsid w:val="00367EC5"/>
    <w:rsid w:val="00370109"/>
    <w:rsid w:val="003701A9"/>
    <w:rsid w:val="00370875"/>
    <w:rsid w:val="003709FB"/>
    <w:rsid w:val="00370CE0"/>
    <w:rsid w:val="00370D77"/>
    <w:rsid w:val="00370DDE"/>
    <w:rsid w:val="00370FAB"/>
    <w:rsid w:val="00371107"/>
    <w:rsid w:val="00371374"/>
    <w:rsid w:val="003713C1"/>
    <w:rsid w:val="0037149D"/>
    <w:rsid w:val="00371618"/>
    <w:rsid w:val="00372428"/>
    <w:rsid w:val="00372DCF"/>
    <w:rsid w:val="00373284"/>
    <w:rsid w:val="003732E8"/>
    <w:rsid w:val="00373884"/>
    <w:rsid w:val="00373F13"/>
    <w:rsid w:val="003741E6"/>
    <w:rsid w:val="00374448"/>
    <w:rsid w:val="003744F4"/>
    <w:rsid w:val="00374BF6"/>
    <w:rsid w:val="00374C5D"/>
    <w:rsid w:val="00374D93"/>
    <w:rsid w:val="00374F50"/>
    <w:rsid w:val="00375057"/>
    <w:rsid w:val="003754ED"/>
    <w:rsid w:val="003757F7"/>
    <w:rsid w:val="00375BC4"/>
    <w:rsid w:val="00376354"/>
    <w:rsid w:val="00376856"/>
    <w:rsid w:val="00376901"/>
    <w:rsid w:val="0037722A"/>
    <w:rsid w:val="0037729F"/>
    <w:rsid w:val="003774E0"/>
    <w:rsid w:val="00377A9E"/>
    <w:rsid w:val="003802D6"/>
    <w:rsid w:val="003803BC"/>
    <w:rsid w:val="00380775"/>
    <w:rsid w:val="0038087F"/>
    <w:rsid w:val="00380BB1"/>
    <w:rsid w:val="003813BD"/>
    <w:rsid w:val="003819A6"/>
    <w:rsid w:val="00381B17"/>
    <w:rsid w:val="00381FE5"/>
    <w:rsid w:val="00382096"/>
    <w:rsid w:val="00382477"/>
    <w:rsid w:val="00382755"/>
    <w:rsid w:val="0038279B"/>
    <w:rsid w:val="0038291B"/>
    <w:rsid w:val="00382CE4"/>
    <w:rsid w:val="00382E4B"/>
    <w:rsid w:val="003830FF"/>
    <w:rsid w:val="00383BC6"/>
    <w:rsid w:val="003841E0"/>
    <w:rsid w:val="00384A32"/>
    <w:rsid w:val="00384BFB"/>
    <w:rsid w:val="00384C98"/>
    <w:rsid w:val="00384CAE"/>
    <w:rsid w:val="003854C4"/>
    <w:rsid w:val="003857C9"/>
    <w:rsid w:val="00385816"/>
    <w:rsid w:val="0038594C"/>
    <w:rsid w:val="00385E59"/>
    <w:rsid w:val="003862C5"/>
    <w:rsid w:val="003862E0"/>
    <w:rsid w:val="003862FA"/>
    <w:rsid w:val="003865DC"/>
    <w:rsid w:val="00387C4C"/>
    <w:rsid w:val="00390188"/>
    <w:rsid w:val="0039091D"/>
    <w:rsid w:val="00391444"/>
    <w:rsid w:val="003916E3"/>
    <w:rsid w:val="0039176B"/>
    <w:rsid w:val="00391B69"/>
    <w:rsid w:val="00391F21"/>
    <w:rsid w:val="00392040"/>
    <w:rsid w:val="00392112"/>
    <w:rsid w:val="0039254D"/>
    <w:rsid w:val="00392606"/>
    <w:rsid w:val="00392DFA"/>
    <w:rsid w:val="003932CE"/>
    <w:rsid w:val="0039332E"/>
    <w:rsid w:val="003939F5"/>
    <w:rsid w:val="003949CC"/>
    <w:rsid w:val="00394D0D"/>
    <w:rsid w:val="003955D4"/>
    <w:rsid w:val="00395988"/>
    <w:rsid w:val="00395B72"/>
    <w:rsid w:val="00395D4B"/>
    <w:rsid w:val="00396220"/>
    <w:rsid w:val="00396357"/>
    <w:rsid w:val="003966F8"/>
    <w:rsid w:val="00396C79"/>
    <w:rsid w:val="00396D4A"/>
    <w:rsid w:val="00397195"/>
    <w:rsid w:val="00397250"/>
    <w:rsid w:val="003972BA"/>
    <w:rsid w:val="00397617"/>
    <w:rsid w:val="003979B3"/>
    <w:rsid w:val="00397B04"/>
    <w:rsid w:val="003A0056"/>
    <w:rsid w:val="003A02E8"/>
    <w:rsid w:val="003A0398"/>
    <w:rsid w:val="003A04CE"/>
    <w:rsid w:val="003A0DFC"/>
    <w:rsid w:val="003A103E"/>
    <w:rsid w:val="003A12A8"/>
    <w:rsid w:val="003A1606"/>
    <w:rsid w:val="003A1714"/>
    <w:rsid w:val="003A196E"/>
    <w:rsid w:val="003A1ADF"/>
    <w:rsid w:val="003A1AE9"/>
    <w:rsid w:val="003A1CF9"/>
    <w:rsid w:val="003A2029"/>
    <w:rsid w:val="003A210F"/>
    <w:rsid w:val="003A28EF"/>
    <w:rsid w:val="003A3195"/>
    <w:rsid w:val="003A372B"/>
    <w:rsid w:val="003A3982"/>
    <w:rsid w:val="003A40A6"/>
    <w:rsid w:val="003A42EA"/>
    <w:rsid w:val="003A490D"/>
    <w:rsid w:val="003A5673"/>
    <w:rsid w:val="003A5762"/>
    <w:rsid w:val="003A5C29"/>
    <w:rsid w:val="003A5ED2"/>
    <w:rsid w:val="003A6130"/>
    <w:rsid w:val="003A68BC"/>
    <w:rsid w:val="003A69BD"/>
    <w:rsid w:val="003A6AE4"/>
    <w:rsid w:val="003A6D9D"/>
    <w:rsid w:val="003A6F31"/>
    <w:rsid w:val="003A76FD"/>
    <w:rsid w:val="003A7BBF"/>
    <w:rsid w:val="003A7FA6"/>
    <w:rsid w:val="003B01A3"/>
    <w:rsid w:val="003B048F"/>
    <w:rsid w:val="003B05EA"/>
    <w:rsid w:val="003B0662"/>
    <w:rsid w:val="003B0767"/>
    <w:rsid w:val="003B13D2"/>
    <w:rsid w:val="003B16C8"/>
    <w:rsid w:val="003B2393"/>
    <w:rsid w:val="003B2423"/>
    <w:rsid w:val="003B2672"/>
    <w:rsid w:val="003B2D5C"/>
    <w:rsid w:val="003B359D"/>
    <w:rsid w:val="003B370B"/>
    <w:rsid w:val="003B37C6"/>
    <w:rsid w:val="003B3E5D"/>
    <w:rsid w:val="003B45F8"/>
    <w:rsid w:val="003B4654"/>
    <w:rsid w:val="003B50DA"/>
    <w:rsid w:val="003B510E"/>
    <w:rsid w:val="003B5437"/>
    <w:rsid w:val="003B554B"/>
    <w:rsid w:val="003B5903"/>
    <w:rsid w:val="003B6065"/>
    <w:rsid w:val="003B6734"/>
    <w:rsid w:val="003B7742"/>
    <w:rsid w:val="003B788D"/>
    <w:rsid w:val="003B7920"/>
    <w:rsid w:val="003B7952"/>
    <w:rsid w:val="003B7A7C"/>
    <w:rsid w:val="003B7BEA"/>
    <w:rsid w:val="003B7F39"/>
    <w:rsid w:val="003C0136"/>
    <w:rsid w:val="003C01D4"/>
    <w:rsid w:val="003C02D5"/>
    <w:rsid w:val="003C040B"/>
    <w:rsid w:val="003C044A"/>
    <w:rsid w:val="003C0480"/>
    <w:rsid w:val="003C0FBB"/>
    <w:rsid w:val="003C1113"/>
    <w:rsid w:val="003C1643"/>
    <w:rsid w:val="003C237E"/>
    <w:rsid w:val="003C24AC"/>
    <w:rsid w:val="003C329B"/>
    <w:rsid w:val="003C330B"/>
    <w:rsid w:val="003C3552"/>
    <w:rsid w:val="003C35AF"/>
    <w:rsid w:val="003C39CD"/>
    <w:rsid w:val="003C3AEF"/>
    <w:rsid w:val="003C3B56"/>
    <w:rsid w:val="003C3E87"/>
    <w:rsid w:val="003C3E9B"/>
    <w:rsid w:val="003C45BC"/>
    <w:rsid w:val="003C4604"/>
    <w:rsid w:val="003C5148"/>
    <w:rsid w:val="003C5309"/>
    <w:rsid w:val="003C54ED"/>
    <w:rsid w:val="003C553F"/>
    <w:rsid w:val="003C5660"/>
    <w:rsid w:val="003C5B03"/>
    <w:rsid w:val="003C5D2A"/>
    <w:rsid w:val="003C63CC"/>
    <w:rsid w:val="003C6630"/>
    <w:rsid w:val="003C66D4"/>
    <w:rsid w:val="003C6EA0"/>
    <w:rsid w:val="003C7081"/>
    <w:rsid w:val="003C7867"/>
    <w:rsid w:val="003C7B58"/>
    <w:rsid w:val="003D0672"/>
    <w:rsid w:val="003D07D4"/>
    <w:rsid w:val="003D0933"/>
    <w:rsid w:val="003D0A50"/>
    <w:rsid w:val="003D0BD2"/>
    <w:rsid w:val="003D1502"/>
    <w:rsid w:val="003D1551"/>
    <w:rsid w:val="003D1649"/>
    <w:rsid w:val="003D1A5A"/>
    <w:rsid w:val="003D256D"/>
    <w:rsid w:val="003D260E"/>
    <w:rsid w:val="003D27CE"/>
    <w:rsid w:val="003D2A5A"/>
    <w:rsid w:val="003D2E65"/>
    <w:rsid w:val="003D2ED6"/>
    <w:rsid w:val="003D34B0"/>
    <w:rsid w:val="003D3881"/>
    <w:rsid w:val="003D3D00"/>
    <w:rsid w:val="003D3E49"/>
    <w:rsid w:val="003D3FE3"/>
    <w:rsid w:val="003D42B3"/>
    <w:rsid w:val="003D4C7E"/>
    <w:rsid w:val="003D4D19"/>
    <w:rsid w:val="003D5251"/>
    <w:rsid w:val="003D5939"/>
    <w:rsid w:val="003D5A54"/>
    <w:rsid w:val="003D64D3"/>
    <w:rsid w:val="003D74CE"/>
    <w:rsid w:val="003D74E1"/>
    <w:rsid w:val="003D7754"/>
    <w:rsid w:val="003D7A50"/>
    <w:rsid w:val="003E0615"/>
    <w:rsid w:val="003E0B6C"/>
    <w:rsid w:val="003E0DF0"/>
    <w:rsid w:val="003E0FF3"/>
    <w:rsid w:val="003E1275"/>
    <w:rsid w:val="003E145E"/>
    <w:rsid w:val="003E182B"/>
    <w:rsid w:val="003E215B"/>
    <w:rsid w:val="003E215E"/>
    <w:rsid w:val="003E2171"/>
    <w:rsid w:val="003E2188"/>
    <w:rsid w:val="003E21C5"/>
    <w:rsid w:val="003E2607"/>
    <w:rsid w:val="003E26B9"/>
    <w:rsid w:val="003E27B6"/>
    <w:rsid w:val="003E27FA"/>
    <w:rsid w:val="003E3090"/>
    <w:rsid w:val="003E3638"/>
    <w:rsid w:val="003E435D"/>
    <w:rsid w:val="003E4729"/>
    <w:rsid w:val="003E4B17"/>
    <w:rsid w:val="003E4B70"/>
    <w:rsid w:val="003E4D24"/>
    <w:rsid w:val="003E4E18"/>
    <w:rsid w:val="003E53F7"/>
    <w:rsid w:val="003E5997"/>
    <w:rsid w:val="003E5B0D"/>
    <w:rsid w:val="003E5F81"/>
    <w:rsid w:val="003E6015"/>
    <w:rsid w:val="003E623A"/>
    <w:rsid w:val="003E625E"/>
    <w:rsid w:val="003E62C4"/>
    <w:rsid w:val="003E6387"/>
    <w:rsid w:val="003E65B0"/>
    <w:rsid w:val="003E67FE"/>
    <w:rsid w:val="003E6ADF"/>
    <w:rsid w:val="003E6B29"/>
    <w:rsid w:val="003E7182"/>
    <w:rsid w:val="003E7680"/>
    <w:rsid w:val="003E782F"/>
    <w:rsid w:val="003E79C8"/>
    <w:rsid w:val="003E7C5A"/>
    <w:rsid w:val="003E7EEE"/>
    <w:rsid w:val="003F029F"/>
    <w:rsid w:val="003F054D"/>
    <w:rsid w:val="003F06A0"/>
    <w:rsid w:val="003F07DE"/>
    <w:rsid w:val="003F07EE"/>
    <w:rsid w:val="003F0AA7"/>
    <w:rsid w:val="003F0DEC"/>
    <w:rsid w:val="003F0E82"/>
    <w:rsid w:val="003F1333"/>
    <w:rsid w:val="003F17F3"/>
    <w:rsid w:val="003F1857"/>
    <w:rsid w:val="003F19C6"/>
    <w:rsid w:val="003F1CD2"/>
    <w:rsid w:val="003F1CE6"/>
    <w:rsid w:val="003F1D3D"/>
    <w:rsid w:val="003F1E6E"/>
    <w:rsid w:val="003F1E87"/>
    <w:rsid w:val="003F1F0E"/>
    <w:rsid w:val="003F283E"/>
    <w:rsid w:val="003F2843"/>
    <w:rsid w:val="003F2EFA"/>
    <w:rsid w:val="003F3522"/>
    <w:rsid w:val="003F3834"/>
    <w:rsid w:val="003F3FB8"/>
    <w:rsid w:val="003F3FEB"/>
    <w:rsid w:val="003F4301"/>
    <w:rsid w:val="003F4504"/>
    <w:rsid w:val="003F4988"/>
    <w:rsid w:val="003F511B"/>
    <w:rsid w:val="003F55EE"/>
    <w:rsid w:val="003F5753"/>
    <w:rsid w:val="003F5BD9"/>
    <w:rsid w:val="003F5BF0"/>
    <w:rsid w:val="003F671B"/>
    <w:rsid w:val="003F6B75"/>
    <w:rsid w:val="003F6BD3"/>
    <w:rsid w:val="003F6C85"/>
    <w:rsid w:val="003F6DE4"/>
    <w:rsid w:val="003F72EB"/>
    <w:rsid w:val="003F7A66"/>
    <w:rsid w:val="003F7B72"/>
    <w:rsid w:val="003F7BDB"/>
    <w:rsid w:val="00400218"/>
    <w:rsid w:val="0040067A"/>
    <w:rsid w:val="00400704"/>
    <w:rsid w:val="00400C15"/>
    <w:rsid w:val="00400E96"/>
    <w:rsid w:val="00401078"/>
    <w:rsid w:val="00401385"/>
    <w:rsid w:val="004013AB"/>
    <w:rsid w:val="004014F7"/>
    <w:rsid w:val="004016B8"/>
    <w:rsid w:val="00401751"/>
    <w:rsid w:val="004018FE"/>
    <w:rsid w:val="0040194B"/>
    <w:rsid w:val="00401BFA"/>
    <w:rsid w:val="004021F8"/>
    <w:rsid w:val="00402A18"/>
    <w:rsid w:val="00402C32"/>
    <w:rsid w:val="00402CF9"/>
    <w:rsid w:val="00403C08"/>
    <w:rsid w:val="00403CCF"/>
    <w:rsid w:val="004044BC"/>
    <w:rsid w:val="004046E5"/>
    <w:rsid w:val="00404CB4"/>
    <w:rsid w:val="00404E0F"/>
    <w:rsid w:val="00404E32"/>
    <w:rsid w:val="004057E2"/>
    <w:rsid w:val="004057F0"/>
    <w:rsid w:val="0040584A"/>
    <w:rsid w:val="00405A5F"/>
    <w:rsid w:val="00405BF7"/>
    <w:rsid w:val="004063BD"/>
    <w:rsid w:val="00406771"/>
    <w:rsid w:val="00406F74"/>
    <w:rsid w:val="004071FD"/>
    <w:rsid w:val="00407C3A"/>
    <w:rsid w:val="00407FB4"/>
    <w:rsid w:val="00407FD7"/>
    <w:rsid w:val="004109DB"/>
    <w:rsid w:val="00410A85"/>
    <w:rsid w:val="00410B29"/>
    <w:rsid w:val="00410D7F"/>
    <w:rsid w:val="004114F0"/>
    <w:rsid w:val="004119AA"/>
    <w:rsid w:val="00411C03"/>
    <w:rsid w:val="00411FEA"/>
    <w:rsid w:val="0041229D"/>
    <w:rsid w:val="00412777"/>
    <w:rsid w:val="00412794"/>
    <w:rsid w:val="00412B03"/>
    <w:rsid w:val="00412BFD"/>
    <w:rsid w:val="00412C2B"/>
    <w:rsid w:val="00412DC8"/>
    <w:rsid w:val="004133C4"/>
    <w:rsid w:val="00413BA7"/>
    <w:rsid w:val="0041400D"/>
    <w:rsid w:val="004143E0"/>
    <w:rsid w:val="00414BCA"/>
    <w:rsid w:val="004158EF"/>
    <w:rsid w:val="00415A5F"/>
    <w:rsid w:val="00415C3E"/>
    <w:rsid w:val="004161FD"/>
    <w:rsid w:val="0041630C"/>
    <w:rsid w:val="00416470"/>
    <w:rsid w:val="00416539"/>
    <w:rsid w:val="0041676B"/>
    <w:rsid w:val="004167A1"/>
    <w:rsid w:val="00416B96"/>
    <w:rsid w:val="0041704D"/>
    <w:rsid w:val="00417270"/>
    <w:rsid w:val="004178D1"/>
    <w:rsid w:val="00417A77"/>
    <w:rsid w:val="0042035D"/>
    <w:rsid w:val="00420922"/>
    <w:rsid w:val="00420A18"/>
    <w:rsid w:val="00420B99"/>
    <w:rsid w:val="00420E3E"/>
    <w:rsid w:val="004213C5"/>
    <w:rsid w:val="00422125"/>
    <w:rsid w:val="00422274"/>
    <w:rsid w:val="00422341"/>
    <w:rsid w:val="0042252C"/>
    <w:rsid w:val="00422728"/>
    <w:rsid w:val="004227A3"/>
    <w:rsid w:val="00422B6C"/>
    <w:rsid w:val="00422C57"/>
    <w:rsid w:val="0042395D"/>
    <w:rsid w:val="004239A7"/>
    <w:rsid w:val="00423D32"/>
    <w:rsid w:val="004241A7"/>
    <w:rsid w:val="00424480"/>
    <w:rsid w:val="0042499B"/>
    <w:rsid w:val="00424B2A"/>
    <w:rsid w:val="004251C8"/>
    <w:rsid w:val="00425319"/>
    <w:rsid w:val="004256FE"/>
    <w:rsid w:val="00425DBC"/>
    <w:rsid w:val="004268BC"/>
    <w:rsid w:val="00426E45"/>
    <w:rsid w:val="00426F15"/>
    <w:rsid w:val="00427371"/>
    <w:rsid w:val="00427634"/>
    <w:rsid w:val="00427957"/>
    <w:rsid w:val="00430659"/>
    <w:rsid w:val="004306A8"/>
    <w:rsid w:val="004306E3"/>
    <w:rsid w:val="00430C50"/>
    <w:rsid w:val="00430CE2"/>
    <w:rsid w:val="004310C7"/>
    <w:rsid w:val="004313EF"/>
    <w:rsid w:val="004314BF"/>
    <w:rsid w:val="004317FE"/>
    <w:rsid w:val="00431850"/>
    <w:rsid w:val="0043187B"/>
    <w:rsid w:val="0043192E"/>
    <w:rsid w:val="00431C23"/>
    <w:rsid w:val="00431C55"/>
    <w:rsid w:val="00431D2B"/>
    <w:rsid w:val="004320ED"/>
    <w:rsid w:val="0043239A"/>
    <w:rsid w:val="00432982"/>
    <w:rsid w:val="004329BD"/>
    <w:rsid w:val="00432EBD"/>
    <w:rsid w:val="00433242"/>
    <w:rsid w:val="0043324F"/>
    <w:rsid w:val="00433905"/>
    <w:rsid w:val="00433995"/>
    <w:rsid w:val="00433B1A"/>
    <w:rsid w:val="00433E27"/>
    <w:rsid w:val="004344BA"/>
    <w:rsid w:val="004344F9"/>
    <w:rsid w:val="0043456A"/>
    <w:rsid w:val="0043463D"/>
    <w:rsid w:val="00434890"/>
    <w:rsid w:val="00434C2D"/>
    <w:rsid w:val="00435534"/>
    <w:rsid w:val="00435685"/>
    <w:rsid w:val="00435837"/>
    <w:rsid w:val="00435973"/>
    <w:rsid w:val="004363A9"/>
    <w:rsid w:val="0043667B"/>
    <w:rsid w:val="00436A19"/>
    <w:rsid w:val="00436B40"/>
    <w:rsid w:val="0043708E"/>
    <w:rsid w:val="004370A6"/>
    <w:rsid w:val="004371C9"/>
    <w:rsid w:val="004377C5"/>
    <w:rsid w:val="00437B1D"/>
    <w:rsid w:val="004400EA"/>
    <w:rsid w:val="00440234"/>
    <w:rsid w:val="0044050B"/>
    <w:rsid w:val="0044112D"/>
    <w:rsid w:val="004411C0"/>
    <w:rsid w:val="004419D1"/>
    <w:rsid w:val="00441FE0"/>
    <w:rsid w:val="00442061"/>
    <w:rsid w:val="00442C78"/>
    <w:rsid w:val="00442F20"/>
    <w:rsid w:val="00442FCF"/>
    <w:rsid w:val="004431E0"/>
    <w:rsid w:val="00443257"/>
    <w:rsid w:val="00443269"/>
    <w:rsid w:val="00443271"/>
    <w:rsid w:val="0044359E"/>
    <w:rsid w:val="004435A8"/>
    <w:rsid w:val="00443B80"/>
    <w:rsid w:val="004446D4"/>
    <w:rsid w:val="00444742"/>
    <w:rsid w:val="0044492E"/>
    <w:rsid w:val="0044497C"/>
    <w:rsid w:val="00444A6E"/>
    <w:rsid w:val="00444D77"/>
    <w:rsid w:val="00445390"/>
    <w:rsid w:val="0044586F"/>
    <w:rsid w:val="00445886"/>
    <w:rsid w:val="004459BE"/>
    <w:rsid w:val="00445FEA"/>
    <w:rsid w:val="00445FEB"/>
    <w:rsid w:val="004466D0"/>
    <w:rsid w:val="004467C2"/>
    <w:rsid w:val="0044688E"/>
    <w:rsid w:val="004472F0"/>
    <w:rsid w:val="004475F5"/>
    <w:rsid w:val="0044771E"/>
    <w:rsid w:val="00447BD2"/>
    <w:rsid w:val="0045007C"/>
    <w:rsid w:val="0045025D"/>
    <w:rsid w:val="00450C20"/>
    <w:rsid w:val="00450C3D"/>
    <w:rsid w:val="00451459"/>
    <w:rsid w:val="004515E3"/>
    <w:rsid w:val="004518BC"/>
    <w:rsid w:val="00451AEE"/>
    <w:rsid w:val="00452034"/>
    <w:rsid w:val="0045212D"/>
    <w:rsid w:val="0045215A"/>
    <w:rsid w:val="004522C2"/>
    <w:rsid w:val="004523E7"/>
    <w:rsid w:val="004528A1"/>
    <w:rsid w:val="004529C1"/>
    <w:rsid w:val="00452DD3"/>
    <w:rsid w:val="00452EAE"/>
    <w:rsid w:val="004532AC"/>
    <w:rsid w:val="004534A5"/>
    <w:rsid w:val="004536B2"/>
    <w:rsid w:val="004537AF"/>
    <w:rsid w:val="00453D8B"/>
    <w:rsid w:val="00454385"/>
    <w:rsid w:val="00454506"/>
    <w:rsid w:val="0045471B"/>
    <w:rsid w:val="00454886"/>
    <w:rsid w:val="00454A3B"/>
    <w:rsid w:val="00454CF6"/>
    <w:rsid w:val="00455021"/>
    <w:rsid w:val="00455155"/>
    <w:rsid w:val="004555B5"/>
    <w:rsid w:val="0045563C"/>
    <w:rsid w:val="00455682"/>
    <w:rsid w:val="0045624B"/>
    <w:rsid w:val="00456802"/>
    <w:rsid w:val="00456983"/>
    <w:rsid w:val="00456DA6"/>
    <w:rsid w:val="00456F26"/>
    <w:rsid w:val="004571F8"/>
    <w:rsid w:val="00457596"/>
    <w:rsid w:val="004578C5"/>
    <w:rsid w:val="00460056"/>
    <w:rsid w:val="004611D4"/>
    <w:rsid w:val="0046143D"/>
    <w:rsid w:val="0046147D"/>
    <w:rsid w:val="004614E5"/>
    <w:rsid w:val="00461638"/>
    <w:rsid w:val="004620AE"/>
    <w:rsid w:val="004628C1"/>
    <w:rsid w:val="004628CF"/>
    <w:rsid w:val="00463062"/>
    <w:rsid w:val="004631CE"/>
    <w:rsid w:val="00463246"/>
    <w:rsid w:val="004641B1"/>
    <w:rsid w:val="00464905"/>
    <w:rsid w:val="00464996"/>
    <w:rsid w:val="00464A2D"/>
    <w:rsid w:val="00464C3A"/>
    <w:rsid w:val="00465185"/>
    <w:rsid w:val="004651E5"/>
    <w:rsid w:val="004655C9"/>
    <w:rsid w:val="00465A14"/>
    <w:rsid w:val="004666BD"/>
    <w:rsid w:val="00466B98"/>
    <w:rsid w:val="00466DA5"/>
    <w:rsid w:val="00466DDE"/>
    <w:rsid w:val="004673A6"/>
    <w:rsid w:val="004673AE"/>
    <w:rsid w:val="0046762B"/>
    <w:rsid w:val="00467C01"/>
    <w:rsid w:val="0047003B"/>
    <w:rsid w:val="0047023E"/>
    <w:rsid w:val="004704D2"/>
    <w:rsid w:val="00470AED"/>
    <w:rsid w:val="0047101C"/>
    <w:rsid w:val="00471259"/>
    <w:rsid w:val="004713C0"/>
    <w:rsid w:val="0047166D"/>
    <w:rsid w:val="0047175D"/>
    <w:rsid w:val="00471BFE"/>
    <w:rsid w:val="00471CCF"/>
    <w:rsid w:val="00471EF2"/>
    <w:rsid w:val="00472328"/>
    <w:rsid w:val="004725A4"/>
    <w:rsid w:val="0047278C"/>
    <w:rsid w:val="00472981"/>
    <w:rsid w:val="00472EEF"/>
    <w:rsid w:val="00473222"/>
    <w:rsid w:val="0047343C"/>
    <w:rsid w:val="004736C8"/>
    <w:rsid w:val="004737D6"/>
    <w:rsid w:val="00473836"/>
    <w:rsid w:val="004739C9"/>
    <w:rsid w:val="00473B95"/>
    <w:rsid w:val="004747E1"/>
    <w:rsid w:val="00474C94"/>
    <w:rsid w:val="00474F71"/>
    <w:rsid w:val="004751A5"/>
    <w:rsid w:val="004751CA"/>
    <w:rsid w:val="0047530A"/>
    <w:rsid w:val="0047539C"/>
    <w:rsid w:val="004753C8"/>
    <w:rsid w:val="00475D91"/>
    <w:rsid w:val="0047651F"/>
    <w:rsid w:val="004769B3"/>
    <w:rsid w:val="00476B95"/>
    <w:rsid w:val="00476F2E"/>
    <w:rsid w:val="00477230"/>
    <w:rsid w:val="0047723A"/>
    <w:rsid w:val="004772EB"/>
    <w:rsid w:val="004775E8"/>
    <w:rsid w:val="0047782F"/>
    <w:rsid w:val="0047790B"/>
    <w:rsid w:val="00477AF6"/>
    <w:rsid w:val="00477B00"/>
    <w:rsid w:val="00477E38"/>
    <w:rsid w:val="00480BEC"/>
    <w:rsid w:val="00480DA1"/>
    <w:rsid w:val="00480F02"/>
    <w:rsid w:val="0048103B"/>
    <w:rsid w:val="0048123A"/>
    <w:rsid w:val="0048127A"/>
    <w:rsid w:val="00481503"/>
    <w:rsid w:val="0048159A"/>
    <w:rsid w:val="0048165A"/>
    <w:rsid w:val="004818F5"/>
    <w:rsid w:val="00481915"/>
    <w:rsid w:val="00481C0D"/>
    <w:rsid w:val="00481D2A"/>
    <w:rsid w:val="00482086"/>
    <w:rsid w:val="00482A65"/>
    <w:rsid w:val="00482CF4"/>
    <w:rsid w:val="00482EE3"/>
    <w:rsid w:val="00482FDB"/>
    <w:rsid w:val="00483128"/>
    <w:rsid w:val="00483365"/>
    <w:rsid w:val="004834A3"/>
    <w:rsid w:val="00483770"/>
    <w:rsid w:val="0048387D"/>
    <w:rsid w:val="00483CE5"/>
    <w:rsid w:val="00483D2B"/>
    <w:rsid w:val="004841FB"/>
    <w:rsid w:val="00484233"/>
    <w:rsid w:val="00484279"/>
    <w:rsid w:val="00484AE8"/>
    <w:rsid w:val="00484F1A"/>
    <w:rsid w:val="0048589F"/>
    <w:rsid w:val="00485ED8"/>
    <w:rsid w:val="004861D7"/>
    <w:rsid w:val="004864FF"/>
    <w:rsid w:val="0048658E"/>
    <w:rsid w:val="0048661B"/>
    <w:rsid w:val="00486818"/>
    <w:rsid w:val="00486A3B"/>
    <w:rsid w:val="00486A73"/>
    <w:rsid w:val="0048703C"/>
    <w:rsid w:val="004870FD"/>
    <w:rsid w:val="004871BE"/>
    <w:rsid w:val="0048740C"/>
    <w:rsid w:val="00487663"/>
    <w:rsid w:val="004877C3"/>
    <w:rsid w:val="004878AA"/>
    <w:rsid w:val="004878E7"/>
    <w:rsid w:val="00487C25"/>
    <w:rsid w:val="00487EFF"/>
    <w:rsid w:val="0049022F"/>
    <w:rsid w:val="0049056B"/>
    <w:rsid w:val="004905E5"/>
    <w:rsid w:val="004906CB"/>
    <w:rsid w:val="00491314"/>
    <w:rsid w:val="004917CE"/>
    <w:rsid w:val="00491A75"/>
    <w:rsid w:val="00491A80"/>
    <w:rsid w:val="00491D84"/>
    <w:rsid w:val="00491EBF"/>
    <w:rsid w:val="00491FE2"/>
    <w:rsid w:val="0049219C"/>
    <w:rsid w:val="0049271E"/>
    <w:rsid w:val="0049365B"/>
    <w:rsid w:val="00494235"/>
    <w:rsid w:val="0049435B"/>
    <w:rsid w:val="00494E05"/>
    <w:rsid w:val="00495216"/>
    <w:rsid w:val="00495375"/>
    <w:rsid w:val="004959DF"/>
    <w:rsid w:val="00495EE7"/>
    <w:rsid w:val="00496437"/>
    <w:rsid w:val="0049671E"/>
    <w:rsid w:val="0049687F"/>
    <w:rsid w:val="00496B9A"/>
    <w:rsid w:val="00496EE9"/>
    <w:rsid w:val="00496F75"/>
    <w:rsid w:val="00496FD6"/>
    <w:rsid w:val="004973FA"/>
    <w:rsid w:val="00497493"/>
    <w:rsid w:val="00497711"/>
    <w:rsid w:val="0049779A"/>
    <w:rsid w:val="00497C39"/>
    <w:rsid w:val="00497E34"/>
    <w:rsid w:val="00497ED8"/>
    <w:rsid w:val="004A010C"/>
    <w:rsid w:val="004A0715"/>
    <w:rsid w:val="004A0B27"/>
    <w:rsid w:val="004A145B"/>
    <w:rsid w:val="004A1597"/>
    <w:rsid w:val="004A16A7"/>
    <w:rsid w:val="004A16B2"/>
    <w:rsid w:val="004A177F"/>
    <w:rsid w:val="004A1D0A"/>
    <w:rsid w:val="004A2190"/>
    <w:rsid w:val="004A219A"/>
    <w:rsid w:val="004A2403"/>
    <w:rsid w:val="004A27C0"/>
    <w:rsid w:val="004A2891"/>
    <w:rsid w:val="004A2BDC"/>
    <w:rsid w:val="004A2C30"/>
    <w:rsid w:val="004A3885"/>
    <w:rsid w:val="004A47C7"/>
    <w:rsid w:val="004A4D5B"/>
    <w:rsid w:val="004A509F"/>
    <w:rsid w:val="004A51BD"/>
    <w:rsid w:val="004A51F6"/>
    <w:rsid w:val="004A5238"/>
    <w:rsid w:val="004A5840"/>
    <w:rsid w:val="004A6107"/>
    <w:rsid w:val="004A6115"/>
    <w:rsid w:val="004A6270"/>
    <w:rsid w:val="004A632E"/>
    <w:rsid w:val="004A6465"/>
    <w:rsid w:val="004A6998"/>
    <w:rsid w:val="004A7068"/>
    <w:rsid w:val="004A743C"/>
    <w:rsid w:val="004A7498"/>
    <w:rsid w:val="004A7889"/>
    <w:rsid w:val="004A7A30"/>
    <w:rsid w:val="004A7A65"/>
    <w:rsid w:val="004A7AB4"/>
    <w:rsid w:val="004A7B91"/>
    <w:rsid w:val="004A7F35"/>
    <w:rsid w:val="004A7FBE"/>
    <w:rsid w:val="004B002C"/>
    <w:rsid w:val="004B061B"/>
    <w:rsid w:val="004B075F"/>
    <w:rsid w:val="004B0843"/>
    <w:rsid w:val="004B0F9A"/>
    <w:rsid w:val="004B1253"/>
    <w:rsid w:val="004B173B"/>
    <w:rsid w:val="004B19C4"/>
    <w:rsid w:val="004B1B47"/>
    <w:rsid w:val="004B2171"/>
    <w:rsid w:val="004B23BD"/>
    <w:rsid w:val="004B246A"/>
    <w:rsid w:val="004B2587"/>
    <w:rsid w:val="004B2697"/>
    <w:rsid w:val="004B2703"/>
    <w:rsid w:val="004B29BD"/>
    <w:rsid w:val="004B2AB3"/>
    <w:rsid w:val="004B2D3C"/>
    <w:rsid w:val="004B2F5E"/>
    <w:rsid w:val="004B3113"/>
    <w:rsid w:val="004B33A6"/>
    <w:rsid w:val="004B3476"/>
    <w:rsid w:val="004B367A"/>
    <w:rsid w:val="004B3683"/>
    <w:rsid w:val="004B3864"/>
    <w:rsid w:val="004B394C"/>
    <w:rsid w:val="004B3A9A"/>
    <w:rsid w:val="004B3E87"/>
    <w:rsid w:val="004B573B"/>
    <w:rsid w:val="004B71EA"/>
    <w:rsid w:val="004B73D8"/>
    <w:rsid w:val="004B7513"/>
    <w:rsid w:val="004B7AFA"/>
    <w:rsid w:val="004B7B35"/>
    <w:rsid w:val="004B7D45"/>
    <w:rsid w:val="004B7FAE"/>
    <w:rsid w:val="004C035B"/>
    <w:rsid w:val="004C0795"/>
    <w:rsid w:val="004C07BF"/>
    <w:rsid w:val="004C09C4"/>
    <w:rsid w:val="004C146A"/>
    <w:rsid w:val="004C152C"/>
    <w:rsid w:val="004C1625"/>
    <w:rsid w:val="004C164A"/>
    <w:rsid w:val="004C1A45"/>
    <w:rsid w:val="004C1B83"/>
    <w:rsid w:val="004C23B5"/>
    <w:rsid w:val="004C24D3"/>
    <w:rsid w:val="004C278E"/>
    <w:rsid w:val="004C2934"/>
    <w:rsid w:val="004C29AE"/>
    <w:rsid w:val="004C2C41"/>
    <w:rsid w:val="004C335F"/>
    <w:rsid w:val="004C3C99"/>
    <w:rsid w:val="004C3F0E"/>
    <w:rsid w:val="004C3F56"/>
    <w:rsid w:val="004C443D"/>
    <w:rsid w:val="004C474D"/>
    <w:rsid w:val="004C4CA8"/>
    <w:rsid w:val="004C50C0"/>
    <w:rsid w:val="004C55D5"/>
    <w:rsid w:val="004C58F0"/>
    <w:rsid w:val="004C58F4"/>
    <w:rsid w:val="004C59C8"/>
    <w:rsid w:val="004C5ACD"/>
    <w:rsid w:val="004C6075"/>
    <w:rsid w:val="004C6321"/>
    <w:rsid w:val="004C67F9"/>
    <w:rsid w:val="004C6968"/>
    <w:rsid w:val="004C6991"/>
    <w:rsid w:val="004C6AAE"/>
    <w:rsid w:val="004C6CBF"/>
    <w:rsid w:val="004C7077"/>
    <w:rsid w:val="004C7187"/>
    <w:rsid w:val="004C7864"/>
    <w:rsid w:val="004C7D79"/>
    <w:rsid w:val="004D0B29"/>
    <w:rsid w:val="004D0C92"/>
    <w:rsid w:val="004D1F12"/>
    <w:rsid w:val="004D24DB"/>
    <w:rsid w:val="004D2708"/>
    <w:rsid w:val="004D27E0"/>
    <w:rsid w:val="004D2ACC"/>
    <w:rsid w:val="004D2E00"/>
    <w:rsid w:val="004D3508"/>
    <w:rsid w:val="004D3559"/>
    <w:rsid w:val="004D3852"/>
    <w:rsid w:val="004D38ED"/>
    <w:rsid w:val="004D3EE4"/>
    <w:rsid w:val="004D4153"/>
    <w:rsid w:val="004D41C8"/>
    <w:rsid w:val="004D4705"/>
    <w:rsid w:val="004D481D"/>
    <w:rsid w:val="004D4830"/>
    <w:rsid w:val="004D4A39"/>
    <w:rsid w:val="004D50CC"/>
    <w:rsid w:val="004D51B0"/>
    <w:rsid w:val="004D531C"/>
    <w:rsid w:val="004D55D9"/>
    <w:rsid w:val="004D58B2"/>
    <w:rsid w:val="004D653C"/>
    <w:rsid w:val="004D7548"/>
    <w:rsid w:val="004D7B22"/>
    <w:rsid w:val="004E039C"/>
    <w:rsid w:val="004E06E4"/>
    <w:rsid w:val="004E083B"/>
    <w:rsid w:val="004E0DD7"/>
    <w:rsid w:val="004E0F06"/>
    <w:rsid w:val="004E1039"/>
    <w:rsid w:val="004E18EC"/>
    <w:rsid w:val="004E209A"/>
    <w:rsid w:val="004E23A9"/>
    <w:rsid w:val="004E241A"/>
    <w:rsid w:val="004E265C"/>
    <w:rsid w:val="004E2E29"/>
    <w:rsid w:val="004E32EC"/>
    <w:rsid w:val="004E35B7"/>
    <w:rsid w:val="004E391A"/>
    <w:rsid w:val="004E3DD9"/>
    <w:rsid w:val="004E3DDB"/>
    <w:rsid w:val="004E4867"/>
    <w:rsid w:val="004E4A89"/>
    <w:rsid w:val="004E4B2B"/>
    <w:rsid w:val="004E4B39"/>
    <w:rsid w:val="004E4C2B"/>
    <w:rsid w:val="004E4C34"/>
    <w:rsid w:val="004E4EA6"/>
    <w:rsid w:val="004E5834"/>
    <w:rsid w:val="004E620E"/>
    <w:rsid w:val="004E64D1"/>
    <w:rsid w:val="004E65C9"/>
    <w:rsid w:val="004E6625"/>
    <w:rsid w:val="004E6723"/>
    <w:rsid w:val="004E6890"/>
    <w:rsid w:val="004E6C3E"/>
    <w:rsid w:val="004E6C8A"/>
    <w:rsid w:val="004E6D69"/>
    <w:rsid w:val="004E6FCA"/>
    <w:rsid w:val="004E7017"/>
    <w:rsid w:val="004E708E"/>
    <w:rsid w:val="004E7C97"/>
    <w:rsid w:val="004E7D7E"/>
    <w:rsid w:val="004F0036"/>
    <w:rsid w:val="004F0287"/>
    <w:rsid w:val="004F0306"/>
    <w:rsid w:val="004F0346"/>
    <w:rsid w:val="004F10D5"/>
    <w:rsid w:val="004F10FF"/>
    <w:rsid w:val="004F16DC"/>
    <w:rsid w:val="004F17C5"/>
    <w:rsid w:val="004F18C5"/>
    <w:rsid w:val="004F19CC"/>
    <w:rsid w:val="004F2077"/>
    <w:rsid w:val="004F25D4"/>
    <w:rsid w:val="004F3399"/>
    <w:rsid w:val="004F35D9"/>
    <w:rsid w:val="004F3851"/>
    <w:rsid w:val="004F3BF2"/>
    <w:rsid w:val="004F42DC"/>
    <w:rsid w:val="004F4373"/>
    <w:rsid w:val="004F46FB"/>
    <w:rsid w:val="004F47B9"/>
    <w:rsid w:val="004F4AE4"/>
    <w:rsid w:val="004F4C26"/>
    <w:rsid w:val="004F4FB2"/>
    <w:rsid w:val="004F4FB9"/>
    <w:rsid w:val="004F5053"/>
    <w:rsid w:val="004F50A9"/>
    <w:rsid w:val="004F5301"/>
    <w:rsid w:val="004F5837"/>
    <w:rsid w:val="004F5973"/>
    <w:rsid w:val="004F5974"/>
    <w:rsid w:val="004F5D24"/>
    <w:rsid w:val="004F60DC"/>
    <w:rsid w:val="004F6665"/>
    <w:rsid w:val="004F6A24"/>
    <w:rsid w:val="004F6B91"/>
    <w:rsid w:val="004F6C86"/>
    <w:rsid w:val="004F6E36"/>
    <w:rsid w:val="004F6E89"/>
    <w:rsid w:val="004F7518"/>
    <w:rsid w:val="004F75DB"/>
    <w:rsid w:val="00500114"/>
    <w:rsid w:val="0050022F"/>
    <w:rsid w:val="0050034E"/>
    <w:rsid w:val="00500A43"/>
    <w:rsid w:val="00500ACE"/>
    <w:rsid w:val="0050137D"/>
    <w:rsid w:val="005015C6"/>
    <w:rsid w:val="00502743"/>
    <w:rsid w:val="00502C8A"/>
    <w:rsid w:val="00502CF7"/>
    <w:rsid w:val="00502DF9"/>
    <w:rsid w:val="00502F06"/>
    <w:rsid w:val="00503197"/>
    <w:rsid w:val="005031F7"/>
    <w:rsid w:val="005037CE"/>
    <w:rsid w:val="0050420D"/>
    <w:rsid w:val="00504293"/>
    <w:rsid w:val="005046DE"/>
    <w:rsid w:val="0050499E"/>
    <w:rsid w:val="00504CEC"/>
    <w:rsid w:val="0050507B"/>
    <w:rsid w:val="005051DC"/>
    <w:rsid w:val="0050568C"/>
    <w:rsid w:val="005059A5"/>
    <w:rsid w:val="00505D0A"/>
    <w:rsid w:val="005060FA"/>
    <w:rsid w:val="005066AC"/>
    <w:rsid w:val="00506B0D"/>
    <w:rsid w:val="00506CC0"/>
    <w:rsid w:val="00507188"/>
    <w:rsid w:val="00507B17"/>
    <w:rsid w:val="00507C21"/>
    <w:rsid w:val="00507F43"/>
    <w:rsid w:val="0051006F"/>
    <w:rsid w:val="0051026A"/>
    <w:rsid w:val="00510305"/>
    <w:rsid w:val="00510322"/>
    <w:rsid w:val="005106FD"/>
    <w:rsid w:val="00510E19"/>
    <w:rsid w:val="00511381"/>
    <w:rsid w:val="00511621"/>
    <w:rsid w:val="00511823"/>
    <w:rsid w:val="00511D26"/>
    <w:rsid w:val="0051257C"/>
    <w:rsid w:val="0051264D"/>
    <w:rsid w:val="005126C0"/>
    <w:rsid w:val="005128CE"/>
    <w:rsid w:val="00512C7E"/>
    <w:rsid w:val="00513873"/>
    <w:rsid w:val="00513977"/>
    <w:rsid w:val="00513A13"/>
    <w:rsid w:val="00513B47"/>
    <w:rsid w:val="00513DED"/>
    <w:rsid w:val="00513DFC"/>
    <w:rsid w:val="005144DD"/>
    <w:rsid w:val="00514552"/>
    <w:rsid w:val="00514603"/>
    <w:rsid w:val="00514ADE"/>
    <w:rsid w:val="0051531C"/>
    <w:rsid w:val="005153AB"/>
    <w:rsid w:val="0051548A"/>
    <w:rsid w:val="00515799"/>
    <w:rsid w:val="00515AE4"/>
    <w:rsid w:val="00515B32"/>
    <w:rsid w:val="00515D69"/>
    <w:rsid w:val="00516225"/>
    <w:rsid w:val="00516331"/>
    <w:rsid w:val="005163BF"/>
    <w:rsid w:val="005165B7"/>
    <w:rsid w:val="005165E7"/>
    <w:rsid w:val="00516DA1"/>
    <w:rsid w:val="0051737D"/>
    <w:rsid w:val="00520F61"/>
    <w:rsid w:val="00521132"/>
    <w:rsid w:val="005211E9"/>
    <w:rsid w:val="005216A7"/>
    <w:rsid w:val="00521B32"/>
    <w:rsid w:val="00521B3B"/>
    <w:rsid w:val="00522372"/>
    <w:rsid w:val="005224C1"/>
    <w:rsid w:val="0052250F"/>
    <w:rsid w:val="00522889"/>
    <w:rsid w:val="005228E2"/>
    <w:rsid w:val="00522B98"/>
    <w:rsid w:val="005238AA"/>
    <w:rsid w:val="00523B91"/>
    <w:rsid w:val="00523D4C"/>
    <w:rsid w:val="00523F03"/>
    <w:rsid w:val="00523F87"/>
    <w:rsid w:val="005240CB"/>
    <w:rsid w:val="005254C4"/>
    <w:rsid w:val="005256B7"/>
    <w:rsid w:val="00525715"/>
    <w:rsid w:val="005258BE"/>
    <w:rsid w:val="00525AE9"/>
    <w:rsid w:val="00525EFD"/>
    <w:rsid w:val="00526034"/>
    <w:rsid w:val="0052626E"/>
    <w:rsid w:val="005265D2"/>
    <w:rsid w:val="0052672D"/>
    <w:rsid w:val="00526825"/>
    <w:rsid w:val="00526857"/>
    <w:rsid w:val="00526865"/>
    <w:rsid w:val="00526934"/>
    <w:rsid w:val="00526ADC"/>
    <w:rsid w:val="00526DC1"/>
    <w:rsid w:val="005271A5"/>
    <w:rsid w:val="005272BE"/>
    <w:rsid w:val="00527721"/>
    <w:rsid w:val="00527BE1"/>
    <w:rsid w:val="0053030B"/>
    <w:rsid w:val="0053051D"/>
    <w:rsid w:val="005306FA"/>
    <w:rsid w:val="005307AD"/>
    <w:rsid w:val="005307E7"/>
    <w:rsid w:val="00530840"/>
    <w:rsid w:val="00530A88"/>
    <w:rsid w:val="00530A94"/>
    <w:rsid w:val="00530A96"/>
    <w:rsid w:val="00531261"/>
    <w:rsid w:val="005314F9"/>
    <w:rsid w:val="00531733"/>
    <w:rsid w:val="00531869"/>
    <w:rsid w:val="00531B56"/>
    <w:rsid w:val="00532108"/>
    <w:rsid w:val="00532256"/>
    <w:rsid w:val="005332BD"/>
    <w:rsid w:val="0053348F"/>
    <w:rsid w:val="0053390B"/>
    <w:rsid w:val="005339DC"/>
    <w:rsid w:val="00533D80"/>
    <w:rsid w:val="005340FC"/>
    <w:rsid w:val="00534590"/>
    <w:rsid w:val="00534920"/>
    <w:rsid w:val="00534B69"/>
    <w:rsid w:val="005352E0"/>
    <w:rsid w:val="005355B0"/>
    <w:rsid w:val="00535628"/>
    <w:rsid w:val="0053621D"/>
    <w:rsid w:val="005369F5"/>
    <w:rsid w:val="00536FFA"/>
    <w:rsid w:val="005378ED"/>
    <w:rsid w:val="00537951"/>
    <w:rsid w:val="00537B1C"/>
    <w:rsid w:val="00540B28"/>
    <w:rsid w:val="00540BE4"/>
    <w:rsid w:val="0054138C"/>
    <w:rsid w:val="005415D9"/>
    <w:rsid w:val="00541655"/>
    <w:rsid w:val="00542876"/>
    <w:rsid w:val="005429AF"/>
    <w:rsid w:val="00542C17"/>
    <w:rsid w:val="00542E56"/>
    <w:rsid w:val="005432B2"/>
    <w:rsid w:val="0054333D"/>
    <w:rsid w:val="005435E2"/>
    <w:rsid w:val="0054386B"/>
    <w:rsid w:val="00543970"/>
    <w:rsid w:val="005439BF"/>
    <w:rsid w:val="005440B9"/>
    <w:rsid w:val="005440E5"/>
    <w:rsid w:val="005446B8"/>
    <w:rsid w:val="00544799"/>
    <w:rsid w:val="0054487B"/>
    <w:rsid w:val="00544BB6"/>
    <w:rsid w:val="00545219"/>
    <w:rsid w:val="00545864"/>
    <w:rsid w:val="00545A33"/>
    <w:rsid w:val="00545FAC"/>
    <w:rsid w:val="00546171"/>
    <w:rsid w:val="00546234"/>
    <w:rsid w:val="005462C0"/>
    <w:rsid w:val="0054648B"/>
    <w:rsid w:val="00546C51"/>
    <w:rsid w:val="00546F82"/>
    <w:rsid w:val="005471F5"/>
    <w:rsid w:val="0054747F"/>
    <w:rsid w:val="005475A1"/>
    <w:rsid w:val="005475D7"/>
    <w:rsid w:val="00547635"/>
    <w:rsid w:val="0054797B"/>
    <w:rsid w:val="00547D09"/>
    <w:rsid w:val="00547EB5"/>
    <w:rsid w:val="0055037B"/>
    <w:rsid w:val="00550453"/>
    <w:rsid w:val="00551522"/>
    <w:rsid w:val="00551A0D"/>
    <w:rsid w:val="00551C30"/>
    <w:rsid w:val="00551C47"/>
    <w:rsid w:val="00551D84"/>
    <w:rsid w:val="005522DC"/>
    <w:rsid w:val="005523B6"/>
    <w:rsid w:val="00552550"/>
    <w:rsid w:val="0055278D"/>
    <w:rsid w:val="005530CB"/>
    <w:rsid w:val="005531C8"/>
    <w:rsid w:val="005531D7"/>
    <w:rsid w:val="0055333C"/>
    <w:rsid w:val="005536B2"/>
    <w:rsid w:val="00553D50"/>
    <w:rsid w:val="005545F4"/>
    <w:rsid w:val="005547A2"/>
    <w:rsid w:val="00555494"/>
    <w:rsid w:val="0055586C"/>
    <w:rsid w:val="005558BA"/>
    <w:rsid w:val="005558E9"/>
    <w:rsid w:val="005559DE"/>
    <w:rsid w:val="00555FF1"/>
    <w:rsid w:val="00556D58"/>
    <w:rsid w:val="00556FFE"/>
    <w:rsid w:val="0055722C"/>
    <w:rsid w:val="00560136"/>
    <w:rsid w:val="0056046C"/>
    <w:rsid w:val="005604CE"/>
    <w:rsid w:val="005606B1"/>
    <w:rsid w:val="0056099B"/>
    <w:rsid w:val="00560E29"/>
    <w:rsid w:val="0056122A"/>
    <w:rsid w:val="00561417"/>
    <w:rsid w:val="00561C0D"/>
    <w:rsid w:val="00561C30"/>
    <w:rsid w:val="00561E75"/>
    <w:rsid w:val="0056205C"/>
    <w:rsid w:val="005623A6"/>
    <w:rsid w:val="005623C8"/>
    <w:rsid w:val="005629CB"/>
    <w:rsid w:val="00562C99"/>
    <w:rsid w:val="00562CA8"/>
    <w:rsid w:val="00562DC3"/>
    <w:rsid w:val="00562EE0"/>
    <w:rsid w:val="00562F44"/>
    <w:rsid w:val="005630C6"/>
    <w:rsid w:val="0056343D"/>
    <w:rsid w:val="0056344F"/>
    <w:rsid w:val="00564275"/>
    <w:rsid w:val="0056469B"/>
    <w:rsid w:val="005646CC"/>
    <w:rsid w:val="005648E0"/>
    <w:rsid w:val="00564C12"/>
    <w:rsid w:val="005651A5"/>
    <w:rsid w:val="0056554A"/>
    <w:rsid w:val="00565CD3"/>
    <w:rsid w:val="0056625D"/>
    <w:rsid w:val="00566675"/>
    <w:rsid w:val="0056735B"/>
    <w:rsid w:val="0056778B"/>
    <w:rsid w:val="00567923"/>
    <w:rsid w:val="00567B3F"/>
    <w:rsid w:val="00567C4A"/>
    <w:rsid w:val="00567CD0"/>
    <w:rsid w:val="00567F14"/>
    <w:rsid w:val="00570C5D"/>
    <w:rsid w:val="00570F4A"/>
    <w:rsid w:val="00571030"/>
    <w:rsid w:val="0057105E"/>
    <w:rsid w:val="0057106B"/>
    <w:rsid w:val="005714EF"/>
    <w:rsid w:val="0057180E"/>
    <w:rsid w:val="00571A45"/>
    <w:rsid w:val="00571DBE"/>
    <w:rsid w:val="005720C2"/>
    <w:rsid w:val="005724CD"/>
    <w:rsid w:val="005728D0"/>
    <w:rsid w:val="00572A7E"/>
    <w:rsid w:val="00572EF4"/>
    <w:rsid w:val="0057303F"/>
    <w:rsid w:val="0057328A"/>
    <w:rsid w:val="0057389B"/>
    <w:rsid w:val="00573C10"/>
    <w:rsid w:val="00573D4A"/>
    <w:rsid w:val="00573D7C"/>
    <w:rsid w:val="00573E65"/>
    <w:rsid w:val="00574054"/>
    <w:rsid w:val="00574C04"/>
    <w:rsid w:val="00574F4A"/>
    <w:rsid w:val="00575191"/>
    <w:rsid w:val="005754B7"/>
    <w:rsid w:val="00575A04"/>
    <w:rsid w:val="00576457"/>
    <w:rsid w:val="005766D7"/>
    <w:rsid w:val="005769A4"/>
    <w:rsid w:val="00576A47"/>
    <w:rsid w:val="00576B4D"/>
    <w:rsid w:val="00576ED5"/>
    <w:rsid w:val="0057714D"/>
    <w:rsid w:val="0057756D"/>
    <w:rsid w:val="00577AB1"/>
    <w:rsid w:val="00577B30"/>
    <w:rsid w:val="00577BE6"/>
    <w:rsid w:val="00577D25"/>
    <w:rsid w:val="00577D63"/>
    <w:rsid w:val="00577E72"/>
    <w:rsid w:val="00577EFE"/>
    <w:rsid w:val="00580036"/>
    <w:rsid w:val="005803D5"/>
    <w:rsid w:val="005804C9"/>
    <w:rsid w:val="005806DF"/>
    <w:rsid w:val="00580B39"/>
    <w:rsid w:val="00580D3F"/>
    <w:rsid w:val="00580E5B"/>
    <w:rsid w:val="00580EE9"/>
    <w:rsid w:val="00581342"/>
    <w:rsid w:val="005816DB"/>
    <w:rsid w:val="00581AA0"/>
    <w:rsid w:val="00581ADF"/>
    <w:rsid w:val="005825C8"/>
    <w:rsid w:val="005828C0"/>
    <w:rsid w:val="005828FC"/>
    <w:rsid w:val="00582D37"/>
    <w:rsid w:val="005830CF"/>
    <w:rsid w:val="005830FC"/>
    <w:rsid w:val="0058387B"/>
    <w:rsid w:val="0058397F"/>
    <w:rsid w:val="005839CB"/>
    <w:rsid w:val="00583B9D"/>
    <w:rsid w:val="00583BE9"/>
    <w:rsid w:val="00583E1F"/>
    <w:rsid w:val="00584054"/>
    <w:rsid w:val="005840B2"/>
    <w:rsid w:val="0058475D"/>
    <w:rsid w:val="00584777"/>
    <w:rsid w:val="00584D54"/>
    <w:rsid w:val="00584F1F"/>
    <w:rsid w:val="0058539B"/>
    <w:rsid w:val="00585771"/>
    <w:rsid w:val="00585C79"/>
    <w:rsid w:val="00585CA8"/>
    <w:rsid w:val="00585CEA"/>
    <w:rsid w:val="00585F0D"/>
    <w:rsid w:val="0058645F"/>
    <w:rsid w:val="00586654"/>
    <w:rsid w:val="005866B3"/>
    <w:rsid w:val="00586D6E"/>
    <w:rsid w:val="00586EA7"/>
    <w:rsid w:val="0058731D"/>
    <w:rsid w:val="00587345"/>
    <w:rsid w:val="00587552"/>
    <w:rsid w:val="0058772C"/>
    <w:rsid w:val="00587BF0"/>
    <w:rsid w:val="00590132"/>
    <w:rsid w:val="00590B1F"/>
    <w:rsid w:val="00590F0D"/>
    <w:rsid w:val="00591040"/>
    <w:rsid w:val="005911D2"/>
    <w:rsid w:val="00592435"/>
    <w:rsid w:val="0059293A"/>
    <w:rsid w:val="00592AA1"/>
    <w:rsid w:val="00592D02"/>
    <w:rsid w:val="00592D87"/>
    <w:rsid w:val="00592DC0"/>
    <w:rsid w:val="0059327C"/>
    <w:rsid w:val="005933F0"/>
    <w:rsid w:val="00593A61"/>
    <w:rsid w:val="00593A89"/>
    <w:rsid w:val="00593BE3"/>
    <w:rsid w:val="00593CAF"/>
    <w:rsid w:val="00593FBA"/>
    <w:rsid w:val="00594325"/>
    <w:rsid w:val="005944DA"/>
    <w:rsid w:val="005945CC"/>
    <w:rsid w:val="00594900"/>
    <w:rsid w:val="00594904"/>
    <w:rsid w:val="005949B7"/>
    <w:rsid w:val="00595404"/>
    <w:rsid w:val="00595CDB"/>
    <w:rsid w:val="00595E6C"/>
    <w:rsid w:val="00596287"/>
    <w:rsid w:val="0059686B"/>
    <w:rsid w:val="005969A8"/>
    <w:rsid w:val="00596CF6"/>
    <w:rsid w:val="00597952"/>
    <w:rsid w:val="005A0868"/>
    <w:rsid w:val="005A08A8"/>
    <w:rsid w:val="005A0955"/>
    <w:rsid w:val="005A0B2A"/>
    <w:rsid w:val="005A0B74"/>
    <w:rsid w:val="005A100A"/>
    <w:rsid w:val="005A1193"/>
    <w:rsid w:val="005A154E"/>
    <w:rsid w:val="005A1676"/>
    <w:rsid w:val="005A17A9"/>
    <w:rsid w:val="005A1993"/>
    <w:rsid w:val="005A1E32"/>
    <w:rsid w:val="005A1FA7"/>
    <w:rsid w:val="005A22B3"/>
    <w:rsid w:val="005A231F"/>
    <w:rsid w:val="005A25B3"/>
    <w:rsid w:val="005A26AF"/>
    <w:rsid w:val="005A29A5"/>
    <w:rsid w:val="005A2B6E"/>
    <w:rsid w:val="005A2D34"/>
    <w:rsid w:val="005A2E99"/>
    <w:rsid w:val="005A2F51"/>
    <w:rsid w:val="005A3189"/>
    <w:rsid w:val="005A362D"/>
    <w:rsid w:val="005A3962"/>
    <w:rsid w:val="005A3CD2"/>
    <w:rsid w:val="005A4A31"/>
    <w:rsid w:val="005A53D4"/>
    <w:rsid w:val="005A5BD1"/>
    <w:rsid w:val="005A6132"/>
    <w:rsid w:val="005A7106"/>
    <w:rsid w:val="005A71E3"/>
    <w:rsid w:val="005A7342"/>
    <w:rsid w:val="005A74DE"/>
    <w:rsid w:val="005A75D9"/>
    <w:rsid w:val="005B02A3"/>
    <w:rsid w:val="005B0704"/>
    <w:rsid w:val="005B070B"/>
    <w:rsid w:val="005B08D9"/>
    <w:rsid w:val="005B10DC"/>
    <w:rsid w:val="005B11FF"/>
    <w:rsid w:val="005B164F"/>
    <w:rsid w:val="005B1EE4"/>
    <w:rsid w:val="005B20D3"/>
    <w:rsid w:val="005B2646"/>
    <w:rsid w:val="005B2AD1"/>
    <w:rsid w:val="005B2F1F"/>
    <w:rsid w:val="005B2FC7"/>
    <w:rsid w:val="005B3BEB"/>
    <w:rsid w:val="005B42C6"/>
    <w:rsid w:val="005B4842"/>
    <w:rsid w:val="005B4A49"/>
    <w:rsid w:val="005B4BA4"/>
    <w:rsid w:val="005B4C26"/>
    <w:rsid w:val="005B5090"/>
    <w:rsid w:val="005B50DC"/>
    <w:rsid w:val="005B52A9"/>
    <w:rsid w:val="005B6391"/>
    <w:rsid w:val="005B656F"/>
    <w:rsid w:val="005B6606"/>
    <w:rsid w:val="005B6937"/>
    <w:rsid w:val="005B6E4B"/>
    <w:rsid w:val="005B6EA5"/>
    <w:rsid w:val="005B758E"/>
    <w:rsid w:val="005B76EE"/>
    <w:rsid w:val="005B7C5D"/>
    <w:rsid w:val="005C0277"/>
    <w:rsid w:val="005C0F97"/>
    <w:rsid w:val="005C108A"/>
    <w:rsid w:val="005C1461"/>
    <w:rsid w:val="005C14B2"/>
    <w:rsid w:val="005C1583"/>
    <w:rsid w:val="005C165A"/>
    <w:rsid w:val="005C1BD2"/>
    <w:rsid w:val="005C1BE1"/>
    <w:rsid w:val="005C2391"/>
    <w:rsid w:val="005C2A2C"/>
    <w:rsid w:val="005C2C2F"/>
    <w:rsid w:val="005C2FEB"/>
    <w:rsid w:val="005C3804"/>
    <w:rsid w:val="005C3849"/>
    <w:rsid w:val="005C414D"/>
    <w:rsid w:val="005C4292"/>
    <w:rsid w:val="005C4636"/>
    <w:rsid w:val="005C4C29"/>
    <w:rsid w:val="005C5060"/>
    <w:rsid w:val="005C50E0"/>
    <w:rsid w:val="005C55CD"/>
    <w:rsid w:val="005C5A94"/>
    <w:rsid w:val="005C5DB4"/>
    <w:rsid w:val="005C5DE4"/>
    <w:rsid w:val="005C65E8"/>
    <w:rsid w:val="005C69C2"/>
    <w:rsid w:val="005C6B35"/>
    <w:rsid w:val="005C6D26"/>
    <w:rsid w:val="005C6EE5"/>
    <w:rsid w:val="005C74FE"/>
    <w:rsid w:val="005C773C"/>
    <w:rsid w:val="005D02CE"/>
    <w:rsid w:val="005D03E3"/>
    <w:rsid w:val="005D09CB"/>
    <w:rsid w:val="005D0CF7"/>
    <w:rsid w:val="005D1431"/>
    <w:rsid w:val="005D190A"/>
    <w:rsid w:val="005D19EB"/>
    <w:rsid w:val="005D1D82"/>
    <w:rsid w:val="005D1DFB"/>
    <w:rsid w:val="005D1E25"/>
    <w:rsid w:val="005D23AD"/>
    <w:rsid w:val="005D24ED"/>
    <w:rsid w:val="005D2514"/>
    <w:rsid w:val="005D2609"/>
    <w:rsid w:val="005D2881"/>
    <w:rsid w:val="005D2F80"/>
    <w:rsid w:val="005D3413"/>
    <w:rsid w:val="005D3FA1"/>
    <w:rsid w:val="005D4031"/>
    <w:rsid w:val="005D451B"/>
    <w:rsid w:val="005D4AF6"/>
    <w:rsid w:val="005D4F60"/>
    <w:rsid w:val="005D5365"/>
    <w:rsid w:val="005D5CE1"/>
    <w:rsid w:val="005D6233"/>
    <w:rsid w:val="005D638B"/>
    <w:rsid w:val="005D67FD"/>
    <w:rsid w:val="005D701C"/>
    <w:rsid w:val="005D7062"/>
    <w:rsid w:val="005D78AB"/>
    <w:rsid w:val="005D799D"/>
    <w:rsid w:val="005E0421"/>
    <w:rsid w:val="005E095A"/>
    <w:rsid w:val="005E0A4E"/>
    <w:rsid w:val="005E0FCE"/>
    <w:rsid w:val="005E15F1"/>
    <w:rsid w:val="005E1884"/>
    <w:rsid w:val="005E1B86"/>
    <w:rsid w:val="005E1F05"/>
    <w:rsid w:val="005E22B2"/>
    <w:rsid w:val="005E25A6"/>
    <w:rsid w:val="005E263F"/>
    <w:rsid w:val="005E2B10"/>
    <w:rsid w:val="005E2BF2"/>
    <w:rsid w:val="005E2D9E"/>
    <w:rsid w:val="005E2E27"/>
    <w:rsid w:val="005E2E7B"/>
    <w:rsid w:val="005E2EDD"/>
    <w:rsid w:val="005E33E7"/>
    <w:rsid w:val="005E353D"/>
    <w:rsid w:val="005E3543"/>
    <w:rsid w:val="005E3544"/>
    <w:rsid w:val="005E3D20"/>
    <w:rsid w:val="005E4160"/>
    <w:rsid w:val="005E41DA"/>
    <w:rsid w:val="005E45C2"/>
    <w:rsid w:val="005E4A99"/>
    <w:rsid w:val="005E4E73"/>
    <w:rsid w:val="005E4E7C"/>
    <w:rsid w:val="005E4EE8"/>
    <w:rsid w:val="005E56E1"/>
    <w:rsid w:val="005E5959"/>
    <w:rsid w:val="005E5A48"/>
    <w:rsid w:val="005E6385"/>
    <w:rsid w:val="005E69B7"/>
    <w:rsid w:val="005E6BF8"/>
    <w:rsid w:val="005E6C7F"/>
    <w:rsid w:val="005E7060"/>
    <w:rsid w:val="005E78EA"/>
    <w:rsid w:val="005E7B92"/>
    <w:rsid w:val="005E7CDF"/>
    <w:rsid w:val="005E7DED"/>
    <w:rsid w:val="005F037E"/>
    <w:rsid w:val="005F04AD"/>
    <w:rsid w:val="005F09BC"/>
    <w:rsid w:val="005F0C11"/>
    <w:rsid w:val="005F116C"/>
    <w:rsid w:val="005F134B"/>
    <w:rsid w:val="005F1489"/>
    <w:rsid w:val="005F2242"/>
    <w:rsid w:val="005F245E"/>
    <w:rsid w:val="005F2564"/>
    <w:rsid w:val="005F28D5"/>
    <w:rsid w:val="005F2A6D"/>
    <w:rsid w:val="005F2DB6"/>
    <w:rsid w:val="005F3189"/>
    <w:rsid w:val="005F3194"/>
    <w:rsid w:val="005F3313"/>
    <w:rsid w:val="005F3543"/>
    <w:rsid w:val="005F3833"/>
    <w:rsid w:val="005F3A78"/>
    <w:rsid w:val="005F40AA"/>
    <w:rsid w:val="005F4AC9"/>
    <w:rsid w:val="005F4E71"/>
    <w:rsid w:val="005F57B5"/>
    <w:rsid w:val="005F5CB5"/>
    <w:rsid w:val="005F5D19"/>
    <w:rsid w:val="005F5F63"/>
    <w:rsid w:val="005F6DE2"/>
    <w:rsid w:val="005F6EB7"/>
    <w:rsid w:val="005F7533"/>
    <w:rsid w:val="005F7940"/>
    <w:rsid w:val="005F7AF9"/>
    <w:rsid w:val="005F7C97"/>
    <w:rsid w:val="005F7F85"/>
    <w:rsid w:val="00600019"/>
    <w:rsid w:val="006000A8"/>
    <w:rsid w:val="00600450"/>
    <w:rsid w:val="0060065A"/>
    <w:rsid w:val="00600682"/>
    <w:rsid w:val="006006D3"/>
    <w:rsid w:val="00600E19"/>
    <w:rsid w:val="00600E24"/>
    <w:rsid w:val="00601455"/>
    <w:rsid w:val="006017FA"/>
    <w:rsid w:val="00601904"/>
    <w:rsid w:val="00601A0C"/>
    <w:rsid w:val="00601B73"/>
    <w:rsid w:val="00601E3D"/>
    <w:rsid w:val="00602118"/>
    <w:rsid w:val="0060214B"/>
    <w:rsid w:val="00602E43"/>
    <w:rsid w:val="00602F8E"/>
    <w:rsid w:val="00603176"/>
    <w:rsid w:val="006034A2"/>
    <w:rsid w:val="0060351B"/>
    <w:rsid w:val="006042B0"/>
    <w:rsid w:val="00604B6E"/>
    <w:rsid w:val="00604B76"/>
    <w:rsid w:val="00604C2C"/>
    <w:rsid w:val="00604D8F"/>
    <w:rsid w:val="00604E9A"/>
    <w:rsid w:val="006050D7"/>
    <w:rsid w:val="00605417"/>
    <w:rsid w:val="006055EA"/>
    <w:rsid w:val="0060589E"/>
    <w:rsid w:val="0060654C"/>
    <w:rsid w:val="00606718"/>
    <w:rsid w:val="006067FE"/>
    <w:rsid w:val="006069D3"/>
    <w:rsid w:val="00606C0D"/>
    <w:rsid w:val="006072E4"/>
    <w:rsid w:val="00607910"/>
    <w:rsid w:val="00607B13"/>
    <w:rsid w:val="00607E22"/>
    <w:rsid w:val="0061044E"/>
    <w:rsid w:val="006104DA"/>
    <w:rsid w:val="00610A69"/>
    <w:rsid w:val="00610E0C"/>
    <w:rsid w:val="0061168A"/>
    <w:rsid w:val="0061170F"/>
    <w:rsid w:val="006117BD"/>
    <w:rsid w:val="006117D9"/>
    <w:rsid w:val="0061193B"/>
    <w:rsid w:val="00611A0B"/>
    <w:rsid w:val="006122EB"/>
    <w:rsid w:val="00612401"/>
    <w:rsid w:val="00612A21"/>
    <w:rsid w:val="00613349"/>
    <w:rsid w:val="006133C3"/>
    <w:rsid w:val="00613593"/>
    <w:rsid w:val="006135C7"/>
    <w:rsid w:val="00613630"/>
    <w:rsid w:val="006140BA"/>
    <w:rsid w:val="00614256"/>
    <w:rsid w:val="006143AB"/>
    <w:rsid w:val="00614A82"/>
    <w:rsid w:val="00614BFC"/>
    <w:rsid w:val="0061531F"/>
    <w:rsid w:val="00615F8B"/>
    <w:rsid w:val="00615F99"/>
    <w:rsid w:val="00616A76"/>
    <w:rsid w:val="00616C70"/>
    <w:rsid w:val="00616CCA"/>
    <w:rsid w:val="00616CFA"/>
    <w:rsid w:val="0061726A"/>
    <w:rsid w:val="00617360"/>
    <w:rsid w:val="006178E0"/>
    <w:rsid w:val="00617AED"/>
    <w:rsid w:val="00620836"/>
    <w:rsid w:val="00620A3F"/>
    <w:rsid w:val="00620B6E"/>
    <w:rsid w:val="00620E11"/>
    <w:rsid w:val="006214CA"/>
    <w:rsid w:val="00621795"/>
    <w:rsid w:val="006218D0"/>
    <w:rsid w:val="0062198B"/>
    <w:rsid w:val="00621AB3"/>
    <w:rsid w:val="00621AD0"/>
    <w:rsid w:val="00621C4F"/>
    <w:rsid w:val="00621CE4"/>
    <w:rsid w:val="00621D49"/>
    <w:rsid w:val="00621DA7"/>
    <w:rsid w:val="00621FF6"/>
    <w:rsid w:val="0062207F"/>
    <w:rsid w:val="00622532"/>
    <w:rsid w:val="00622EBE"/>
    <w:rsid w:val="00623061"/>
    <w:rsid w:val="006230DB"/>
    <w:rsid w:val="00623601"/>
    <w:rsid w:val="006236AD"/>
    <w:rsid w:val="0062379E"/>
    <w:rsid w:val="00623B5E"/>
    <w:rsid w:val="006241EE"/>
    <w:rsid w:val="00624717"/>
    <w:rsid w:val="00624EAD"/>
    <w:rsid w:val="006252CE"/>
    <w:rsid w:val="00625927"/>
    <w:rsid w:val="00625BBF"/>
    <w:rsid w:val="00625BC1"/>
    <w:rsid w:val="00625E7D"/>
    <w:rsid w:val="00626234"/>
    <w:rsid w:val="00627239"/>
    <w:rsid w:val="00627359"/>
    <w:rsid w:val="0062739D"/>
    <w:rsid w:val="00627495"/>
    <w:rsid w:val="0062752D"/>
    <w:rsid w:val="006277C9"/>
    <w:rsid w:val="00627F8B"/>
    <w:rsid w:val="00630115"/>
    <w:rsid w:val="00630456"/>
    <w:rsid w:val="00630A24"/>
    <w:rsid w:val="0063135A"/>
    <w:rsid w:val="00631773"/>
    <w:rsid w:val="0063186D"/>
    <w:rsid w:val="00631ACA"/>
    <w:rsid w:val="00631B0C"/>
    <w:rsid w:val="00631BFC"/>
    <w:rsid w:val="00631D24"/>
    <w:rsid w:val="006320CE"/>
    <w:rsid w:val="00632397"/>
    <w:rsid w:val="00632592"/>
    <w:rsid w:val="00632D3C"/>
    <w:rsid w:val="006331F4"/>
    <w:rsid w:val="00633463"/>
    <w:rsid w:val="00633929"/>
    <w:rsid w:val="00633B20"/>
    <w:rsid w:val="00633D96"/>
    <w:rsid w:val="00633E0B"/>
    <w:rsid w:val="00634118"/>
    <w:rsid w:val="00634492"/>
    <w:rsid w:val="006344FB"/>
    <w:rsid w:val="006346AD"/>
    <w:rsid w:val="00634963"/>
    <w:rsid w:val="00634FE8"/>
    <w:rsid w:val="006350A6"/>
    <w:rsid w:val="006353E7"/>
    <w:rsid w:val="006357BF"/>
    <w:rsid w:val="006358DD"/>
    <w:rsid w:val="0063593C"/>
    <w:rsid w:val="00636072"/>
    <w:rsid w:val="006362EB"/>
    <w:rsid w:val="00636388"/>
    <w:rsid w:val="006364C8"/>
    <w:rsid w:val="00636D1E"/>
    <w:rsid w:val="00636FD8"/>
    <w:rsid w:val="00637002"/>
    <w:rsid w:val="00637353"/>
    <w:rsid w:val="00637428"/>
    <w:rsid w:val="0063747C"/>
    <w:rsid w:val="00637513"/>
    <w:rsid w:val="00637922"/>
    <w:rsid w:val="00637F29"/>
    <w:rsid w:val="006400AB"/>
    <w:rsid w:val="006407C0"/>
    <w:rsid w:val="00640ACF"/>
    <w:rsid w:val="00641E8B"/>
    <w:rsid w:val="006420B2"/>
    <w:rsid w:val="00642279"/>
    <w:rsid w:val="006423EF"/>
    <w:rsid w:val="006424FD"/>
    <w:rsid w:val="006425B0"/>
    <w:rsid w:val="0064260A"/>
    <w:rsid w:val="00642763"/>
    <w:rsid w:val="00643010"/>
    <w:rsid w:val="0064333F"/>
    <w:rsid w:val="0064360C"/>
    <w:rsid w:val="00643760"/>
    <w:rsid w:val="006437EC"/>
    <w:rsid w:val="006439F6"/>
    <w:rsid w:val="00643A6A"/>
    <w:rsid w:val="00643E85"/>
    <w:rsid w:val="006443D1"/>
    <w:rsid w:val="00644CA8"/>
    <w:rsid w:val="006451B4"/>
    <w:rsid w:val="0064536A"/>
    <w:rsid w:val="006454D7"/>
    <w:rsid w:val="006458FE"/>
    <w:rsid w:val="00645CAF"/>
    <w:rsid w:val="00646084"/>
    <w:rsid w:val="00646093"/>
    <w:rsid w:val="00646132"/>
    <w:rsid w:val="00646345"/>
    <w:rsid w:val="00646577"/>
    <w:rsid w:val="006465CD"/>
    <w:rsid w:val="00646607"/>
    <w:rsid w:val="00646736"/>
    <w:rsid w:val="006469CF"/>
    <w:rsid w:val="00646DB6"/>
    <w:rsid w:val="00646F49"/>
    <w:rsid w:val="00647468"/>
    <w:rsid w:val="0064757C"/>
    <w:rsid w:val="00647C41"/>
    <w:rsid w:val="0065009A"/>
    <w:rsid w:val="00650568"/>
    <w:rsid w:val="006505A0"/>
    <w:rsid w:val="00650B44"/>
    <w:rsid w:val="00650CBA"/>
    <w:rsid w:val="00650E5A"/>
    <w:rsid w:val="00651B93"/>
    <w:rsid w:val="00651CB0"/>
    <w:rsid w:val="00651CC4"/>
    <w:rsid w:val="00651F2B"/>
    <w:rsid w:val="006522F7"/>
    <w:rsid w:val="00652460"/>
    <w:rsid w:val="00652B29"/>
    <w:rsid w:val="00652B42"/>
    <w:rsid w:val="00652BAA"/>
    <w:rsid w:val="00653164"/>
    <w:rsid w:val="00653DF0"/>
    <w:rsid w:val="006541D3"/>
    <w:rsid w:val="0065423D"/>
    <w:rsid w:val="00654972"/>
    <w:rsid w:val="00654990"/>
    <w:rsid w:val="00654FAB"/>
    <w:rsid w:val="00655426"/>
    <w:rsid w:val="00655B36"/>
    <w:rsid w:val="00656920"/>
    <w:rsid w:val="0065699F"/>
    <w:rsid w:val="00656D86"/>
    <w:rsid w:val="00657061"/>
    <w:rsid w:val="006573A7"/>
    <w:rsid w:val="00657C75"/>
    <w:rsid w:val="006601AC"/>
    <w:rsid w:val="00660701"/>
    <w:rsid w:val="00660A6B"/>
    <w:rsid w:val="00660BBE"/>
    <w:rsid w:val="00660CBD"/>
    <w:rsid w:val="00661448"/>
    <w:rsid w:val="006616AA"/>
    <w:rsid w:val="0066187B"/>
    <w:rsid w:val="00661B5B"/>
    <w:rsid w:val="00662510"/>
    <w:rsid w:val="00662557"/>
    <w:rsid w:val="00662B0A"/>
    <w:rsid w:val="00662D8D"/>
    <w:rsid w:val="00662EB8"/>
    <w:rsid w:val="00662F0A"/>
    <w:rsid w:val="0066301A"/>
    <w:rsid w:val="00663A27"/>
    <w:rsid w:val="00663C7C"/>
    <w:rsid w:val="006644F0"/>
    <w:rsid w:val="006648CD"/>
    <w:rsid w:val="00664BB5"/>
    <w:rsid w:val="00664F4C"/>
    <w:rsid w:val="00665467"/>
    <w:rsid w:val="006655AD"/>
    <w:rsid w:val="00665B3F"/>
    <w:rsid w:val="00665D11"/>
    <w:rsid w:val="00665D47"/>
    <w:rsid w:val="00665DBF"/>
    <w:rsid w:val="00666661"/>
    <w:rsid w:val="006666EB"/>
    <w:rsid w:val="006668E4"/>
    <w:rsid w:val="006676AA"/>
    <w:rsid w:val="006702CF"/>
    <w:rsid w:val="006704D8"/>
    <w:rsid w:val="00670B80"/>
    <w:rsid w:val="00670F4F"/>
    <w:rsid w:val="00671739"/>
    <w:rsid w:val="0067220F"/>
    <w:rsid w:val="00672D60"/>
    <w:rsid w:val="00672D94"/>
    <w:rsid w:val="0067333E"/>
    <w:rsid w:val="0067370D"/>
    <w:rsid w:val="00673A3B"/>
    <w:rsid w:val="00674584"/>
    <w:rsid w:val="00674FC2"/>
    <w:rsid w:val="0067501F"/>
    <w:rsid w:val="00675266"/>
    <w:rsid w:val="006753A4"/>
    <w:rsid w:val="0067570D"/>
    <w:rsid w:val="00675A70"/>
    <w:rsid w:val="00675C51"/>
    <w:rsid w:val="00676056"/>
    <w:rsid w:val="006762F7"/>
    <w:rsid w:val="006763CD"/>
    <w:rsid w:val="00676AC6"/>
    <w:rsid w:val="00677112"/>
    <w:rsid w:val="0067722F"/>
    <w:rsid w:val="006773C6"/>
    <w:rsid w:val="006773DB"/>
    <w:rsid w:val="00677704"/>
    <w:rsid w:val="00677840"/>
    <w:rsid w:val="00677D3B"/>
    <w:rsid w:val="006804F5"/>
    <w:rsid w:val="00680998"/>
    <w:rsid w:val="006809F6"/>
    <w:rsid w:val="00680F6F"/>
    <w:rsid w:val="00681296"/>
    <w:rsid w:val="006813FF"/>
    <w:rsid w:val="0068145C"/>
    <w:rsid w:val="00681B82"/>
    <w:rsid w:val="00681EA3"/>
    <w:rsid w:val="0068215E"/>
    <w:rsid w:val="00682496"/>
    <w:rsid w:val="00682654"/>
    <w:rsid w:val="006829AF"/>
    <w:rsid w:val="00682A41"/>
    <w:rsid w:val="00682AA3"/>
    <w:rsid w:val="00682F31"/>
    <w:rsid w:val="0068332B"/>
    <w:rsid w:val="00683395"/>
    <w:rsid w:val="00683486"/>
    <w:rsid w:val="00683D80"/>
    <w:rsid w:val="00683F1D"/>
    <w:rsid w:val="00683F79"/>
    <w:rsid w:val="0068498F"/>
    <w:rsid w:val="006849F5"/>
    <w:rsid w:val="00684C4F"/>
    <w:rsid w:val="00684E6B"/>
    <w:rsid w:val="00685436"/>
    <w:rsid w:val="0068563C"/>
    <w:rsid w:val="00685A71"/>
    <w:rsid w:val="00685ED0"/>
    <w:rsid w:val="006860D0"/>
    <w:rsid w:val="00686418"/>
    <w:rsid w:val="006865A2"/>
    <w:rsid w:val="006866CB"/>
    <w:rsid w:val="006868CB"/>
    <w:rsid w:val="00686BEF"/>
    <w:rsid w:val="00686CBC"/>
    <w:rsid w:val="00686D4E"/>
    <w:rsid w:val="00686D9D"/>
    <w:rsid w:val="006872FE"/>
    <w:rsid w:val="006876D8"/>
    <w:rsid w:val="006876FD"/>
    <w:rsid w:val="00687D3B"/>
    <w:rsid w:val="00687DCC"/>
    <w:rsid w:val="0069039B"/>
    <w:rsid w:val="00690BFF"/>
    <w:rsid w:val="00691B2C"/>
    <w:rsid w:val="00691C00"/>
    <w:rsid w:val="00691C46"/>
    <w:rsid w:val="0069279B"/>
    <w:rsid w:val="00692B89"/>
    <w:rsid w:val="00692E14"/>
    <w:rsid w:val="00693275"/>
    <w:rsid w:val="0069371F"/>
    <w:rsid w:val="006943FE"/>
    <w:rsid w:val="0069476D"/>
    <w:rsid w:val="00694994"/>
    <w:rsid w:val="00694A2F"/>
    <w:rsid w:val="00694F85"/>
    <w:rsid w:val="006952AC"/>
    <w:rsid w:val="006957F4"/>
    <w:rsid w:val="00695847"/>
    <w:rsid w:val="00695CBE"/>
    <w:rsid w:val="00695E66"/>
    <w:rsid w:val="0069625D"/>
    <w:rsid w:val="006962F7"/>
    <w:rsid w:val="00696309"/>
    <w:rsid w:val="00696430"/>
    <w:rsid w:val="006966BE"/>
    <w:rsid w:val="0069689E"/>
    <w:rsid w:val="006978E7"/>
    <w:rsid w:val="006A0522"/>
    <w:rsid w:val="006A0633"/>
    <w:rsid w:val="006A0BB2"/>
    <w:rsid w:val="006A0BB8"/>
    <w:rsid w:val="006A0F9F"/>
    <w:rsid w:val="006A125C"/>
    <w:rsid w:val="006A1569"/>
    <w:rsid w:val="006A1575"/>
    <w:rsid w:val="006A19B1"/>
    <w:rsid w:val="006A1A5E"/>
    <w:rsid w:val="006A1D42"/>
    <w:rsid w:val="006A214C"/>
    <w:rsid w:val="006A2C0E"/>
    <w:rsid w:val="006A2D7F"/>
    <w:rsid w:val="006A2F59"/>
    <w:rsid w:val="006A3359"/>
    <w:rsid w:val="006A3611"/>
    <w:rsid w:val="006A366D"/>
    <w:rsid w:val="006A39DA"/>
    <w:rsid w:val="006A3D80"/>
    <w:rsid w:val="006A3F4B"/>
    <w:rsid w:val="006A407E"/>
    <w:rsid w:val="006A45DC"/>
    <w:rsid w:val="006A47C9"/>
    <w:rsid w:val="006A4981"/>
    <w:rsid w:val="006A4D29"/>
    <w:rsid w:val="006A4EB3"/>
    <w:rsid w:val="006A4F2F"/>
    <w:rsid w:val="006A569F"/>
    <w:rsid w:val="006A57F3"/>
    <w:rsid w:val="006A5873"/>
    <w:rsid w:val="006A5B4B"/>
    <w:rsid w:val="006A60A4"/>
    <w:rsid w:val="006A61F6"/>
    <w:rsid w:val="006A6C7B"/>
    <w:rsid w:val="006A6DB0"/>
    <w:rsid w:val="006A70E6"/>
    <w:rsid w:val="006A729D"/>
    <w:rsid w:val="006A7616"/>
    <w:rsid w:val="006A7707"/>
    <w:rsid w:val="006A7801"/>
    <w:rsid w:val="006A7CC1"/>
    <w:rsid w:val="006B0072"/>
    <w:rsid w:val="006B0514"/>
    <w:rsid w:val="006B0C38"/>
    <w:rsid w:val="006B0CC4"/>
    <w:rsid w:val="006B0F89"/>
    <w:rsid w:val="006B134F"/>
    <w:rsid w:val="006B1604"/>
    <w:rsid w:val="006B198E"/>
    <w:rsid w:val="006B1E9F"/>
    <w:rsid w:val="006B2368"/>
    <w:rsid w:val="006B2612"/>
    <w:rsid w:val="006B2719"/>
    <w:rsid w:val="006B2785"/>
    <w:rsid w:val="006B3482"/>
    <w:rsid w:val="006B374C"/>
    <w:rsid w:val="006B3F90"/>
    <w:rsid w:val="006B42EA"/>
    <w:rsid w:val="006B4303"/>
    <w:rsid w:val="006B4645"/>
    <w:rsid w:val="006B478D"/>
    <w:rsid w:val="006B493A"/>
    <w:rsid w:val="006B4B6A"/>
    <w:rsid w:val="006B52C3"/>
    <w:rsid w:val="006B5C6C"/>
    <w:rsid w:val="006B5D43"/>
    <w:rsid w:val="006B62BC"/>
    <w:rsid w:val="006B6B61"/>
    <w:rsid w:val="006B6CE5"/>
    <w:rsid w:val="006B6D23"/>
    <w:rsid w:val="006B6D33"/>
    <w:rsid w:val="006B7C21"/>
    <w:rsid w:val="006B7F6A"/>
    <w:rsid w:val="006C011A"/>
    <w:rsid w:val="006C038C"/>
    <w:rsid w:val="006C0AA1"/>
    <w:rsid w:val="006C0D3E"/>
    <w:rsid w:val="006C1451"/>
    <w:rsid w:val="006C199A"/>
    <w:rsid w:val="006C1E18"/>
    <w:rsid w:val="006C225F"/>
    <w:rsid w:val="006C2380"/>
    <w:rsid w:val="006C25A9"/>
    <w:rsid w:val="006C287F"/>
    <w:rsid w:val="006C2944"/>
    <w:rsid w:val="006C2AF1"/>
    <w:rsid w:val="006C2CAC"/>
    <w:rsid w:val="006C2DF7"/>
    <w:rsid w:val="006C2E46"/>
    <w:rsid w:val="006C33D8"/>
    <w:rsid w:val="006C396A"/>
    <w:rsid w:val="006C3B0F"/>
    <w:rsid w:val="006C3D24"/>
    <w:rsid w:val="006C3DDC"/>
    <w:rsid w:val="006C4A8B"/>
    <w:rsid w:val="006C508A"/>
    <w:rsid w:val="006C50BF"/>
    <w:rsid w:val="006C60AB"/>
    <w:rsid w:val="006C63BF"/>
    <w:rsid w:val="006C7090"/>
    <w:rsid w:val="006C70BD"/>
    <w:rsid w:val="006C711F"/>
    <w:rsid w:val="006C726A"/>
    <w:rsid w:val="006C731D"/>
    <w:rsid w:val="006C73FD"/>
    <w:rsid w:val="006C7474"/>
    <w:rsid w:val="006C7A3D"/>
    <w:rsid w:val="006D0116"/>
    <w:rsid w:val="006D06F3"/>
    <w:rsid w:val="006D0CF3"/>
    <w:rsid w:val="006D0F5F"/>
    <w:rsid w:val="006D1470"/>
    <w:rsid w:val="006D14F2"/>
    <w:rsid w:val="006D17E5"/>
    <w:rsid w:val="006D1AF7"/>
    <w:rsid w:val="006D2123"/>
    <w:rsid w:val="006D2406"/>
    <w:rsid w:val="006D250C"/>
    <w:rsid w:val="006D2805"/>
    <w:rsid w:val="006D2B3B"/>
    <w:rsid w:val="006D2C1B"/>
    <w:rsid w:val="006D2EF8"/>
    <w:rsid w:val="006D2F5C"/>
    <w:rsid w:val="006D3002"/>
    <w:rsid w:val="006D3256"/>
    <w:rsid w:val="006D3493"/>
    <w:rsid w:val="006D3758"/>
    <w:rsid w:val="006D3988"/>
    <w:rsid w:val="006D3A4D"/>
    <w:rsid w:val="006D427E"/>
    <w:rsid w:val="006D47C8"/>
    <w:rsid w:val="006D4C40"/>
    <w:rsid w:val="006D4FA1"/>
    <w:rsid w:val="006D4FE8"/>
    <w:rsid w:val="006D5392"/>
    <w:rsid w:val="006D5546"/>
    <w:rsid w:val="006D58E3"/>
    <w:rsid w:val="006D5C75"/>
    <w:rsid w:val="006D6136"/>
    <w:rsid w:val="006D67BA"/>
    <w:rsid w:val="006D688B"/>
    <w:rsid w:val="006D6A9B"/>
    <w:rsid w:val="006D745C"/>
    <w:rsid w:val="006D7F78"/>
    <w:rsid w:val="006E03C8"/>
    <w:rsid w:val="006E0418"/>
    <w:rsid w:val="006E04CE"/>
    <w:rsid w:val="006E0A7A"/>
    <w:rsid w:val="006E0C06"/>
    <w:rsid w:val="006E0D44"/>
    <w:rsid w:val="006E13E1"/>
    <w:rsid w:val="006E1A92"/>
    <w:rsid w:val="006E1FA0"/>
    <w:rsid w:val="006E2807"/>
    <w:rsid w:val="006E30C1"/>
    <w:rsid w:val="006E34CC"/>
    <w:rsid w:val="006E3E4E"/>
    <w:rsid w:val="006E3FFB"/>
    <w:rsid w:val="006E446B"/>
    <w:rsid w:val="006E4694"/>
    <w:rsid w:val="006E4A0D"/>
    <w:rsid w:val="006E4ADD"/>
    <w:rsid w:val="006E4CB7"/>
    <w:rsid w:val="006E4EEC"/>
    <w:rsid w:val="006E4F3E"/>
    <w:rsid w:val="006E5574"/>
    <w:rsid w:val="006E5B3F"/>
    <w:rsid w:val="006E5BF5"/>
    <w:rsid w:val="006E5C1C"/>
    <w:rsid w:val="006E62A4"/>
    <w:rsid w:val="006E649C"/>
    <w:rsid w:val="006E6614"/>
    <w:rsid w:val="006E66E1"/>
    <w:rsid w:val="006E6A8C"/>
    <w:rsid w:val="006E6E4C"/>
    <w:rsid w:val="006E70C7"/>
    <w:rsid w:val="006E71C4"/>
    <w:rsid w:val="006E79BD"/>
    <w:rsid w:val="006E79E5"/>
    <w:rsid w:val="006F00EB"/>
    <w:rsid w:val="006F0561"/>
    <w:rsid w:val="006F0715"/>
    <w:rsid w:val="006F080C"/>
    <w:rsid w:val="006F0F6B"/>
    <w:rsid w:val="006F1BBC"/>
    <w:rsid w:val="006F1E2D"/>
    <w:rsid w:val="006F22CF"/>
    <w:rsid w:val="006F2362"/>
    <w:rsid w:val="006F277C"/>
    <w:rsid w:val="006F2BAA"/>
    <w:rsid w:val="006F2E87"/>
    <w:rsid w:val="006F3343"/>
    <w:rsid w:val="006F35E4"/>
    <w:rsid w:val="006F3B8A"/>
    <w:rsid w:val="006F42AB"/>
    <w:rsid w:val="006F4312"/>
    <w:rsid w:val="006F45D4"/>
    <w:rsid w:val="006F474B"/>
    <w:rsid w:val="006F4DAF"/>
    <w:rsid w:val="006F4F93"/>
    <w:rsid w:val="006F5774"/>
    <w:rsid w:val="006F5CA8"/>
    <w:rsid w:val="006F5EBB"/>
    <w:rsid w:val="006F5EE4"/>
    <w:rsid w:val="006F62C1"/>
    <w:rsid w:val="006F64C9"/>
    <w:rsid w:val="006F6D3A"/>
    <w:rsid w:val="006F70A2"/>
    <w:rsid w:val="006F724E"/>
    <w:rsid w:val="006F75B2"/>
    <w:rsid w:val="006F764F"/>
    <w:rsid w:val="006F794C"/>
    <w:rsid w:val="006F79C2"/>
    <w:rsid w:val="006F7BD9"/>
    <w:rsid w:val="006F7E70"/>
    <w:rsid w:val="006F7FA6"/>
    <w:rsid w:val="0070025B"/>
    <w:rsid w:val="007003F7"/>
    <w:rsid w:val="00701439"/>
    <w:rsid w:val="00701707"/>
    <w:rsid w:val="00701EC0"/>
    <w:rsid w:val="00702D95"/>
    <w:rsid w:val="00702E86"/>
    <w:rsid w:val="00702F0B"/>
    <w:rsid w:val="00702F82"/>
    <w:rsid w:val="00703332"/>
    <w:rsid w:val="00703DC0"/>
    <w:rsid w:val="00703E76"/>
    <w:rsid w:val="00703E7F"/>
    <w:rsid w:val="007043A6"/>
    <w:rsid w:val="007044D9"/>
    <w:rsid w:val="0070473A"/>
    <w:rsid w:val="007048C8"/>
    <w:rsid w:val="00704F3E"/>
    <w:rsid w:val="00704FB8"/>
    <w:rsid w:val="00705388"/>
    <w:rsid w:val="0070551E"/>
    <w:rsid w:val="00705550"/>
    <w:rsid w:val="0070581D"/>
    <w:rsid w:val="00705BBF"/>
    <w:rsid w:val="00705EAC"/>
    <w:rsid w:val="007060EB"/>
    <w:rsid w:val="00706120"/>
    <w:rsid w:val="00706616"/>
    <w:rsid w:val="0070663A"/>
    <w:rsid w:val="00706757"/>
    <w:rsid w:val="00706B63"/>
    <w:rsid w:val="00706FF4"/>
    <w:rsid w:val="00707847"/>
    <w:rsid w:val="00707C0B"/>
    <w:rsid w:val="00707D7B"/>
    <w:rsid w:val="00707E8A"/>
    <w:rsid w:val="00710C56"/>
    <w:rsid w:val="00710DDC"/>
    <w:rsid w:val="00710F1A"/>
    <w:rsid w:val="00711024"/>
    <w:rsid w:val="007114B5"/>
    <w:rsid w:val="00711CB5"/>
    <w:rsid w:val="00711D87"/>
    <w:rsid w:val="0071208B"/>
    <w:rsid w:val="007120EF"/>
    <w:rsid w:val="00712218"/>
    <w:rsid w:val="00713094"/>
    <w:rsid w:val="0071397A"/>
    <w:rsid w:val="00713C43"/>
    <w:rsid w:val="007140D3"/>
    <w:rsid w:val="00714436"/>
    <w:rsid w:val="007145BA"/>
    <w:rsid w:val="00714A8A"/>
    <w:rsid w:val="00714B5C"/>
    <w:rsid w:val="00714CF6"/>
    <w:rsid w:val="00714DE8"/>
    <w:rsid w:val="00715068"/>
    <w:rsid w:val="007152CC"/>
    <w:rsid w:val="00715647"/>
    <w:rsid w:val="00715C36"/>
    <w:rsid w:val="00715E63"/>
    <w:rsid w:val="00715F5D"/>
    <w:rsid w:val="007161D9"/>
    <w:rsid w:val="0071632F"/>
    <w:rsid w:val="00716450"/>
    <w:rsid w:val="007167B0"/>
    <w:rsid w:val="00716836"/>
    <w:rsid w:val="007168D4"/>
    <w:rsid w:val="00716ADE"/>
    <w:rsid w:val="00717468"/>
    <w:rsid w:val="00717A05"/>
    <w:rsid w:val="007200BD"/>
    <w:rsid w:val="00720124"/>
    <w:rsid w:val="00720726"/>
    <w:rsid w:val="00720849"/>
    <w:rsid w:val="0072105B"/>
    <w:rsid w:val="0072144B"/>
    <w:rsid w:val="00721630"/>
    <w:rsid w:val="0072178B"/>
    <w:rsid w:val="00721F2F"/>
    <w:rsid w:val="00722109"/>
    <w:rsid w:val="0072226B"/>
    <w:rsid w:val="007227AF"/>
    <w:rsid w:val="00723C2A"/>
    <w:rsid w:val="00723F18"/>
    <w:rsid w:val="0072432F"/>
    <w:rsid w:val="007243C6"/>
    <w:rsid w:val="007243DF"/>
    <w:rsid w:val="007248A2"/>
    <w:rsid w:val="00724E15"/>
    <w:rsid w:val="00724E72"/>
    <w:rsid w:val="007250F7"/>
    <w:rsid w:val="007262DB"/>
    <w:rsid w:val="00726857"/>
    <w:rsid w:val="00726A41"/>
    <w:rsid w:val="00726BFC"/>
    <w:rsid w:val="0072705D"/>
    <w:rsid w:val="00727128"/>
    <w:rsid w:val="00727677"/>
    <w:rsid w:val="00727A4D"/>
    <w:rsid w:val="00727B59"/>
    <w:rsid w:val="00727BD0"/>
    <w:rsid w:val="00727CCC"/>
    <w:rsid w:val="00730535"/>
    <w:rsid w:val="007305C8"/>
    <w:rsid w:val="007307F8"/>
    <w:rsid w:val="00730911"/>
    <w:rsid w:val="00730D44"/>
    <w:rsid w:val="00730DB3"/>
    <w:rsid w:val="00731232"/>
    <w:rsid w:val="00731262"/>
    <w:rsid w:val="007312BA"/>
    <w:rsid w:val="00731464"/>
    <w:rsid w:val="00732148"/>
    <w:rsid w:val="00732669"/>
    <w:rsid w:val="007328BF"/>
    <w:rsid w:val="00732F5E"/>
    <w:rsid w:val="00733323"/>
    <w:rsid w:val="00733364"/>
    <w:rsid w:val="007333B9"/>
    <w:rsid w:val="007334C5"/>
    <w:rsid w:val="007334CF"/>
    <w:rsid w:val="0073426E"/>
    <w:rsid w:val="007342CA"/>
    <w:rsid w:val="00734E44"/>
    <w:rsid w:val="007353A1"/>
    <w:rsid w:val="00735402"/>
    <w:rsid w:val="00735612"/>
    <w:rsid w:val="00736539"/>
    <w:rsid w:val="00736618"/>
    <w:rsid w:val="00736872"/>
    <w:rsid w:val="00736F7C"/>
    <w:rsid w:val="00736FDE"/>
    <w:rsid w:val="007372BE"/>
    <w:rsid w:val="00737937"/>
    <w:rsid w:val="00737B1A"/>
    <w:rsid w:val="00737C4D"/>
    <w:rsid w:val="00737D37"/>
    <w:rsid w:val="00740511"/>
    <w:rsid w:val="007408F8"/>
    <w:rsid w:val="00740AEA"/>
    <w:rsid w:val="00740F8E"/>
    <w:rsid w:val="0074115D"/>
    <w:rsid w:val="007412FE"/>
    <w:rsid w:val="007414CD"/>
    <w:rsid w:val="007419D1"/>
    <w:rsid w:val="00742119"/>
    <w:rsid w:val="007421BB"/>
    <w:rsid w:val="007424C8"/>
    <w:rsid w:val="00742E2D"/>
    <w:rsid w:val="0074300F"/>
    <w:rsid w:val="0074321F"/>
    <w:rsid w:val="00743425"/>
    <w:rsid w:val="00743797"/>
    <w:rsid w:val="00743B5B"/>
    <w:rsid w:val="00743BD0"/>
    <w:rsid w:val="00743CCE"/>
    <w:rsid w:val="00743F17"/>
    <w:rsid w:val="00744607"/>
    <w:rsid w:val="007447AC"/>
    <w:rsid w:val="00744B05"/>
    <w:rsid w:val="00745288"/>
    <w:rsid w:val="007454FB"/>
    <w:rsid w:val="00745A5F"/>
    <w:rsid w:val="007466AF"/>
    <w:rsid w:val="00746785"/>
    <w:rsid w:val="0074682C"/>
    <w:rsid w:val="0074690A"/>
    <w:rsid w:val="00746C02"/>
    <w:rsid w:val="00746E9E"/>
    <w:rsid w:val="00747078"/>
    <w:rsid w:val="00747200"/>
    <w:rsid w:val="00747299"/>
    <w:rsid w:val="0074732B"/>
    <w:rsid w:val="0074777C"/>
    <w:rsid w:val="0074799C"/>
    <w:rsid w:val="00747D37"/>
    <w:rsid w:val="007505FE"/>
    <w:rsid w:val="00750813"/>
    <w:rsid w:val="00750A3C"/>
    <w:rsid w:val="00750B57"/>
    <w:rsid w:val="00750E66"/>
    <w:rsid w:val="00750F08"/>
    <w:rsid w:val="0075150B"/>
    <w:rsid w:val="00751A3E"/>
    <w:rsid w:val="00751AD2"/>
    <w:rsid w:val="00751E79"/>
    <w:rsid w:val="007523D8"/>
    <w:rsid w:val="00752547"/>
    <w:rsid w:val="007529F8"/>
    <w:rsid w:val="00752B2F"/>
    <w:rsid w:val="00752F66"/>
    <w:rsid w:val="00753494"/>
    <w:rsid w:val="007534C3"/>
    <w:rsid w:val="00753D1C"/>
    <w:rsid w:val="00754224"/>
    <w:rsid w:val="0075515C"/>
    <w:rsid w:val="00755455"/>
    <w:rsid w:val="00755A55"/>
    <w:rsid w:val="00755A94"/>
    <w:rsid w:val="00755B1D"/>
    <w:rsid w:val="00755D08"/>
    <w:rsid w:val="007561D9"/>
    <w:rsid w:val="00756BF8"/>
    <w:rsid w:val="00756EE0"/>
    <w:rsid w:val="007570F1"/>
    <w:rsid w:val="007574A9"/>
    <w:rsid w:val="007575E5"/>
    <w:rsid w:val="0075789F"/>
    <w:rsid w:val="0075797A"/>
    <w:rsid w:val="00757FDA"/>
    <w:rsid w:val="00760234"/>
    <w:rsid w:val="00760404"/>
    <w:rsid w:val="00760C71"/>
    <w:rsid w:val="00760EC3"/>
    <w:rsid w:val="00761161"/>
    <w:rsid w:val="007612D2"/>
    <w:rsid w:val="007612E3"/>
    <w:rsid w:val="007620BF"/>
    <w:rsid w:val="007625FA"/>
    <w:rsid w:val="00762BBF"/>
    <w:rsid w:val="00762D7D"/>
    <w:rsid w:val="00762ECE"/>
    <w:rsid w:val="007631AE"/>
    <w:rsid w:val="0076346F"/>
    <w:rsid w:val="00763620"/>
    <w:rsid w:val="007641AB"/>
    <w:rsid w:val="007643BC"/>
    <w:rsid w:val="007649B6"/>
    <w:rsid w:val="0076545A"/>
    <w:rsid w:val="007658D4"/>
    <w:rsid w:val="007659F0"/>
    <w:rsid w:val="00765EA2"/>
    <w:rsid w:val="00765EF8"/>
    <w:rsid w:val="00765F32"/>
    <w:rsid w:val="00765FFF"/>
    <w:rsid w:val="00766513"/>
    <w:rsid w:val="007665A8"/>
    <w:rsid w:val="00766D34"/>
    <w:rsid w:val="0076715D"/>
    <w:rsid w:val="0076760A"/>
    <w:rsid w:val="007676A0"/>
    <w:rsid w:val="00767A58"/>
    <w:rsid w:val="00767EE4"/>
    <w:rsid w:val="007700FB"/>
    <w:rsid w:val="007702C1"/>
    <w:rsid w:val="0077033E"/>
    <w:rsid w:val="007703EA"/>
    <w:rsid w:val="00770576"/>
    <w:rsid w:val="00770CFE"/>
    <w:rsid w:val="00770D6B"/>
    <w:rsid w:val="00770EE8"/>
    <w:rsid w:val="00771BE6"/>
    <w:rsid w:val="00771CE9"/>
    <w:rsid w:val="00771DD3"/>
    <w:rsid w:val="00771DE3"/>
    <w:rsid w:val="007723F2"/>
    <w:rsid w:val="00772604"/>
    <w:rsid w:val="007728C6"/>
    <w:rsid w:val="00772DB5"/>
    <w:rsid w:val="007732D2"/>
    <w:rsid w:val="007733A8"/>
    <w:rsid w:val="007737CE"/>
    <w:rsid w:val="00773A5E"/>
    <w:rsid w:val="00773BB4"/>
    <w:rsid w:val="00773BF9"/>
    <w:rsid w:val="007741C2"/>
    <w:rsid w:val="00774830"/>
    <w:rsid w:val="00774994"/>
    <w:rsid w:val="00774E08"/>
    <w:rsid w:val="007756BA"/>
    <w:rsid w:val="007757E1"/>
    <w:rsid w:val="007757EE"/>
    <w:rsid w:val="00775CEE"/>
    <w:rsid w:val="0077631A"/>
    <w:rsid w:val="007764E3"/>
    <w:rsid w:val="0077696C"/>
    <w:rsid w:val="00776A0B"/>
    <w:rsid w:val="00776B69"/>
    <w:rsid w:val="00777386"/>
    <w:rsid w:val="00777484"/>
    <w:rsid w:val="00777B03"/>
    <w:rsid w:val="00777B24"/>
    <w:rsid w:val="00777D41"/>
    <w:rsid w:val="00777E24"/>
    <w:rsid w:val="00780060"/>
    <w:rsid w:val="00780187"/>
    <w:rsid w:val="007802B1"/>
    <w:rsid w:val="007802D8"/>
    <w:rsid w:val="00780327"/>
    <w:rsid w:val="007804CD"/>
    <w:rsid w:val="00780FA9"/>
    <w:rsid w:val="00781157"/>
    <w:rsid w:val="00781243"/>
    <w:rsid w:val="00781A4B"/>
    <w:rsid w:val="00781F10"/>
    <w:rsid w:val="007828B8"/>
    <w:rsid w:val="007828D8"/>
    <w:rsid w:val="00782BB5"/>
    <w:rsid w:val="00782D3A"/>
    <w:rsid w:val="00782D46"/>
    <w:rsid w:val="00782DEB"/>
    <w:rsid w:val="00782FE6"/>
    <w:rsid w:val="007830B7"/>
    <w:rsid w:val="007832AA"/>
    <w:rsid w:val="00783CB2"/>
    <w:rsid w:val="0078446D"/>
    <w:rsid w:val="0078487B"/>
    <w:rsid w:val="00784C67"/>
    <w:rsid w:val="007850D3"/>
    <w:rsid w:val="00785157"/>
    <w:rsid w:val="007854B9"/>
    <w:rsid w:val="00785694"/>
    <w:rsid w:val="0078593E"/>
    <w:rsid w:val="00785D33"/>
    <w:rsid w:val="00786B1E"/>
    <w:rsid w:val="00786DAE"/>
    <w:rsid w:val="00786F89"/>
    <w:rsid w:val="00787A3E"/>
    <w:rsid w:val="00787E26"/>
    <w:rsid w:val="007900F9"/>
    <w:rsid w:val="007900FE"/>
    <w:rsid w:val="007905BA"/>
    <w:rsid w:val="007908EB"/>
    <w:rsid w:val="0079093A"/>
    <w:rsid w:val="00790DCD"/>
    <w:rsid w:val="00790E0C"/>
    <w:rsid w:val="0079110A"/>
    <w:rsid w:val="00791B0C"/>
    <w:rsid w:val="00791BFE"/>
    <w:rsid w:val="00791C26"/>
    <w:rsid w:val="00792837"/>
    <w:rsid w:val="00792918"/>
    <w:rsid w:val="00792CED"/>
    <w:rsid w:val="00793217"/>
    <w:rsid w:val="0079361F"/>
    <w:rsid w:val="0079458A"/>
    <w:rsid w:val="007945C4"/>
    <w:rsid w:val="00794D39"/>
    <w:rsid w:val="00794E58"/>
    <w:rsid w:val="007955B3"/>
    <w:rsid w:val="00795704"/>
    <w:rsid w:val="0079593E"/>
    <w:rsid w:val="00795BA7"/>
    <w:rsid w:val="00796052"/>
    <w:rsid w:val="007964EF"/>
    <w:rsid w:val="00796737"/>
    <w:rsid w:val="00797281"/>
    <w:rsid w:val="007977D4"/>
    <w:rsid w:val="007978F5"/>
    <w:rsid w:val="00797B41"/>
    <w:rsid w:val="00797E68"/>
    <w:rsid w:val="007A0ABF"/>
    <w:rsid w:val="007A0D50"/>
    <w:rsid w:val="007A0DF6"/>
    <w:rsid w:val="007A1324"/>
    <w:rsid w:val="007A155B"/>
    <w:rsid w:val="007A1909"/>
    <w:rsid w:val="007A191F"/>
    <w:rsid w:val="007A1C23"/>
    <w:rsid w:val="007A1CD5"/>
    <w:rsid w:val="007A1DAA"/>
    <w:rsid w:val="007A2077"/>
    <w:rsid w:val="007A26DA"/>
    <w:rsid w:val="007A279D"/>
    <w:rsid w:val="007A29FA"/>
    <w:rsid w:val="007A2DA0"/>
    <w:rsid w:val="007A2E53"/>
    <w:rsid w:val="007A34E0"/>
    <w:rsid w:val="007A3884"/>
    <w:rsid w:val="007A396C"/>
    <w:rsid w:val="007A3ECA"/>
    <w:rsid w:val="007A3FE9"/>
    <w:rsid w:val="007A411D"/>
    <w:rsid w:val="007A4273"/>
    <w:rsid w:val="007A4850"/>
    <w:rsid w:val="007A5232"/>
    <w:rsid w:val="007A5456"/>
    <w:rsid w:val="007A5755"/>
    <w:rsid w:val="007A58DD"/>
    <w:rsid w:val="007A5AC7"/>
    <w:rsid w:val="007A5EAA"/>
    <w:rsid w:val="007A67BF"/>
    <w:rsid w:val="007A6B17"/>
    <w:rsid w:val="007A6C1E"/>
    <w:rsid w:val="007A7794"/>
    <w:rsid w:val="007A7DB8"/>
    <w:rsid w:val="007A7DBD"/>
    <w:rsid w:val="007A7F10"/>
    <w:rsid w:val="007A7F64"/>
    <w:rsid w:val="007A7FAB"/>
    <w:rsid w:val="007B05FD"/>
    <w:rsid w:val="007B09B3"/>
    <w:rsid w:val="007B100C"/>
    <w:rsid w:val="007B1592"/>
    <w:rsid w:val="007B1749"/>
    <w:rsid w:val="007B1886"/>
    <w:rsid w:val="007B1B7F"/>
    <w:rsid w:val="007B1C06"/>
    <w:rsid w:val="007B206A"/>
    <w:rsid w:val="007B2077"/>
    <w:rsid w:val="007B22D7"/>
    <w:rsid w:val="007B280E"/>
    <w:rsid w:val="007B2821"/>
    <w:rsid w:val="007B2C32"/>
    <w:rsid w:val="007B3160"/>
    <w:rsid w:val="007B35BB"/>
    <w:rsid w:val="007B3771"/>
    <w:rsid w:val="007B3809"/>
    <w:rsid w:val="007B3F50"/>
    <w:rsid w:val="007B3F5D"/>
    <w:rsid w:val="007B4340"/>
    <w:rsid w:val="007B4855"/>
    <w:rsid w:val="007B49A8"/>
    <w:rsid w:val="007B4C52"/>
    <w:rsid w:val="007B4DAE"/>
    <w:rsid w:val="007B514F"/>
    <w:rsid w:val="007B5156"/>
    <w:rsid w:val="007B52B3"/>
    <w:rsid w:val="007B5787"/>
    <w:rsid w:val="007B5925"/>
    <w:rsid w:val="007B5D9D"/>
    <w:rsid w:val="007B6077"/>
    <w:rsid w:val="007B611D"/>
    <w:rsid w:val="007B6132"/>
    <w:rsid w:val="007B646F"/>
    <w:rsid w:val="007B658F"/>
    <w:rsid w:val="007B6B6E"/>
    <w:rsid w:val="007B6CBE"/>
    <w:rsid w:val="007B71C7"/>
    <w:rsid w:val="007B7486"/>
    <w:rsid w:val="007B7698"/>
    <w:rsid w:val="007B7911"/>
    <w:rsid w:val="007B7B37"/>
    <w:rsid w:val="007B7F72"/>
    <w:rsid w:val="007C037D"/>
    <w:rsid w:val="007C0856"/>
    <w:rsid w:val="007C0EB2"/>
    <w:rsid w:val="007C0EB9"/>
    <w:rsid w:val="007C1133"/>
    <w:rsid w:val="007C1E2D"/>
    <w:rsid w:val="007C1E4B"/>
    <w:rsid w:val="007C1FB5"/>
    <w:rsid w:val="007C2583"/>
    <w:rsid w:val="007C25C3"/>
    <w:rsid w:val="007C2646"/>
    <w:rsid w:val="007C2726"/>
    <w:rsid w:val="007C2740"/>
    <w:rsid w:val="007C27F4"/>
    <w:rsid w:val="007C2A86"/>
    <w:rsid w:val="007C2DA8"/>
    <w:rsid w:val="007C3574"/>
    <w:rsid w:val="007C3D4D"/>
    <w:rsid w:val="007C436F"/>
    <w:rsid w:val="007C46C7"/>
    <w:rsid w:val="007C472D"/>
    <w:rsid w:val="007C47A0"/>
    <w:rsid w:val="007C4D8E"/>
    <w:rsid w:val="007C4DBA"/>
    <w:rsid w:val="007C53C6"/>
    <w:rsid w:val="007C57C2"/>
    <w:rsid w:val="007C5B71"/>
    <w:rsid w:val="007C5DF7"/>
    <w:rsid w:val="007C5EF7"/>
    <w:rsid w:val="007C614E"/>
    <w:rsid w:val="007C6329"/>
    <w:rsid w:val="007C673C"/>
    <w:rsid w:val="007C7218"/>
    <w:rsid w:val="007C73C2"/>
    <w:rsid w:val="007C787D"/>
    <w:rsid w:val="007C78EE"/>
    <w:rsid w:val="007C793A"/>
    <w:rsid w:val="007C7B08"/>
    <w:rsid w:val="007C7B55"/>
    <w:rsid w:val="007C7CE1"/>
    <w:rsid w:val="007C7E01"/>
    <w:rsid w:val="007D0137"/>
    <w:rsid w:val="007D0542"/>
    <w:rsid w:val="007D07B3"/>
    <w:rsid w:val="007D084C"/>
    <w:rsid w:val="007D0C42"/>
    <w:rsid w:val="007D1377"/>
    <w:rsid w:val="007D1F3E"/>
    <w:rsid w:val="007D2039"/>
    <w:rsid w:val="007D2081"/>
    <w:rsid w:val="007D2791"/>
    <w:rsid w:val="007D2FF5"/>
    <w:rsid w:val="007D3485"/>
    <w:rsid w:val="007D34A4"/>
    <w:rsid w:val="007D3CFF"/>
    <w:rsid w:val="007D3E4E"/>
    <w:rsid w:val="007D46C8"/>
    <w:rsid w:val="007D4721"/>
    <w:rsid w:val="007D488A"/>
    <w:rsid w:val="007D4A05"/>
    <w:rsid w:val="007D504F"/>
    <w:rsid w:val="007D576D"/>
    <w:rsid w:val="007D59EC"/>
    <w:rsid w:val="007D5B31"/>
    <w:rsid w:val="007D5C78"/>
    <w:rsid w:val="007D5CBD"/>
    <w:rsid w:val="007D5D1A"/>
    <w:rsid w:val="007D611C"/>
    <w:rsid w:val="007D649E"/>
    <w:rsid w:val="007D67CF"/>
    <w:rsid w:val="007D6A25"/>
    <w:rsid w:val="007D6BAF"/>
    <w:rsid w:val="007D6E14"/>
    <w:rsid w:val="007D6E9E"/>
    <w:rsid w:val="007D75D2"/>
    <w:rsid w:val="007D768F"/>
    <w:rsid w:val="007D798B"/>
    <w:rsid w:val="007D7CCB"/>
    <w:rsid w:val="007E00C5"/>
    <w:rsid w:val="007E0A37"/>
    <w:rsid w:val="007E0C53"/>
    <w:rsid w:val="007E0F1C"/>
    <w:rsid w:val="007E1326"/>
    <w:rsid w:val="007E15F9"/>
    <w:rsid w:val="007E193D"/>
    <w:rsid w:val="007E200E"/>
    <w:rsid w:val="007E2297"/>
    <w:rsid w:val="007E2302"/>
    <w:rsid w:val="007E2567"/>
    <w:rsid w:val="007E27C5"/>
    <w:rsid w:val="007E2848"/>
    <w:rsid w:val="007E2C18"/>
    <w:rsid w:val="007E3554"/>
    <w:rsid w:val="007E36A9"/>
    <w:rsid w:val="007E386A"/>
    <w:rsid w:val="007E389F"/>
    <w:rsid w:val="007E3BB9"/>
    <w:rsid w:val="007E3DE1"/>
    <w:rsid w:val="007E4134"/>
    <w:rsid w:val="007E42CE"/>
    <w:rsid w:val="007E441E"/>
    <w:rsid w:val="007E448C"/>
    <w:rsid w:val="007E464A"/>
    <w:rsid w:val="007E482B"/>
    <w:rsid w:val="007E4865"/>
    <w:rsid w:val="007E4D45"/>
    <w:rsid w:val="007E5237"/>
    <w:rsid w:val="007E52EB"/>
    <w:rsid w:val="007E5833"/>
    <w:rsid w:val="007E58FF"/>
    <w:rsid w:val="007E594A"/>
    <w:rsid w:val="007E5AC1"/>
    <w:rsid w:val="007E5C03"/>
    <w:rsid w:val="007E5E45"/>
    <w:rsid w:val="007E612E"/>
    <w:rsid w:val="007E67D9"/>
    <w:rsid w:val="007E6E11"/>
    <w:rsid w:val="007E7163"/>
    <w:rsid w:val="007E74F9"/>
    <w:rsid w:val="007E7805"/>
    <w:rsid w:val="007E7908"/>
    <w:rsid w:val="007E7957"/>
    <w:rsid w:val="007E7A06"/>
    <w:rsid w:val="007E7BB1"/>
    <w:rsid w:val="007E7BEB"/>
    <w:rsid w:val="007F028E"/>
    <w:rsid w:val="007F043B"/>
    <w:rsid w:val="007F0C45"/>
    <w:rsid w:val="007F1351"/>
    <w:rsid w:val="007F1A5C"/>
    <w:rsid w:val="007F1BC5"/>
    <w:rsid w:val="007F1DDC"/>
    <w:rsid w:val="007F1F77"/>
    <w:rsid w:val="007F2CCD"/>
    <w:rsid w:val="007F2ED5"/>
    <w:rsid w:val="007F3415"/>
    <w:rsid w:val="007F3496"/>
    <w:rsid w:val="007F395C"/>
    <w:rsid w:val="007F39A3"/>
    <w:rsid w:val="007F3C8F"/>
    <w:rsid w:val="007F3D01"/>
    <w:rsid w:val="007F3EE7"/>
    <w:rsid w:val="007F401F"/>
    <w:rsid w:val="007F4578"/>
    <w:rsid w:val="007F494D"/>
    <w:rsid w:val="007F4B20"/>
    <w:rsid w:val="007F4FD2"/>
    <w:rsid w:val="007F567D"/>
    <w:rsid w:val="007F59F9"/>
    <w:rsid w:val="007F65A2"/>
    <w:rsid w:val="007F6FC7"/>
    <w:rsid w:val="007F7068"/>
    <w:rsid w:val="007F73DB"/>
    <w:rsid w:val="007F746D"/>
    <w:rsid w:val="007F7960"/>
    <w:rsid w:val="007F7DE1"/>
    <w:rsid w:val="007F7E70"/>
    <w:rsid w:val="00800257"/>
    <w:rsid w:val="0080074B"/>
    <w:rsid w:val="00801373"/>
    <w:rsid w:val="008018E6"/>
    <w:rsid w:val="008018EA"/>
    <w:rsid w:val="00801B70"/>
    <w:rsid w:val="00801D4D"/>
    <w:rsid w:val="00802418"/>
    <w:rsid w:val="008024A0"/>
    <w:rsid w:val="00802542"/>
    <w:rsid w:val="00802AF5"/>
    <w:rsid w:val="00802E28"/>
    <w:rsid w:val="00802FF4"/>
    <w:rsid w:val="00803680"/>
    <w:rsid w:val="00803803"/>
    <w:rsid w:val="0080456B"/>
    <w:rsid w:val="0080469C"/>
    <w:rsid w:val="00804B35"/>
    <w:rsid w:val="00804CD1"/>
    <w:rsid w:val="00804EE5"/>
    <w:rsid w:val="00804F71"/>
    <w:rsid w:val="0080522C"/>
    <w:rsid w:val="00805330"/>
    <w:rsid w:val="008054A2"/>
    <w:rsid w:val="0080567F"/>
    <w:rsid w:val="00805681"/>
    <w:rsid w:val="0080570B"/>
    <w:rsid w:val="00805A58"/>
    <w:rsid w:val="00805F1C"/>
    <w:rsid w:val="00806162"/>
    <w:rsid w:val="00806235"/>
    <w:rsid w:val="00807120"/>
    <w:rsid w:val="008072AC"/>
    <w:rsid w:val="0080745D"/>
    <w:rsid w:val="00807910"/>
    <w:rsid w:val="00807BEB"/>
    <w:rsid w:val="00807C34"/>
    <w:rsid w:val="00807EFD"/>
    <w:rsid w:val="008104B6"/>
    <w:rsid w:val="008105E9"/>
    <w:rsid w:val="008106A9"/>
    <w:rsid w:val="0081088C"/>
    <w:rsid w:val="008108AC"/>
    <w:rsid w:val="00810964"/>
    <w:rsid w:val="00810F03"/>
    <w:rsid w:val="00811465"/>
    <w:rsid w:val="00811477"/>
    <w:rsid w:val="00811878"/>
    <w:rsid w:val="00811888"/>
    <w:rsid w:val="00811CA7"/>
    <w:rsid w:val="00811D12"/>
    <w:rsid w:val="00812183"/>
    <w:rsid w:val="008126B9"/>
    <w:rsid w:val="00812990"/>
    <w:rsid w:val="00813115"/>
    <w:rsid w:val="00813498"/>
    <w:rsid w:val="0081377E"/>
    <w:rsid w:val="00814277"/>
    <w:rsid w:val="00814F4B"/>
    <w:rsid w:val="0081503E"/>
    <w:rsid w:val="008150B2"/>
    <w:rsid w:val="00815489"/>
    <w:rsid w:val="00815814"/>
    <w:rsid w:val="008158F5"/>
    <w:rsid w:val="00815D26"/>
    <w:rsid w:val="0081631B"/>
    <w:rsid w:val="0081675E"/>
    <w:rsid w:val="00816810"/>
    <w:rsid w:val="008168D3"/>
    <w:rsid w:val="00816957"/>
    <w:rsid w:val="00816AB2"/>
    <w:rsid w:val="00816ACE"/>
    <w:rsid w:val="00816C79"/>
    <w:rsid w:val="0081700F"/>
    <w:rsid w:val="008170E4"/>
    <w:rsid w:val="008172CD"/>
    <w:rsid w:val="0081734A"/>
    <w:rsid w:val="008173FD"/>
    <w:rsid w:val="0081777F"/>
    <w:rsid w:val="00817960"/>
    <w:rsid w:val="00817D04"/>
    <w:rsid w:val="0082007D"/>
    <w:rsid w:val="008202D8"/>
    <w:rsid w:val="0082063B"/>
    <w:rsid w:val="00820B11"/>
    <w:rsid w:val="00821CD2"/>
    <w:rsid w:val="00821DE4"/>
    <w:rsid w:val="00822196"/>
    <w:rsid w:val="0082271A"/>
    <w:rsid w:val="00822A32"/>
    <w:rsid w:val="00822ABC"/>
    <w:rsid w:val="00822B12"/>
    <w:rsid w:val="0082334B"/>
    <w:rsid w:val="0082349B"/>
    <w:rsid w:val="00823686"/>
    <w:rsid w:val="00823745"/>
    <w:rsid w:val="00823812"/>
    <w:rsid w:val="008239D9"/>
    <w:rsid w:val="00824017"/>
    <w:rsid w:val="008241B3"/>
    <w:rsid w:val="008245A1"/>
    <w:rsid w:val="00824722"/>
    <w:rsid w:val="00824AC8"/>
    <w:rsid w:val="00824BAB"/>
    <w:rsid w:val="00825330"/>
    <w:rsid w:val="008255D7"/>
    <w:rsid w:val="00825CBA"/>
    <w:rsid w:val="00825E40"/>
    <w:rsid w:val="00826081"/>
    <w:rsid w:val="00826170"/>
    <w:rsid w:val="0082643D"/>
    <w:rsid w:val="008264E6"/>
    <w:rsid w:val="008266D2"/>
    <w:rsid w:val="00826E55"/>
    <w:rsid w:val="00826E6B"/>
    <w:rsid w:val="00827161"/>
    <w:rsid w:val="008273F5"/>
    <w:rsid w:val="0082750B"/>
    <w:rsid w:val="00827655"/>
    <w:rsid w:val="00827C14"/>
    <w:rsid w:val="00827C5D"/>
    <w:rsid w:val="00827D65"/>
    <w:rsid w:val="0083005B"/>
    <w:rsid w:val="00830446"/>
    <w:rsid w:val="00830D09"/>
    <w:rsid w:val="00830F8E"/>
    <w:rsid w:val="008311F8"/>
    <w:rsid w:val="0083137F"/>
    <w:rsid w:val="00831A37"/>
    <w:rsid w:val="00831DED"/>
    <w:rsid w:val="0083205D"/>
    <w:rsid w:val="008320AF"/>
    <w:rsid w:val="008325A4"/>
    <w:rsid w:val="0083288E"/>
    <w:rsid w:val="0083294E"/>
    <w:rsid w:val="00833127"/>
    <w:rsid w:val="00833495"/>
    <w:rsid w:val="00833547"/>
    <w:rsid w:val="00833852"/>
    <w:rsid w:val="00833A88"/>
    <w:rsid w:val="00833D47"/>
    <w:rsid w:val="00833FC7"/>
    <w:rsid w:val="0083402E"/>
    <w:rsid w:val="008340F9"/>
    <w:rsid w:val="0083416C"/>
    <w:rsid w:val="008344E9"/>
    <w:rsid w:val="008347B6"/>
    <w:rsid w:val="00834DE7"/>
    <w:rsid w:val="00834FC9"/>
    <w:rsid w:val="008351CA"/>
    <w:rsid w:val="00835530"/>
    <w:rsid w:val="0083570F"/>
    <w:rsid w:val="00835923"/>
    <w:rsid w:val="00835A6F"/>
    <w:rsid w:val="00835E10"/>
    <w:rsid w:val="00835E15"/>
    <w:rsid w:val="00836185"/>
    <w:rsid w:val="0083631C"/>
    <w:rsid w:val="008363DE"/>
    <w:rsid w:val="008365A4"/>
    <w:rsid w:val="00836880"/>
    <w:rsid w:val="00836890"/>
    <w:rsid w:val="00836935"/>
    <w:rsid w:val="00836A77"/>
    <w:rsid w:val="00837273"/>
    <w:rsid w:val="0083732D"/>
    <w:rsid w:val="008377D1"/>
    <w:rsid w:val="00837981"/>
    <w:rsid w:val="00837AB0"/>
    <w:rsid w:val="00840435"/>
    <w:rsid w:val="00840DAB"/>
    <w:rsid w:val="008410A8"/>
    <w:rsid w:val="0084142D"/>
    <w:rsid w:val="00841681"/>
    <w:rsid w:val="00841D69"/>
    <w:rsid w:val="00841E25"/>
    <w:rsid w:val="00841FD7"/>
    <w:rsid w:val="008422F7"/>
    <w:rsid w:val="00842AAA"/>
    <w:rsid w:val="008431A7"/>
    <w:rsid w:val="0084359D"/>
    <w:rsid w:val="0084406F"/>
    <w:rsid w:val="00844272"/>
    <w:rsid w:val="008442D6"/>
    <w:rsid w:val="00844554"/>
    <w:rsid w:val="00844665"/>
    <w:rsid w:val="00844740"/>
    <w:rsid w:val="008448F9"/>
    <w:rsid w:val="00845022"/>
    <w:rsid w:val="0084512B"/>
    <w:rsid w:val="00845652"/>
    <w:rsid w:val="00845924"/>
    <w:rsid w:val="00845E67"/>
    <w:rsid w:val="00846014"/>
    <w:rsid w:val="00846174"/>
    <w:rsid w:val="008463D1"/>
    <w:rsid w:val="0084665E"/>
    <w:rsid w:val="008466B3"/>
    <w:rsid w:val="00846C11"/>
    <w:rsid w:val="008473E2"/>
    <w:rsid w:val="0085071E"/>
    <w:rsid w:val="00850B1D"/>
    <w:rsid w:val="00850EF4"/>
    <w:rsid w:val="00850FC5"/>
    <w:rsid w:val="0085107A"/>
    <w:rsid w:val="0085131A"/>
    <w:rsid w:val="00851BF9"/>
    <w:rsid w:val="00851E24"/>
    <w:rsid w:val="008525EE"/>
    <w:rsid w:val="00852A00"/>
    <w:rsid w:val="00852AC2"/>
    <w:rsid w:val="00852D48"/>
    <w:rsid w:val="00852D76"/>
    <w:rsid w:val="00852DA6"/>
    <w:rsid w:val="008539DA"/>
    <w:rsid w:val="00853AA1"/>
    <w:rsid w:val="00853F0A"/>
    <w:rsid w:val="0085405C"/>
    <w:rsid w:val="008542D8"/>
    <w:rsid w:val="0085444F"/>
    <w:rsid w:val="008545EE"/>
    <w:rsid w:val="00854686"/>
    <w:rsid w:val="0085490F"/>
    <w:rsid w:val="00855202"/>
    <w:rsid w:val="0085545A"/>
    <w:rsid w:val="008554EE"/>
    <w:rsid w:val="00855763"/>
    <w:rsid w:val="00855AC9"/>
    <w:rsid w:val="00856481"/>
    <w:rsid w:val="0085677D"/>
    <w:rsid w:val="0085692B"/>
    <w:rsid w:val="008569DC"/>
    <w:rsid w:val="00856A31"/>
    <w:rsid w:val="00856D75"/>
    <w:rsid w:val="00856F19"/>
    <w:rsid w:val="008575B8"/>
    <w:rsid w:val="008575D5"/>
    <w:rsid w:val="008575F7"/>
    <w:rsid w:val="00857767"/>
    <w:rsid w:val="00857987"/>
    <w:rsid w:val="00857BD2"/>
    <w:rsid w:val="00857DF6"/>
    <w:rsid w:val="00860BA3"/>
    <w:rsid w:val="00861092"/>
    <w:rsid w:val="0086123F"/>
    <w:rsid w:val="008614C9"/>
    <w:rsid w:val="0086169C"/>
    <w:rsid w:val="00861724"/>
    <w:rsid w:val="00861813"/>
    <w:rsid w:val="00861C21"/>
    <w:rsid w:val="008620DA"/>
    <w:rsid w:val="0086253D"/>
    <w:rsid w:val="0086255E"/>
    <w:rsid w:val="008625AB"/>
    <w:rsid w:val="0086263D"/>
    <w:rsid w:val="00862800"/>
    <w:rsid w:val="00862E8C"/>
    <w:rsid w:val="00863301"/>
    <w:rsid w:val="00864320"/>
    <w:rsid w:val="008644FF"/>
    <w:rsid w:val="0086460F"/>
    <w:rsid w:val="00864AA8"/>
    <w:rsid w:val="00864EFA"/>
    <w:rsid w:val="0086515C"/>
    <w:rsid w:val="00865354"/>
    <w:rsid w:val="00865510"/>
    <w:rsid w:val="008656CE"/>
    <w:rsid w:val="008657E5"/>
    <w:rsid w:val="00865942"/>
    <w:rsid w:val="00865DAA"/>
    <w:rsid w:val="00866956"/>
    <w:rsid w:val="00867628"/>
    <w:rsid w:val="00867B6C"/>
    <w:rsid w:val="00867F6F"/>
    <w:rsid w:val="0087013B"/>
    <w:rsid w:val="0087026E"/>
    <w:rsid w:val="008702E4"/>
    <w:rsid w:val="00870480"/>
    <w:rsid w:val="00870749"/>
    <w:rsid w:val="0087081B"/>
    <w:rsid w:val="008709F0"/>
    <w:rsid w:val="00870D36"/>
    <w:rsid w:val="008710B6"/>
    <w:rsid w:val="008713CB"/>
    <w:rsid w:val="008718A7"/>
    <w:rsid w:val="008722B4"/>
    <w:rsid w:val="008726D3"/>
    <w:rsid w:val="00872C01"/>
    <w:rsid w:val="00872D4C"/>
    <w:rsid w:val="0087341D"/>
    <w:rsid w:val="00873BD4"/>
    <w:rsid w:val="00873E3D"/>
    <w:rsid w:val="00874086"/>
    <w:rsid w:val="008740F6"/>
    <w:rsid w:val="008744F1"/>
    <w:rsid w:val="0087485D"/>
    <w:rsid w:val="008748A4"/>
    <w:rsid w:val="00874900"/>
    <w:rsid w:val="00874AE5"/>
    <w:rsid w:val="00874B09"/>
    <w:rsid w:val="008758D3"/>
    <w:rsid w:val="0087597D"/>
    <w:rsid w:val="00875EA5"/>
    <w:rsid w:val="008762C6"/>
    <w:rsid w:val="00876428"/>
    <w:rsid w:val="00876443"/>
    <w:rsid w:val="008768E2"/>
    <w:rsid w:val="008769E6"/>
    <w:rsid w:val="00876A14"/>
    <w:rsid w:val="00876CD9"/>
    <w:rsid w:val="008771B7"/>
    <w:rsid w:val="0087723F"/>
    <w:rsid w:val="00877435"/>
    <w:rsid w:val="008776A7"/>
    <w:rsid w:val="008777BC"/>
    <w:rsid w:val="008779BA"/>
    <w:rsid w:val="00877CE2"/>
    <w:rsid w:val="00877EBE"/>
    <w:rsid w:val="00877ED5"/>
    <w:rsid w:val="0088000E"/>
    <w:rsid w:val="00880062"/>
    <w:rsid w:val="0088033E"/>
    <w:rsid w:val="008803C9"/>
    <w:rsid w:val="0088051B"/>
    <w:rsid w:val="00880C66"/>
    <w:rsid w:val="00880D4E"/>
    <w:rsid w:val="0088116C"/>
    <w:rsid w:val="00881B90"/>
    <w:rsid w:val="00881DAA"/>
    <w:rsid w:val="00881E05"/>
    <w:rsid w:val="008823A8"/>
    <w:rsid w:val="0088247A"/>
    <w:rsid w:val="00882954"/>
    <w:rsid w:val="00882EE1"/>
    <w:rsid w:val="00882FEB"/>
    <w:rsid w:val="008830F9"/>
    <w:rsid w:val="008836FE"/>
    <w:rsid w:val="0088373D"/>
    <w:rsid w:val="00883CC9"/>
    <w:rsid w:val="00883F7D"/>
    <w:rsid w:val="008840A4"/>
    <w:rsid w:val="00884677"/>
    <w:rsid w:val="008846EF"/>
    <w:rsid w:val="00884704"/>
    <w:rsid w:val="00884836"/>
    <w:rsid w:val="00884A4D"/>
    <w:rsid w:val="00884A7E"/>
    <w:rsid w:val="0088505C"/>
    <w:rsid w:val="008854AB"/>
    <w:rsid w:val="00885587"/>
    <w:rsid w:val="00885755"/>
    <w:rsid w:val="00885DFD"/>
    <w:rsid w:val="00885ED7"/>
    <w:rsid w:val="00885EF9"/>
    <w:rsid w:val="00886244"/>
    <w:rsid w:val="00886601"/>
    <w:rsid w:val="00886C45"/>
    <w:rsid w:val="008876B8"/>
    <w:rsid w:val="00887A0A"/>
    <w:rsid w:val="00887FDF"/>
    <w:rsid w:val="0089028B"/>
    <w:rsid w:val="00890643"/>
    <w:rsid w:val="0089074B"/>
    <w:rsid w:val="0089077F"/>
    <w:rsid w:val="008907CC"/>
    <w:rsid w:val="00890CC0"/>
    <w:rsid w:val="00891EF8"/>
    <w:rsid w:val="008922FB"/>
    <w:rsid w:val="008923D6"/>
    <w:rsid w:val="0089259D"/>
    <w:rsid w:val="00892D91"/>
    <w:rsid w:val="0089360E"/>
    <w:rsid w:val="008937BB"/>
    <w:rsid w:val="008938FF"/>
    <w:rsid w:val="00893AB8"/>
    <w:rsid w:val="00893C3F"/>
    <w:rsid w:val="00893FCF"/>
    <w:rsid w:val="0089493E"/>
    <w:rsid w:val="00894D2A"/>
    <w:rsid w:val="00894E9A"/>
    <w:rsid w:val="00894F44"/>
    <w:rsid w:val="00895434"/>
    <w:rsid w:val="0089544F"/>
    <w:rsid w:val="008954F7"/>
    <w:rsid w:val="00895780"/>
    <w:rsid w:val="00895C35"/>
    <w:rsid w:val="00895FA4"/>
    <w:rsid w:val="008969BE"/>
    <w:rsid w:val="00896C1F"/>
    <w:rsid w:val="00896C28"/>
    <w:rsid w:val="0089767A"/>
    <w:rsid w:val="00897946"/>
    <w:rsid w:val="00897AA7"/>
    <w:rsid w:val="00897B72"/>
    <w:rsid w:val="00897CAB"/>
    <w:rsid w:val="00897DC9"/>
    <w:rsid w:val="00897F4E"/>
    <w:rsid w:val="008A00AE"/>
    <w:rsid w:val="008A0102"/>
    <w:rsid w:val="008A0106"/>
    <w:rsid w:val="008A03B9"/>
    <w:rsid w:val="008A0736"/>
    <w:rsid w:val="008A08D6"/>
    <w:rsid w:val="008A08D8"/>
    <w:rsid w:val="008A0D4F"/>
    <w:rsid w:val="008A0E9F"/>
    <w:rsid w:val="008A0F79"/>
    <w:rsid w:val="008A1A78"/>
    <w:rsid w:val="008A22CD"/>
    <w:rsid w:val="008A2659"/>
    <w:rsid w:val="008A2CE3"/>
    <w:rsid w:val="008A2DF8"/>
    <w:rsid w:val="008A2E83"/>
    <w:rsid w:val="008A2FC2"/>
    <w:rsid w:val="008A3105"/>
    <w:rsid w:val="008A3E10"/>
    <w:rsid w:val="008A42AE"/>
    <w:rsid w:val="008A43D7"/>
    <w:rsid w:val="008A452E"/>
    <w:rsid w:val="008A455F"/>
    <w:rsid w:val="008A50BF"/>
    <w:rsid w:val="008A517D"/>
    <w:rsid w:val="008A51D0"/>
    <w:rsid w:val="008A5366"/>
    <w:rsid w:val="008A5E78"/>
    <w:rsid w:val="008A6063"/>
    <w:rsid w:val="008A652C"/>
    <w:rsid w:val="008A6931"/>
    <w:rsid w:val="008A6AC1"/>
    <w:rsid w:val="008A751A"/>
    <w:rsid w:val="008A7CFB"/>
    <w:rsid w:val="008B013F"/>
    <w:rsid w:val="008B04F4"/>
    <w:rsid w:val="008B064F"/>
    <w:rsid w:val="008B0713"/>
    <w:rsid w:val="008B099F"/>
    <w:rsid w:val="008B09A6"/>
    <w:rsid w:val="008B0AAC"/>
    <w:rsid w:val="008B0CCD"/>
    <w:rsid w:val="008B0E9A"/>
    <w:rsid w:val="008B1065"/>
    <w:rsid w:val="008B12CE"/>
    <w:rsid w:val="008B15BF"/>
    <w:rsid w:val="008B172A"/>
    <w:rsid w:val="008B1E12"/>
    <w:rsid w:val="008B1EB5"/>
    <w:rsid w:val="008B204E"/>
    <w:rsid w:val="008B20FC"/>
    <w:rsid w:val="008B2684"/>
    <w:rsid w:val="008B3542"/>
    <w:rsid w:val="008B379F"/>
    <w:rsid w:val="008B42BD"/>
    <w:rsid w:val="008B45AE"/>
    <w:rsid w:val="008B4791"/>
    <w:rsid w:val="008B4A36"/>
    <w:rsid w:val="008B4B7F"/>
    <w:rsid w:val="008B4BD1"/>
    <w:rsid w:val="008B4FE6"/>
    <w:rsid w:val="008B5C0D"/>
    <w:rsid w:val="008B5EC0"/>
    <w:rsid w:val="008B64FC"/>
    <w:rsid w:val="008B66DB"/>
    <w:rsid w:val="008B6731"/>
    <w:rsid w:val="008B679B"/>
    <w:rsid w:val="008B67D2"/>
    <w:rsid w:val="008B6A36"/>
    <w:rsid w:val="008B6A4B"/>
    <w:rsid w:val="008B6C06"/>
    <w:rsid w:val="008B6C23"/>
    <w:rsid w:val="008B72DB"/>
    <w:rsid w:val="008B75AB"/>
    <w:rsid w:val="008B7671"/>
    <w:rsid w:val="008B782B"/>
    <w:rsid w:val="008B798A"/>
    <w:rsid w:val="008B7CA3"/>
    <w:rsid w:val="008C059E"/>
    <w:rsid w:val="008C05D7"/>
    <w:rsid w:val="008C079C"/>
    <w:rsid w:val="008C09F1"/>
    <w:rsid w:val="008C0E60"/>
    <w:rsid w:val="008C0F84"/>
    <w:rsid w:val="008C1171"/>
    <w:rsid w:val="008C14FD"/>
    <w:rsid w:val="008C1593"/>
    <w:rsid w:val="008C1879"/>
    <w:rsid w:val="008C1F45"/>
    <w:rsid w:val="008C2471"/>
    <w:rsid w:val="008C2BB1"/>
    <w:rsid w:val="008C2C50"/>
    <w:rsid w:val="008C2DC0"/>
    <w:rsid w:val="008C2F1C"/>
    <w:rsid w:val="008C328D"/>
    <w:rsid w:val="008C3431"/>
    <w:rsid w:val="008C35BB"/>
    <w:rsid w:val="008C36F3"/>
    <w:rsid w:val="008C3B37"/>
    <w:rsid w:val="008C3C75"/>
    <w:rsid w:val="008C3D0A"/>
    <w:rsid w:val="008C4486"/>
    <w:rsid w:val="008C4845"/>
    <w:rsid w:val="008C4F49"/>
    <w:rsid w:val="008C5031"/>
    <w:rsid w:val="008C5EB6"/>
    <w:rsid w:val="008C5EBA"/>
    <w:rsid w:val="008C6057"/>
    <w:rsid w:val="008C6146"/>
    <w:rsid w:val="008C6411"/>
    <w:rsid w:val="008C6646"/>
    <w:rsid w:val="008C67BC"/>
    <w:rsid w:val="008C6A2F"/>
    <w:rsid w:val="008C71B8"/>
    <w:rsid w:val="008D0047"/>
    <w:rsid w:val="008D03D6"/>
    <w:rsid w:val="008D04A5"/>
    <w:rsid w:val="008D072F"/>
    <w:rsid w:val="008D0C13"/>
    <w:rsid w:val="008D0F47"/>
    <w:rsid w:val="008D1425"/>
    <w:rsid w:val="008D17E2"/>
    <w:rsid w:val="008D1BE8"/>
    <w:rsid w:val="008D1DA1"/>
    <w:rsid w:val="008D20D8"/>
    <w:rsid w:val="008D2217"/>
    <w:rsid w:val="008D2306"/>
    <w:rsid w:val="008D271F"/>
    <w:rsid w:val="008D2848"/>
    <w:rsid w:val="008D31D0"/>
    <w:rsid w:val="008D31E6"/>
    <w:rsid w:val="008D323B"/>
    <w:rsid w:val="008D3904"/>
    <w:rsid w:val="008D397F"/>
    <w:rsid w:val="008D3992"/>
    <w:rsid w:val="008D3AD6"/>
    <w:rsid w:val="008D3B05"/>
    <w:rsid w:val="008D3B57"/>
    <w:rsid w:val="008D3E47"/>
    <w:rsid w:val="008D3F0A"/>
    <w:rsid w:val="008D3F19"/>
    <w:rsid w:val="008D40A8"/>
    <w:rsid w:val="008D494F"/>
    <w:rsid w:val="008D4AB7"/>
    <w:rsid w:val="008D4B50"/>
    <w:rsid w:val="008D4FDA"/>
    <w:rsid w:val="008D52EB"/>
    <w:rsid w:val="008D5AD1"/>
    <w:rsid w:val="008D5AFD"/>
    <w:rsid w:val="008D5C28"/>
    <w:rsid w:val="008D5DA8"/>
    <w:rsid w:val="008D5E56"/>
    <w:rsid w:val="008D5E8B"/>
    <w:rsid w:val="008D5ED0"/>
    <w:rsid w:val="008D5F22"/>
    <w:rsid w:val="008D631F"/>
    <w:rsid w:val="008D652D"/>
    <w:rsid w:val="008D6E69"/>
    <w:rsid w:val="008D72BD"/>
    <w:rsid w:val="008D79EA"/>
    <w:rsid w:val="008D7A8B"/>
    <w:rsid w:val="008D7C30"/>
    <w:rsid w:val="008D7D4E"/>
    <w:rsid w:val="008E07A7"/>
    <w:rsid w:val="008E08E2"/>
    <w:rsid w:val="008E0C07"/>
    <w:rsid w:val="008E10CC"/>
    <w:rsid w:val="008E133F"/>
    <w:rsid w:val="008E1A46"/>
    <w:rsid w:val="008E1AE1"/>
    <w:rsid w:val="008E1DE4"/>
    <w:rsid w:val="008E2000"/>
    <w:rsid w:val="008E2248"/>
    <w:rsid w:val="008E2484"/>
    <w:rsid w:val="008E2A92"/>
    <w:rsid w:val="008E33E7"/>
    <w:rsid w:val="008E34C4"/>
    <w:rsid w:val="008E3964"/>
    <w:rsid w:val="008E3FCF"/>
    <w:rsid w:val="008E41CD"/>
    <w:rsid w:val="008E44D3"/>
    <w:rsid w:val="008E46A0"/>
    <w:rsid w:val="008E4E9B"/>
    <w:rsid w:val="008E5354"/>
    <w:rsid w:val="008E565C"/>
    <w:rsid w:val="008E586B"/>
    <w:rsid w:val="008E5B3E"/>
    <w:rsid w:val="008E5F80"/>
    <w:rsid w:val="008E6223"/>
    <w:rsid w:val="008E637B"/>
    <w:rsid w:val="008E6BCE"/>
    <w:rsid w:val="008E7555"/>
    <w:rsid w:val="008E7793"/>
    <w:rsid w:val="008E7AC2"/>
    <w:rsid w:val="008E7C60"/>
    <w:rsid w:val="008E7C81"/>
    <w:rsid w:val="008E7EE9"/>
    <w:rsid w:val="008F005B"/>
    <w:rsid w:val="008F02AE"/>
    <w:rsid w:val="008F0352"/>
    <w:rsid w:val="008F051D"/>
    <w:rsid w:val="008F054A"/>
    <w:rsid w:val="008F054D"/>
    <w:rsid w:val="008F08FA"/>
    <w:rsid w:val="008F0BC9"/>
    <w:rsid w:val="008F0BE0"/>
    <w:rsid w:val="008F0D23"/>
    <w:rsid w:val="008F0D4C"/>
    <w:rsid w:val="008F0E7F"/>
    <w:rsid w:val="008F0FFC"/>
    <w:rsid w:val="008F1342"/>
    <w:rsid w:val="008F1675"/>
    <w:rsid w:val="008F16F6"/>
    <w:rsid w:val="008F195A"/>
    <w:rsid w:val="008F1F13"/>
    <w:rsid w:val="008F2030"/>
    <w:rsid w:val="008F222F"/>
    <w:rsid w:val="008F2242"/>
    <w:rsid w:val="008F27C4"/>
    <w:rsid w:val="008F27EF"/>
    <w:rsid w:val="008F2E66"/>
    <w:rsid w:val="008F30BB"/>
    <w:rsid w:val="008F31C9"/>
    <w:rsid w:val="008F3A9D"/>
    <w:rsid w:val="008F42FC"/>
    <w:rsid w:val="008F43D8"/>
    <w:rsid w:val="008F44CF"/>
    <w:rsid w:val="008F45FE"/>
    <w:rsid w:val="008F48D2"/>
    <w:rsid w:val="008F4EAE"/>
    <w:rsid w:val="008F511E"/>
    <w:rsid w:val="008F5163"/>
    <w:rsid w:val="008F52A7"/>
    <w:rsid w:val="008F556E"/>
    <w:rsid w:val="008F603E"/>
    <w:rsid w:val="008F60EF"/>
    <w:rsid w:val="008F640F"/>
    <w:rsid w:val="008F6551"/>
    <w:rsid w:val="008F6587"/>
    <w:rsid w:val="008F6CC1"/>
    <w:rsid w:val="008F70BB"/>
    <w:rsid w:val="008F7396"/>
    <w:rsid w:val="008F7C4A"/>
    <w:rsid w:val="008F7F6A"/>
    <w:rsid w:val="00900501"/>
    <w:rsid w:val="00900605"/>
    <w:rsid w:val="0090078A"/>
    <w:rsid w:val="0090097D"/>
    <w:rsid w:val="009009C0"/>
    <w:rsid w:val="009010CB"/>
    <w:rsid w:val="009016D1"/>
    <w:rsid w:val="0090187E"/>
    <w:rsid w:val="00901987"/>
    <w:rsid w:val="00901A09"/>
    <w:rsid w:val="00901C83"/>
    <w:rsid w:val="00901DAB"/>
    <w:rsid w:val="00901E73"/>
    <w:rsid w:val="0090219D"/>
    <w:rsid w:val="009024FB"/>
    <w:rsid w:val="00902595"/>
    <w:rsid w:val="00903379"/>
    <w:rsid w:val="009033F1"/>
    <w:rsid w:val="00903674"/>
    <w:rsid w:val="00903843"/>
    <w:rsid w:val="00903852"/>
    <w:rsid w:val="00903A0F"/>
    <w:rsid w:val="0090473E"/>
    <w:rsid w:val="00904B35"/>
    <w:rsid w:val="00904D93"/>
    <w:rsid w:val="0090513E"/>
    <w:rsid w:val="00905202"/>
    <w:rsid w:val="0090545C"/>
    <w:rsid w:val="0090546D"/>
    <w:rsid w:val="00905570"/>
    <w:rsid w:val="00905FD1"/>
    <w:rsid w:val="0090622E"/>
    <w:rsid w:val="009073C6"/>
    <w:rsid w:val="009074C4"/>
    <w:rsid w:val="00907A93"/>
    <w:rsid w:val="00907B15"/>
    <w:rsid w:val="00907C5D"/>
    <w:rsid w:val="0091039F"/>
    <w:rsid w:val="009109B4"/>
    <w:rsid w:val="00910A57"/>
    <w:rsid w:val="00910C4E"/>
    <w:rsid w:val="00910C55"/>
    <w:rsid w:val="00910C91"/>
    <w:rsid w:val="00910CC7"/>
    <w:rsid w:val="009118ED"/>
    <w:rsid w:val="0091197E"/>
    <w:rsid w:val="009119CD"/>
    <w:rsid w:val="0091223A"/>
    <w:rsid w:val="009123A4"/>
    <w:rsid w:val="00912657"/>
    <w:rsid w:val="00912E64"/>
    <w:rsid w:val="009133B1"/>
    <w:rsid w:val="00913453"/>
    <w:rsid w:val="009134AE"/>
    <w:rsid w:val="009138B4"/>
    <w:rsid w:val="00913CD6"/>
    <w:rsid w:val="00913FB7"/>
    <w:rsid w:val="00914796"/>
    <w:rsid w:val="00914907"/>
    <w:rsid w:val="00914BA6"/>
    <w:rsid w:val="00914C30"/>
    <w:rsid w:val="0091502B"/>
    <w:rsid w:val="00915174"/>
    <w:rsid w:val="009153EE"/>
    <w:rsid w:val="009156E0"/>
    <w:rsid w:val="00916A33"/>
    <w:rsid w:val="00916AFD"/>
    <w:rsid w:val="00916F2E"/>
    <w:rsid w:val="00916F97"/>
    <w:rsid w:val="00916FF8"/>
    <w:rsid w:val="009171F4"/>
    <w:rsid w:val="009178AF"/>
    <w:rsid w:val="00917923"/>
    <w:rsid w:val="00917BC0"/>
    <w:rsid w:val="00917F64"/>
    <w:rsid w:val="00920003"/>
    <w:rsid w:val="00920387"/>
    <w:rsid w:val="009203DF"/>
    <w:rsid w:val="0092086F"/>
    <w:rsid w:val="00920C09"/>
    <w:rsid w:val="00920F24"/>
    <w:rsid w:val="00921478"/>
    <w:rsid w:val="0092178B"/>
    <w:rsid w:val="009217C8"/>
    <w:rsid w:val="0092186F"/>
    <w:rsid w:val="00922303"/>
    <w:rsid w:val="0092261C"/>
    <w:rsid w:val="009226C3"/>
    <w:rsid w:val="00922700"/>
    <w:rsid w:val="00922A9B"/>
    <w:rsid w:val="00922C25"/>
    <w:rsid w:val="00923AA2"/>
    <w:rsid w:val="00923B3A"/>
    <w:rsid w:val="00923F32"/>
    <w:rsid w:val="009244FE"/>
    <w:rsid w:val="009246B2"/>
    <w:rsid w:val="00924AC8"/>
    <w:rsid w:val="00924C4A"/>
    <w:rsid w:val="00925212"/>
    <w:rsid w:val="00925426"/>
    <w:rsid w:val="009254DF"/>
    <w:rsid w:val="009254EB"/>
    <w:rsid w:val="009258C7"/>
    <w:rsid w:val="00925906"/>
    <w:rsid w:val="00925934"/>
    <w:rsid w:val="00925D69"/>
    <w:rsid w:val="009262FD"/>
    <w:rsid w:val="009263D2"/>
    <w:rsid w:val="0092643B"/>
    <w:rsid w:val="0092647D"/>
    <w:rsid w:val="009264D2"/>
    <w:rsid w:val="00926840"/>
    <w:rsid w:val="00926DDE"/>
    <w:rsid w:val="00926EA9"/>
    <w:rsid w:val="00926F11"/>
    <w:rsid w:val="009273AE"/>
    <w:rsid w:val="00927EE6"/>
    <w:rsid w:val="00927F5F"/>
    <w:rsid w:val="0093018F"/>
    <w:rsid w:val="009302AF"/>
    <w:rsid w:val="009309C5"/>
    <w:rsid w:val="009309CC"/>
    <w:rsid w:val="0093123F"/>
    <w:rsid w:val="00931A2B"/>
    <w:rsid w:val="00931BA5"/>
    <w:rsid w:val="00931C32"/>
    <w:rsid w:val="00931E57"/>
    <w:rsid w:val="00932591"/>
    <w:rsid w:val="00932697"/>
    <w:rsid w:val="00932961"/>
    <w:rsid w:val="009329D7"/>
    <w:rsid w:val="00932AA6"/>
    <w:rsid w:val="00932B6B"/>
    <w:rsid w:val="009331DB"/>
    <w:rsid w:val="0093397F"/>
    <w:rsid w:val="00933BDC"/>
    <w:rsid w:val="00933F37"/>
    <w:rsid w:val="0093410E"/>
    <w:rsid w:val="0093421D"/>
    <w:rsid w:val="00934563"/>
    <w:rsid w:val="00934609"/>
    <w:rsid w:val="0093463B"/>
    <w:rsid w:val="0093465F"/>
    <w:rsid w:val="009350C8"/>
    <w:rsid w:val="0093517F"/>
    <w:rsid w:val="0093538E"/>
    <w:rsid w:val="009353ED"/>
    <w:rsid w:val="009354DB"/>
    <w:rsid w:val="009359D6"/>
    <w:rsid w:val="00935D3B"/>
    <w:rsid w:val="009360A4"/>
    <w:rsid w:val="0093618C"/>
    <w:rsid w:val="009361C9"/>
    <w:rsid w:val="00936743"/>
    <w:rsid w:val="0093681F"/>
    <w:rsid w:val="0093690E"/>
    <w:rsid w:val="00936AA7"/>
    <w:rsid w:val="00936D57"/>
    <w:rsid w:val="00936FD8"/>
    <w:rsid w:val="0093706B"/>
    <w:rsid w:val="009371A3"/>
    <w:rsid w:val="0093720F"/>
    <w:rsid w:val="00937FB3"/>
    <w:rsid w:val="009402CE"/>
    <w:rsid w:val="00940A8A"/>
    <w:rsid w:val="00940B99"/>
    <w:rsid w:val="00940FAF"/>
    <w:rsid w:val="00941DFD"/>
    <w:rsid w:val="00941FE6"/>
    <w:rsid w:val="00942854"/>
    <w:rsid w:val="00942857"/>
    <w:rsid w:val="009429DD"/>
    <w:rsid w:val="00942AF3"/>
    <w:rsid w:val="009439F6"/>
    <w:rsid w:val="00943D78"/>
    <w:rsid w:val="009441FB"/>
    <w:rsid w:val="0094471A"/>
    <w:rsid w:val="009447DF"/>
    <w:rsid w:val="00944899"/>
    <w:rsid w:val="00944998"/>
    <w:rsid w:val="00944D1F"/>
    <w:rsid w:val="009452A2"/>
    <w:rsid w:val="00945334"/>
    <w:rsid w:val="009456B2"/>
    <w:rsid w:val="009457D9"/>
    <w:rsid w:val="009461F9"/>
    <w:rsid w:val="00946678"/>
    <w:rsid w:val="009468A5"/>
    <w:rsid w:val="00946942"/>
    <w:rsid w:val="00946DC6"/>
    <w:rsid w:val="00946E28"/>
    <w:rsid w:val="009470CB"/>
    <w:rsid w:val="00947417"/>
    <w:rsid w:val="00947AF7"/>
    <w:rsid w:val="00947BA7"/>
    <w:rsid w:val="00950700"/>
    <w:rsid w:val="00950720"/>
    <w:rsid w:val="00950BC7"/>
    <w:rsid w:val="0095102E"/>
    <w:rsid w:val="009510A8"/>
    <w:rsid w:val="00951295"/>
    <w:rsid w:val="00951F13"/>
    <w:rsid w:val="00951F1E"/>
    <w:rsid w:val="00952232"/>
    <w:rsid w:val="00952A0D"/>
    <w:rsid w:val="00952FCE"/>
    <w:rsid w:val="0095316D"/>
    <w:rsid w:val="0095341A"/>
    <w:rsid w:val="00953465"/>
    <w:rsid w:val="009534A1"/>
    <w:rsid w:val="00953621"/>
    <w:rsid w:val="00953D4A"/>
    <w:rsid w:val="009543B5"/>
    <w:rsid w:val="009545E2"/>
    <w:rsid w:val="009548BB"/>
    <w:rsid w:val="00954DE6"/>
    <w:rsid w:val="00954DEF"/>
    <w:rsid w:val="00954FE9"/>
    <w:rsid w:val="00955304"/>
    <w:rsid w:val="009565DA"/>
    <w:rsid w:val="00956F92"/>
    <w:rsid w:val="009571FE"/>
    <w:rsid w:val="009577E6"/>
    <w:rsid w:val="00957B4F"/>
    <w:rsid w:val="00957B8C"/>
    <w:rsid w:val="00957D67"/>
    <w:rsid w:val="009602E8"/>
    <w:rsid w:val="009606CD"/>
    <w:rsid w:val="00960877"/>
    <w:rsid w:val="00960914"/>
    <w:rsid w:val="00960979"/>
    <w:rsid w:val="00961279"/>
    <w:rsid w:val="009613E7"/>
    <w:rsid w:val="0096150B"/>
    <w:rsid w:val="00961793"/>
    <w:rsid w:val="00961882"/>
    <w:rsid w:val="009619CD"/>
    <w:rsid w:val="00961CC2"/>
    <w:rsid w:val="00961D5D"/>
    <w:rsid w:val="00961D89"/>
    <w:rsid w:val="00961F12"/>
    <w:rsid w:val="009621AA"/>
    <w:rsid w:val="009623EE"/>
    <w:rsid w:val="0096287F"/>
    <w:rsid w:val="00962FB2"/>
    <w:rsid w:val="00963193"/>
    <w:rsid w:val="0096329F"/>
    <w:rsid w:val="009633EB"/>
    <w:rsid w:val="0096367C"/>
    <w:rsid w:val="009638AE"/>
    <w:rsid w:val="009639BF"/>
    <w:rsid w:val="00963BF3"/>
    <w:rsid w:val="009652C6"/>
    <w:rsid w:val="00965590"/>
    <w:rsid w:val="00965681"/>
    <w:rsid w:val="0096568F"/>
    <w:rsid w:val="009656C8"/>
    <w:rsid w:val="0096578A"/>
    <w:rsid w:val="009658B3"/>
    <w:rsid w:val="00965A49"/>
    <w:rsid w:val="00965AC5"/>
    <w:rsid w:val="00965DF8"/>
    <w:rsid w:val="00965F11"/>
    <w:rsid w:val="00966756"/>
    <w:rsid w:val="00967A8E"/>
    <w:rsid w:val="00967D0B"/>
    <w:rsid w:val="0097026D"/>
    <w:rsid w:val="00970568"/>
    <w:rsid w:val="0097060E"/>
    <w:rsid w:val="00970A8E"/>
    <w:rsid w:val="00970DCF"/>
    <w:rsid w:val="00970EA0"/>
    <w:rsid w:val="00970EC3"/>
    <w:rsid w:val="00970FA2"/>
    <w:rsid w:val="00971190"/>
    <w:rsid w:val="009713EA"/>
    <w:rsid w:val="009714B6"/>
    <w:rsid w:val="00971826"/>
    <w:rsid w:val="00971E4D"/>
    <w:rsid w:val="00972617"/>
    <w:rsid w:val="00972B23"/>
    <w:rsid w:val="00972FDF"/>
    <w:rsid w:val="009734BF"/>
    <w:rsid w:val="0097371B"/>
    <w:rsid w:val="00973B7A"/>
    <w:rsid w:val="00973D80"/>
    <w:rsid w:val="00973DE9"/>
    <w:rsid w:val="00974249"/>
    <w:rsid w:val="009742D7"/>
    <w:rsid w:val="00974661"/>
    <w:rsid w:val="009746AB"/>
    <w:rsid w:val="00974F72"/>
    <w:rsid w:val="0097500E"/>
    <w:rsid w:val="009750FE"/>
    <w:rsid w:val="00975477"/>
    <w:rsid w:val="00975C22"/>
    <w:rsid w:val="00976373"/>
    <w:rsid w:val="00976457"/>
    <w:rsid w:val="00976467"/>
    <w:rsid w:val="00976689"/>
    <w:rsid w:val="00976A71"/>
    <w:rsid w:val="009772FE"/>
    <w:rsid w:val="00977AB1"/>
    <w:rsid w:val="0098012A"/>
    <w:rsid w:val="00980245"/>
    <w:rsid w:val="009807BA"/>
    <w:rsid w:val="0098088F"/>
    <w:rsid w:val="00980ACD"/>
    <w:rsid w:val="0098109E"/>
    <w:rsid w:val="00981383"/>
    <w:rsid w:val="00981624"/>
    <w:rsid w:val="0098183C"/>
    <w:rsid w:val="00981CC9"/>
    <w:rsid w:val="00981D0D"/>
    <w:rsid w:val="00982539"/>
    <w:rsid w:val="00982BBC"/>
    <w:rsid w:val="00982E3C"/>
    <w:rsid w:val="00982FD4"/>
    <w:rsid w:val="009834BC"/>
    <w:rsid w:val="00983858"/>
    <w:rsid w:val="00983AB7"/>
    <w:rsid w:val="00983DB1"/>
    <w:rsid w:val="0098442A"/>
    <w:rsid w:val="00984800"/>
    <w:rsid w:val="00984879"/>
    <w:rsid w:val="009849ED"/>
    <w:rsid w:val="00984E3D"/>
    <w:rsid w:val="00984ED2"/>
    <w:rsid w:val="00985101"/>
    <w:rsid w:val="009852AC"/>
    <w:rsid w:val="00985FEB"/>
    <w:rsid w:val="00986D21"/>
    <w:rsid w:val="00986EA4"/>
    <w:rsid w:val="009872E4"/>
    <w:rsid w:val="0098762F"/>
    <w:rsid w:val="009877B6"/>
    <w:rsid w:val="00987931"/>
    <w:rsid w:val="00987C66"/>
    <w:rsid w:val="00990175"/>
    <w:rsid w:val="0099058C"/>
    <w:rsid w:val="00990717"/>
    <w:rsid w:val="009908CD"/>
    <w:rsid w:val="00990C31"/>
    <w:rsid w:val="00990F10"/>
    <w:rsid w:val="00990FB1"/>
    <w:rsid w:val="009919A1"/>
    <w:rsid w:val="00991B92"/>
    <w:rsid w:val="00991C11"/>
    <w:rsid w:val="00991E10"/>
    <w:rsid w:val="00992184"/>
    <w:rsid w:val="00992392"/>
    <w:rsid w:val="00992909"/>
    <w:rsid w:val="00993506"/>
    <w:rsid w:val="00993638"/>
    <w:rsid w:val="009937B3"/>
    <w:rsid w:val="009937DA"/>
    <w:rsid w:val="00993FA6"/>
    <w:rsid w:val="0099451E"/>
    <w:rsid w:val="009945DB"/>
    <w:rsid w:val="009954B5"/>
    <w:rsid w:val="0099564B"/>
    <w:rsid w:val="00995792"/>
    <w:rsid w:val="00995BA2"/>
    <w:rsid w:val="00995D4F"/>
    <w:rsid w:val="009963F7"/>
    <w:rsid w:val="009964B7"/>
    <w:rsid w:val="0099681B"/>
    <w:rsid w:val="009968E6"/>
    <w:rsid w:val="00996E48"/>
    <w:rsid w:val="00997C13"/>
    <w:rsid w:val="00997D56"/>
    <w:rsid w:val="009A0176"/>
    <w:rsid w:val="009A0357"/>
    <w:rsid w:val="009A0453"/>
    <w:rsid w:val="009A070A"/>
    <w:rsid w:val="009A1669"/>
    <w:rsid w:val="009A1764"/>
    <w:rsid w:val="009A1A5D"/>
    <w:rsid w:val="009A1BEB"/>
    <w:rsid w:val="009A2072"/>
    <w:rsid w:val="009A2855"/>
    <w:rsid w:val="009A2C3D"/>
    <w:rsid w:val="009A2CCA"/>
    <w:rsid w:val="009A2F92"/>
    <w:rsid w:val="009A36B9"/>
    <w:rsid w:val="009A38DE"/>
    <w:rsid w:val="009A3A5C"/>
    <w:rsid w:val="009A3A66"/>
    <w:rsid w:val="009A3C69"/>
    <w:rsid w:val="009A444F"/>
    <w:rsid w:val="009A4692"/>
    <w:rsid w:val="009A46F8"/>
    <w:rsid w:val="009A476A"/>
    <w:rsid w:val="009A485F"/>
    <w:rsid w:val="009A48C9"/>
    <w:rsid w:val="009A491F"/>
    <w:rsid w:val="009A4ABC"/>
    <w:rsid w:val="009A4AE1"/>
    <w:rsid w:val="009A4C6D"/>
    <w:rsid w:val="009A4D1F"/>
    <w:rsid w:val="009A4FB7"/>
    <w:rsid w:val="009A5208"/>
    <w:rsid w:val="009A539A"/>
    <w:rsid w:val="009A570D"/>
    <w:rsid w:val="009A580B"/>
    <w:rsid w:val="009A588A"/>
    <w:rsid w:val="009A6B70"/>
    <w:rsid w:val="009A6F56"/>
    <w:rsid w:val="009A71F2"/>
    <w:rsid w:val="009A7966"/>
    <w:rsid w:val="009A7C5B"/>
    <w:rsid w:val="009B03D0"/>
    <w:rsid w:val="009B055B"/>
    <w:rsid w:val="009B0680"/>
    <w:rsid w:val="009B0942"/>
    <w:rsid w:val="009B0A07"/>
    <w:rsid w:val="009B0D84"/>
    <w:rsid w:val="009B119E"/>
    <w:rsid w:val="009B12B2"/>
    <w:rsid w:val="009B12CA"/>
    <w:rsid w:val="009B1A80"/>
    <w:rsid w:val="009B21C1"/>
    <w:rsid w:val="009B2205"/>
    <w:rsid w:val="009B2412"/>
    <w:rsid w:val="009B26BD"/>
    <w:rsid w:val="009B28F4"/>
    <w:rsid w:val="009B2FE9"/>
    <w:rsid w:val="009B38C1"/>
    <w:rsid w:val="009B3E7D"/>
    <w:rsid w:val="009B42C7"/>
    <w:rsid w:val="009B4AAF"/>
    <w:rsid w:val="009B4B4D"/>
    <w:rsid w:val="009B4C3C"/>
    <w:rsid w:val="009B5198"/>
    <w:rsid w:val="009B51E9"/>
    <w:rsid w:val="009B52D0"/>
    <w:rsid w:val="009B58CB"/>
    <w:rsid w:val="009B59D7"/>
    <w:rsid w:val="009B5C69"/>
    <w:rsid w:val="009B5E37"/>
    <w:rsid w:val="009B5E56"/>
    <w:rsid w:val="009B5F36"/>
    <w:rsid w:val="009B6157"/>
    <w:rsid w:val="009B65D3"/>
    <w:rsid w:val="009B664E"/>
    <w:rsid w:val="009B66CD"/>
    <w:rsid w:val="009B689F"/>
    <w:rsid w:val="009B6F65"/>
    <w:rsid w:val="009B6FB5"/>
    <w:rsid w:val="009B752A"/>
    <w:rsid w:val="009B7BBA"/>
    <w:rsid w:val="009C02BD"/>
    <w:rsid w:val="009C03B6"/>
    <w:rsid w:val="009C0527"/>
    <w:rsid w:val="009C0761"/>
    <w:rsid w:val="009C07BC"/>
    <w:rsid w:val="009C07C7"/>
    <w:rsid w:val="009C0E04"/>
    <w:rsid w:val="009C2422"/>
    <w:rsid w:val="009C2B24"/>
    <w:rsid w:val="009C2CA0"/>
    <w:rsid w:val="009C2D65"/>
    <w:rsid w:val="009C2F6A"/>
    <w:rsid w:val="009C305B"/>
    <w:rsid w:val="009C327E"/>
    <w:rsid w:val="009C34FD"/>
    <w:rsid w:val="009C358B"/>
    <w:rsid w:val="009C3800"/>
    <w:rsid w:val="009C380D"/>
    <w:rsid w:val="009C3D45"/>
    <w:rsid w:val="009C4106"/>
    <w:rsid w:val="009C4200"/>
    <w:rsid w:val="009C42A1"/>
    <w:rsid w:val="009C430A"/>
    <w:rsid w:val="009C492E"/>
    <w:rsid w:val="009C4EEA"/>
    <w:rsid w:val="009C54E0"/>
    <w:rsid w:val="009C697A"/>
    <w:rsid w:val="009C6EC7"/>
    <w:rsid w:val="009C6ECA"/>
    <w:rsid w:val="009C72E9"/>
    <w:rsid w:val="009C7672"/>
    <w:rsid w:val="009C775D"/>
    <w:rsid w:val="009C77EB"/>
    <w:rsid w:val="009C7831"/>
    <w:rsid w:val="009C7933"/>
    <w:rsid w:val="009C7C13"/>
    <w:rsid w:val="009D0177"/>
    <w:rsid w:val="009D049A"/>
    <w:rsid w:val="009D0843"/>
    <w:rsid w:val="009D0D35"/>
    <w:rsid w:val="009D0EB6"/>
    <w:rsid w:val="009D10F9"/>
    <w:rsid w:val="009D1185"/>
    <w:rsid w:val="009D1230"/>
    <w:rsid w:val="009D1871"/>
    <w:rsid w:val="009D195B"/>
    <w:rsid w:val="009D196D"/>
    <w:rsid w:val="009D1FB5"/>
    <w:rsid w:val="009D200A"/>
    <w:rsid w:val="009D20D0"/>
    <w:rsid w:val="009D2B07"/>
    <w:rsid w:val="009D2DF5"/>
    <w:rsid w:val="009D354C"/>
    <w:rsid w:val="009D3812"/>
    <w:rsid w:val="009D383E"/>
    <w:rsid w:val="009D39AC"/>
    <w:rsid w:val="009D3BD0"/>
    <w:rsid w:val="009D3BF1"/>
    <w:rsid w:val="009D4012"/>
    <w:rsid w:val="009D441F"/>
    <w:rsid w:val="009D4543"/>
    <w:rsid w:val="009D47C9"/>
    <w:rsid w:val="009D4823"/>
    <w:rsid w:val="009D4C4B"/>
    <w:rsid w:val="009D507B"/>
    <w:rsid w:val="009D545E"/>
    <w:rsid w:val="009D5473"/>
    <w:rsid w:val="009D5611"/>
    <w:rsid w:val="009D58E1"/>
    <w:rsid w:val="009D5ABC"/>
    <w:rsid w:val="009D5F65"/>
    <w:rsid w:val="009D6337"/>
    <w:rsid w:val="009D6785"/>
    <w:rsid w:val="009D7369"/>
    <w:rsid w:val="009D7B59"/>
    <w:rsid w:val="009E09D5"/>
    <w:rsid w:val="009E10BF"/>
    <w:rsid w:val="009E1404"/>
    <w:rsid w:val="009E1900"/>
    <w:rsid w:val="009E1D65"/>
    <w:rsid w:val="009E2095"/>
    <w:rsid w:val="009E25C6"/>
    <w:rsid w:val="009E2BDB"/>
    <w:rsid w:val="009E2CB0"/>
    <w:rsid w:val="009E3190"/>
    <w:rsid w:val="009E334C"/>
    <w:rsid w:val="009E340F"/>
    <w:rsid w:val="009E364F"/>
    <w:rsid w:val="009E3686"/>
    <w:rsid w:val="009E39DB"/>
    <w:rsid w:val="009E3C70"/>
    <w:rsid w:val="009E3D30"/>
    <w:rsid w:val="009E3DBD"/>
    <w:rsid w:val="009E3F9A"/>
    <w:rsid w:val="009E3FC1"/>
    <w:rsid w:val="009E42B6"/>
    <w:rsid w:val="009E460C"/>
    <w:rsid w:val="009E48C2"/>
    <w:rsid w:val="009E4AB3"/>
    <w:rsid w:val="009E4EB8"/>
    <w:rsid w:val="009E5318"/>
    <w:rsid w:val="009E5386"/>
    <w:rsid w:val="009E53C4"/>
    <w:rsid w:val="009E55A9"/>
    <w:rsid w:val="009E577C"/>
    <w:rsid w:val="009E5E0F"/>
    <w:rsid w:val="009E60DA"/>
    <w:rsid w:val="009E64AC"/>
    <w:rsid w:val="009E6A87"/>
    <w:rsid w:val="009E6BAB"/>
    <w:rsid w:val="009E6FE1"/>
    <w:rsid w:val="009E7855"/>
    <w:rsid w:val="009E7AD9"/>
    <w:rsid w:val="009E7ADC"/>
    <w:rsid w:val="009E7F2D"/>
    <w:rsid w:val="009F032D"/>
    <w:rsid w:val="009F0CC3"/>
    <w:rsid w:val="009F0F42"/>
    <w:rsid w:val="009F0F68"/>
    <w:rsid w:val="009F1034"/>
    <w:rsid w:val="009F10D1"/>
    <w:rsid w:val="009F1107"/>
    <w:rsid w:val="009F1308"/>
    <w:rsid w:val="009F1B6D"/>
    <w:rsid w:val="009F1D33"/>
    <w:rsid w:val="009F1FF6"/>
    <w:rsid w:val="009F202B"/>
    <w:rsid w:val="009F2BB1"/>
    <w:rsid w:val="009F2C4D"/>
    <w:rsid w:val="009F2DF2"/>
    <w:rsid w:val="009F2EAA"/>
    <w:rsid w:val="009F2ED0"/>
    <w:rsid w:val="009F30B4"/>
    <w:rsid w:val="009F310A"/>
    <w:rsid w:val="009F37BF"/>
    <w:rsid w:val="009F3AC2"/>
    <w:rsid w:val="009F3ACD"/>
    <w:rsid w:val="009F3D59"/>
    <w:rsid w:val="009F4130"/>
    <w:rsid w:val="009F433B"/>
    <w:rsid w:val="009F443E"/>
    <w:rsid w:val="009F46A7"/>
    <w:rsid w:val="009F4F42"/>
    <w:rsid w:val="009F5493"/>
    <w:rsid w:val="009F5797"/>
    <w:rsid w:val="009F5842"/>
    <w:rsid w:val="009F591D"/>
    <w:rsid w:val="009F62B2"/>
    <w:rsid w:val="009F6699"/>
    <w:rsid w:val="009F68A4"/>
    <w:rsid w:val="009F68A8"/>
    <w:rsid w:val="009F7058"/>
    <w:rsid w:val="009F709F"/>
    <w:rsid w:val="009F70F8"/>
    <w:rsid w:val="009F71AB"/>
    <w:rsid w:val="009F7324"/>
    <w:rsid w:val="009F757F"/>
    <w:rsid w:val="00A0057C"/>
    <w:rsid w:val="00A00721"/>
    <w:rsid w:val="00A0079C"/>
    <w:rsid w:val="00A007FF"/>
    <w:rsid w:val="00A00A8B"/>
    <w:rsid w:val="00A01C7B"/>
    <w:rsid w:val="00A02377"/>
    <w:rsid w:val="00A025FA"/>
    <w:rsid w:val="00A02752"/>
    <w:rsid w:val="00A02888"/>
    <w:rsid w:val="00A0298B"/>
    <w:rsid w:val="00A02B07"/>
    <w:rsid w:val="00A02CE4"/>
    <w:rsid w:val="00A03240"/>
    <w:rsid w:val="00A03835"/>
    <w:rsid w:val="00A03E43"/>
    <w:rsid w:val="00A04A6B"/>
    <w:rsid w:val="00A04AC9"/>
    <w:rsid w:val="00A04B98"/>
    <w:rsid w:val="00A050D3"/>
    <w:rsid w:val="00A05189"/>
    <w:rsid w:val="00A0527D"/>
    <w:rsid w:val="00A055DF"/>
    <w:rsid w:val="00A0561D"/>
    <w:rsid w:val="00A0570B"/>
    <w:rsid w:val="00A05751"/>
    <w:rsid w:val="00A05B00"/>
    <w:rsid w:val="00A05CDD"/>
    <w:rsid w:val="00A05F7E"/>
    <w:rsid w:val="00A060E0"/>
    <w:rsid w:val="00A06225"/>
    <w:rsid w:val="00A06AB8"/>
    <w:rsid w:val="00A06C52"/>
    <w:rsid w:val="00A071D0"/>
    <w:rsid w:val="00A0728D"/>
    <w:rsid w:val="00A07726"/>
    <w:rsid w:val="00A0773E"/>
    <w:rsid w:val="00A07A21"/>
    <w:rsid w:val="00A07A99"/>
    <w:rsid w:val="00A07CB4"/>
    <w:rsid w:val="00A07F21"/>
    <w:rsid w:val="00A07FB9"/>
    <w:rsid w:val="00A07FCA"/>
    <w:rsid w:val="00A10266"/>
    <w:rsid w:val="00A1034D"/>
    <w:rsid w:val="00A10392"/>
    <w:rsid w:val="00A10691"/>
    <w:rsid w:val="00A107C2"/>
    <w:rsid w:val="00A10A88"/>
    <w:rsid w:val="00A10B00"/>
    <w:rsid w:val="00A10B3C"/>
    <w:rsid w:val="00A10EF4"/>
    <w:rsid w:val="00A111D9"/>
    <w:rsid w:val="00A117AE"/>
    <w:rsid w:val="00A1271F"/>
    <w:rsid w:val="00A12766"/>
    <w:rsid w:val="00A12D0D"/>
    <w:rsid w:val="00A1324E"/>
    <w:rsid w:val="00A135B6"/>
    <w:rsid w:val="00A140B1"/>
    <w:rsid w:val="00A141C0"/>
    <w:rsid w:val="00A143F5"/>
    <w:rsid w:val="00A14AB7"/>
    <w:rsid w:val="00A14ED5"/>
    <w:rsid w:val="00A15148"/>
    <w:rsid w:val="00A153CA"/>
    <w:rsid w:val="00A15446"/>
    <w:rsid w:val="00A155DD"/>
    <w:rsid w:val="00A156DF"/>
    <w:rsid w:val="00A15737"/>
    <w:rsid w:val="00A163FB"/>
    <w:rsid w:val="00A16464"/>
    <w:rsid w:val="00A1654A"/>
    <w:rsid w:val="00A16972"/>
    <w:rsid w:val="00A16AE1"/>
    <w:rsid w:val="00A16CF9"/>
    <w:rsid w:val="00A16E7F"/>
    <w:rsid w:val="00A17544"/>
    <w:rsid w:val="00A176AC"/>
    <w:rsid w:val="00A17778"/>
    <w:rsid w:val="00A17905"/>
    <w:rsid w:val="00A179CA"/>
    <w:rsid w:val="00A17A26"/>
    <w:rsid w:val="00A201D8"/>
    <w:rsid w:val="00A202C2"/>
    <w:rsid w:val="00A207C0"/>
    <w:rsid w:val="00A20B84"/>
    <w:rsid w:val="00A20C21"/>
    <w:rsid w:val="00A2128B"/>
    <w:rsid w:val="00A2168D"/>
    <w:rsid w:val="00A2187E"/>
    <w:rsid w:val="00A21976"/>
    <w:rsid w:val="00A21A2A"/>
    <w:rsid w:val="00A21A85"/>
    <w:rsid w:val="00A21BE8"/>
    <w:rsid w:val="00A2239E"/>
    <w:rsid w:val="00A228F1"/>
    <w:rsid w:val="00A22CF2"/>
    <w:rsid w:val="00A22D54"/>
    <w:rsid w:val="00A23392"/>
    <w:rsid w:val="00A236DB"/>
    <w:rsid w:val="00A23E1B"/>
    <w:rsid w:val="00A23E80"/>
    <w:rsid w:val="00A23E8B"/>
    <w:rsid w:val="00A23EF5"/>
    <w:rsid w:val="00A24132"/>
    <w:rsid w:val="00A2416F"/>
    <w:rsid w:val="00A241E0"/>
    <w:rsid w:val="00A244D1"/>
    <w:rsid w:val="00A245FA"/>
    <w:rsid w:val="00A2486D"/>
    <w:rsid w:val="00A24A30"/>
    <w:rsid w:val="00A24CDA"/>
    <w:rsid w:val="00A24D02"/>
    <w:rsid w:val="00A24DBE"/>
    <w:rsid w:val="00A24FD8"/>
    <w:rsid w:val="00A25034"/>
    <w:rsid w:val="00A2522F"/>
    <w:rsid w:val="00A25381"/>
    <w:rsid w:val="00A257D7"/>
    <w:rsid w:val="00A257FA"/>
    <w:rsid w:val="00A258AC"/>
    <w:rsid w:val="00A25E06"/>
    <w:rsid w:val="00A2678E"/>
    <w:rsid w:val="00A271AA"/>
    <w:rsid w:val="00A273C3"/>
    <w:rsid w:val="00A301A1"/>
    <w:rsid w:val="00A3021A"/>
    <w:rsid w:val="00A30402"/>
    <w:rsid w:val="00A30634"/>
    <w:rsid w:val="00A3073A"/>
    <w:rsid w:val="00A30783"/>
    <w:rsid w:val="00A308A0"/>
    <w:rsid w:val="00A31044"/>
    <w:rsid w:val="00A31072"/>
    <w:rsid w:val="00A31159"/>
    <w:rsid w:val="00A3120C"/>
    <w:rsid w:val="00A3146E"/>
    <w:rsid w:val="00A31681"/>
    <w:rsid w:val="00A31854"/>
    <w:rsid w:val="00A31B97"/>
    <w:rsid w:val="00A32294"/>
    <w:rsid w:val="00A32A97"/>
    <w:rsid w:val="00A32D12"/>
    <w:rsid w:val="00A32E66"/>
    <w:rsid w:val="00A330F7"/>
    <w:rsid w:val="00A33172"/>
    <w:rsid w:val="00A33233"/>
    <w:rsid w:val="00A337AA"/>
    <w:rsid w:val="00A33851"/>
    <w:rsid w:val="00A33B5C"/>
    <w:rsid w:val="00A33BDF"/>
    <w:rsid w:val="00A33E0B"/>
    <w:rsid w:val="00A34180"/>
    <w:rsid w:val="00A34762"/>
    <w:rsid w:val="00A348A4"/>
    <w:rsid w:val="00A348E2"/>
    <w:rsid w:val="00A34A35"/>
    <w:rsid w:val="00A3540C"/>
    <w:rsid w:val="00A358AB"/>
    <w:rsid w:val="00A35B82"/>
    <w:rsid w:val="00A35BAD"/>
    <w:rsid w:val="00A3625A"/>
    <w:rsid w:val="00A364AC"/>
    <w:rsid w:val="00A366B5"/>
    <w:rsid w:val="00A3678A"/>
    <w:rsid w:val="00A36B71"/>
    <w:rsid w:val="00A36FCD"/>
    <w:rsid w:val="00A37069"/>
    <w:rsid w:val="00A3708E"/>
    <w:rsid w:val="00A37515"/>
    <w:rsid w:val="00A37B31"/>
    <w:rsid w:val="00A401D7"/>
    <w:rsid w:val="00A40300"/>
    <w:rsid w:val="00A40DAB"/>
    <w:rsid w:val="00A412DB"/>
    <w:rsid w:val="00A412FA"/>
    <w:rsid w:val="00A416BA"/>
    <w:rsid w:val="00A41E0D"/>
    <w:rsid w:val="00A4208D"/>
    <w:rsid w:val="00A42757"/>
    <w:rsid w:val="00A42F07"/>
    <w:rsid w:val="00A43523"/>
    <w:rsid w:val="00A4369E"/>
    <w:rsid w:val="00A436F8"/>
    <w:rsid w:val="00A43719"/>
    <w:rsid w:val="00A437A8"/>
    <w:rsid w:val="00A43C2E"/>
    <w:rsid w:val="00A4499F"/>
    <w:rsid w:val="00A44FC9"/>
    <w:rsid w:val="00A45968"/>
    <w:rsid w:val="00A46246"/>
    <w:rsid w:val="00A4766D"/>
    <w:rsid w:val="00A479A1"/>
    <w:rsid w:val="00A47DC5"/>
    <w:rsid w:val="00A47FF0"/>
    <w:rsid w:val="00A505D5"/>
    <w:rsid w:val="00A50E20"/>
    <w:rsid w:val="00A51463"/>
    <w:rsid w:val="00A51813"/>
    <w:rsid w:val="00A51D40"/>
    <w:rsid w:val="00A52891"/>
    <w:rsid w:val="00A52CAF"/>
    <w:rsid w:val="00A52CB4"/>
    <w:rsid w:val="00A52CEB"/>
    <w:rsid w:val="00A52E6A"/>
    <w:rsid w:val="00A52E72"/>
    <w:rsid w:val="00A52F7F"/>
    <w:rsid w:val="00A53044"/>
    <w:rsid w:val="00A53051"/>
    <w:rsid w:val="00A5306E"/>
    <w:rsid w:val="00A53192"/>
    <w:rsid w:val="00A53480"/>
    <w:rsid w:val="00A53854"/>
    <w:rsid w:val="00A53B85"/>
    <w:rsid w:val="00A540E1"/>
    <w:rsid w:val="00A542AC"/>
    <w:rsid w:val="00A544FC"/>
    <w:rsid w:val="00A54639"/>
    <w:rsid w:val="00A54928"/>
    <w:rsid w:val="00A549F8"/>
    <w:rsid w:val="00A54E20"/>
    <w:rsid w:val="00A5506D"/>
    <w:rsid w:val="00A55174"/>
    <w:rsid w:val="00A5555F"/>
    <w:rsid w:val="00A55F8A"/>
    <w:rsid w:val="00A56016"/>
    <w:rsid w:val="00A5677B"/>
    <w:rsid w:val="00A56D0A"/>
    <w:rsid w:val="00A56EEF"/>
    <w:rsid w:val="00A56F02"/>
    <w:rsid w:val="00A56F79"/>
    <w:rsid w:val="00A57329"/>
    <w:rsid w:val="00A57B37"/>
    <w:rsid w:val="00A57E98"/>
    <w:rsid w:val="00A57EE4"/>
    <w:rsid w:val="00A60292"/>
    <w:rsid w:val="00A603A5"/>
    <w:rsid w:val="00A60658"/>
    <w:rsid w:val="00A61354"/>
    <w:rsid w:val="00A61360"/>
    <w:rsid w:val="00A6187A"/>
    <w:rsid w:val="00A61B66"/>
    <w:rsid w:val="00A61E40"/>
    <w:rsid w:val="00A621D6"/>
    <w:rsid w:val="00A622D4"/>
    <w:rsid w:val="00A6230B"/>
    <w:rsid w:val="00A629B0"/>
    <w:rsid w:val="00A632D6"/>
    <w:rsid w:val="00A63E07"/>
    <w:rsid w:val="00A63FD4"/>
    <w:rsid w:val="00A64D0C"/>
    <w:rsid w:val="00A6533D"/>
    <w:rsid w:val="00A655AA"/>
    <w:rsid w:val="00A65E59"/>
    <w:rsid w:val="00A6633B"/>
    <w:rsid w:val="00A66579"/>
    <w:rsid w:val="00A6661D"/>
    <w:rsid w:val="00A669C1"/>
    <w:rsid w:val="00A66AC1"/>
    <w:rsid w:val="00A66E9D"/>
    <w:rsid w:val="00A67074"/>
    <w:rsid w:val="00A67190"/>
    <w:rsid w:val="00A67775"/>
    <w:rsid w:val="00A6783A"/>
    <w:rsid w:val="00A67AA8"/>
    <w:rsid w:val="00A67C76"/>
    <w:rsid w:val="00A70240"/>
    <w:rsid w:val="00A7062D"/>
    <w:rsid w:val="00A709F0"/>
    <w:rsid w:val="00A70D7C"/>
    <w:rsid w:val="00A7164E"/>
    <w:rsid w:val="00A7184F"/>
    <w:rsid w:val="00A71CB4"/>
    <w:rsid w:val="00A7234A"/>
    <w:rsid w:val="00A72F35"/>
    <w:rsid w:val="00A73026"/>
    <w:rsid w:val="00A7345E"/>
    <w:rsid w:val="00A737F3"/>
    <w:rsid w:val="00A73A66"/>
    <w:rsid w:val="00A73AD7"/>
    <w:rsid w:val="00A73B1E"/>
    <w:rsid w:val="00A74055"/>
    <w:rsid w:val="00A744A4"/>
    <w:rsid w:val="00A74843"/>
    <w:rsid w:val="00A75468"/>
    <w:rsid w:val="00A75A72"/>
    <w:rsid w:val="00A7612A"/>
    <w:rsid w:val="00A764AA"/>
    <w:rsid w:val="00A767DD"/>
    <w:rsid w:val="00A768DE"/>
    <w:rsid w:val="00A76C3A"/>
    <w:rsid w:val="00A76D2C"/>
    <w:rsid w:val="00A76EBD"/>
    <w:rsid w:val="00A76FD4"/>
    <w:rsid w:val="00A770BA"/>
    <w:rsid w:val="00A776B5"/>
    <w:rsid w:val="00A7793C"/>
    <w:rsid w:val="00A779A1"/>
    <w:rsid w:val="00A77ACB"/>
    <w:rsid w:val="00A77B55"/>
    <w:rsid w:val="00A77BBB"/>
    <w:rsid w:val="00A77EE8"/>
    <w:rsid w:val="00A80311"/>
    <w:rsid w:val="00A803CE"/>
    <w:rsid w:val="00A807CE"/>
    <w:rsid w:val="00A80B93"/>
    <w:rsid w:val="00A80CE6"/>
    <w:rsid w:val="00A80F90"/>
    <w:rsid w:val="00A814F5"/>
    <w:rsid w:val="00A81539"/>
    <w:rsid w:val="00A815B5"/>
    <w:rsid w:val="00A81911"/>
    <w:rsid w:val="00A81DCF"/>
    <w:rsid w:val="00A81FB1"/>
    <w:rsid w:val="00A820ED"/>
    <w:rsid w:val="00A8236C"/>
    <w:rsid w:val="00A823CD"/>
    <w:rsid w:val="00A82417"/>
    <w:rsid w:val="00A82906"/>
    <w:rsid w:val="00A82DD6"/>
    <w:rsid w:val="00A8362C"/>
    <w:rsid w:val="00A83759"/>
    <w:rsid w:val="00A837DF"/>
    <w:rsid w:val="00A8397E"/>
    <w:rsid w:val="00A83A0B"/>
    <w:rsid w:val="00A83DD7"/>
    <w:rsid w:val="00A84708"/>
    <w:rsid w:val="00A849D9"/>
    <w:rsid w:val="00A84BEE"/>
    <w:rsid w:val="00A84FFB"/>
    <w:rsid w:val="00A85162"/>
    <w:rsid w:val="00A852D3"/>
    <w:rsid w:val="00A85916"/>
    <w:rsid w:val="00A85E77"/>
    <w:rsid w:val="00A85F19"/>
    <w:rsid w:val="00A860CE"/>
    <w:rsid w:val="00A860EF"/>
    <w:rsid w:val="00A861A7"/>
    <w:rsid w:val="00A86799"/>
    <w:rsid w:val="00A872DA"/>
    <w:rsid w:val="00A87729"/>
    <w:rsid w:val="00A87B50"/>
    <w:rsid w:val="00A87CCF"/>
    <w:rsid w:val="00A87F0E"/>
    <w:rsid w:val="00A904AB"/>
    <w:rsid w:val="00A904B2"/>
    <w:rsid w:val="00A90571"/>
    <w:rsid w:val="00A9072D"/>
    <w:rsid w:val="00A909DF"/>
    <w:rsid w:val="00A91853"/>
    <w:rsid w:val="00A919C3"/>
    <w:rsid w:val="00A91C38"/>
    <w:rsid w:val="00A92891"/>
    <w:rsid w:val="00A92B89"/>
    <w:rsid w:val="00A92CAC"/>
    <w:rsid w:val="00A92FC1"/>
    <w:rsid w:val="00A93840"/>
    <w:rsid w:val="00A93CFE"/>
    <w:rsid w:val="00A93DF3"/>
    <w:rsid w:val="00A93DFD"/>
    <w:rsid w:val="00A93F25"/>
    <w:rsid w:val="00A941CA"/>
    <w:rsid w:val="00A94290"/>
    <w:rsid w:val="00A947E0"/>
    <w:rsid w:val="00A94ABD"/>
    <w:rsid w:val="00A94F3A"/>
    <w:rsid w:val="00A950C7"/>
    <w:rsid w:val="00A951D0"/>
    <w:rsid w:val="00A9532A"/>
    <w:rsid w:val="00A95339"/>
    <w:rsid w:val="00A95410"/>
    <w:rsid w:val="00A9561C"/>
    <w:rsid w:val="00A9595A"/>
    <w:rsid w:val="00A96084"/>
    <w:rsid w:val="00A960B6"/>
    <w:rsid w:val="00A96423"/>
    <w:rsid w:val="00A966E7"/>
    <w:rsid w:val="00A96FCB"/>
    <w:rsid w:val="00A974A3"/>
    <w:rsid w:val="00A974C9"/>
    <w:rsid w:val="00A9758B"/>
    <w:rsid w:val="00A978BD"/>
    <w:rsid w:val="00A979EC"/>
    <w:rsid w:val="00A97AFE"/>
    <w:rsid w:val="00A97E3C"/>
    <w:rsid w:val="00AA0264"/>
    <w:rsid w:val="00AA03BA"/>
    <w:rsid w:val="00AA054A"/>
    <w:rsid w:val="00AA06F4"/>
    <w:rsid w:val="00AA0B1D"/>
    <w:rsid w:val="00AA0DAD"/>
    <w:rsid w:val="00AA0E80"/>
    <w:rsid w:val="00AA0EB7"/>
    <w:rsid w:val="00AA19AF"/>
    <w:rsid w:val="00AA19FC"/>
    <w:rsid w:val="00AA1CB1"/>
    <w:rsid w:val="00AA1E9F"/>
    <w:rsid w:val="00AA203F"/>
    <w:rsid w:val="00AA29F1"/>
    <w:rsid w:val="00AA2A2E"/>
    <w:rsid w:val="00AA2B13"/>
    <w:rsid w:val="00AA33E2"/>
    <w:rsid w:val="00AA3539"/>
    <w:rsid w:val="00AA37D8"/>
    <w:rsid w:val="00AA3808"/>
    <w:rsid w:val="00AA3866"/>
    <w:rsid w:val="00AA3ACC"/>
    <w:rsid w:val="00AA3AF5"/>
    <w:rsid w:val="00AA3B35"/>
    <w:rsid w:val="00AA4ED4"/>
    <w:rsid w:val="00AA50EA"/>
    <w:rsid w:val="00AA52BF"/>
    <w:rsid w:val="00AA55B7"/>
    <w:rsid w:val="00AA5709"/>
    <w:rsid w:val="00AA602D"/>
    <w:rsid w:val="00AA6101"/>
    <w:rsid w:val="00AA65ED"/>
    <w:rsid w:val="00AA69FA"/>
    <w:rsid w:val="00AA6CE6"/>
    <w:rsid w:val="00AA6D05"/>
    <w:rsid w:val="00AA7229"/>
    <w:rsid w:val="00AA75CA"/>
    <w:rsid w:val="00AA764E"/>
    <w:rsid w:val="00AA7776"/>
    <w:rsid w:val="00AA7A8D"/>
    <w:rsid w:val="00AA7DDB"/>
    <w:rsid w:val="00AA7EE2"/>
    <w:rsid w:val="00AB076F"/>
    <w:rsid w:val="00AB0782"/>
    <w:rsid w:val="00AB1461"/>
    <w:rsid w:val="00AB1850"/>
    <w:rsid w:val="00AB1FC7"/>
    <w:rsid w:val="00AB20E6"/>
    <w:rsid w:val="00AB224D"/>
    <w:rsid w:val="00AB23ED"/>
    <w:rsid w:val="00AB2786"/>
    <w:rsid w:val="00AB2A08"/>
    <w:rsid w:val="00AB2F55"/>
    <w:rsid w:val="00AB30B0"/>
    <w:rsid w:val="00AB3299"/>
    <w:rsid w:val="00AB33D1"/>
    <w:rsid w:val="00AB35D1"/>
    <w:rsid w:val="00AB365E"/>
    <w:rsid w:val="00AB395E"/>
    <w:rsid w:val="00AB3AE9"/>
    <w:rsid w:val="00AB3FC4"/>
    <w:rsid w:val="00AB40CA"/>
    <w:rsid w:val="00AB444B"/>
    <w:rsid w:val="00AB47C0"/>
    <w:rsid w:val="00AB4887"/>
    <w:rsid w:val="00AB48EA"/>
    <w:rsid w:val="00AB49F9"/>
    <w:rsid w:val="00AB4FD2"/>
    <w:rsid w:val="00AB5635"/>
    <w:rsid w:val="00AB56E4"/>
    <w:rsid w:val="00AB5865"/>
    <w:rsid w:val="00AB599A"/>
    <w:rsid w:val="00AB5C9F"/>
    <w:rsid w:val="00AB60A6"/>
    <w:rsid w:val="00AB6331"/>
    <w:rsid w:val="00AB6AAB"/>
    <w:rsid w:val="00AB6B0F"/>
    <w:rsid w:val="00AB6C59"/>
    <w:rsid w:val="00AB6E47"/>
    <w:rsid w:val="00AB72D8"/>
    <w:rsid w:val="00AB7688"/>
    <w:rsid w:val="00AB76D2"/>
    <w:rsid w:val="00AB775F"/>
    <w:rsid w:val="00AB77A8"/>
    <w:rsid w:val="00AB77F6"/>
    <w:rsid w:val="00AB7BB1"/>
    <w:rsid w:val="00AC01BB"/>
    <w:rsid w:val="00AC01BD"/>
    <w:rsid w:val="00AC060F"/>
    <w:rsid w:val="00AC0797"/>
    <w:rsid w:val="00AC07BF"/>
    <w:rsid w:val="00AC08F8"/>
    <w:rsid w:val="00AC0A5D"/>
    <w:rsid w:val="00AC104A"/>
    <w:rsid w:val="00AC110A"/>
    <w:rsid w:val="00AC1312"/>
    <w:rsid w:val="00AC16DA"/>
    <w:rsid w:val="00AC17A4"/>
    <w:rsid w:val="00AC1D48"/>
    <w:rsid w:val="00AC252E"/>
    <w:rsid w:val="00AC27AF"/>
    <w:rsid w:val="00AC2B07"/>
    <w:rsid w:val="00AC2E81"/>
    <w:rsid w:val="00AC34AB"/>
    <w:rsid w:val="00AC382D"/>
    <w:rsid w:val="00AC3C4B"/>
    <w:rsid w:val="00AC3CA7"/>
    <w:rsid w:val="00AC3CF7"/>
    <w:rsid w:val="00AC3E3E"/>
    <w:rsid w:val="00AC407B"/>
    <w:rsid w:val="00AC4832"/>
    <w:rsid w:val="00AC4A0F"/>
    <w:rsid w:val="00AC4A2C"/>
    <w:rsid w:val="00AC4CAC"/>
    <w:rsid w:val="00AC4DE0"/>
    <w:rsid w:val="00AC50A8"/>
    <w:rsid w:val="00AC521D"/>
    <w:rsid w:val="00AC558B"/>
    <w:rsid w:val="00AC5AB4"/>
    <w:rsid w:val="00AC5B7A"/>
    <w:rsid w:val="00AC5CBD"/>
    <w:rsid w:val="00AC655E"/>
    <w:rsid w:val="00AC65C4"/>
    <w:rsid w:val="00AC662E"/>
    <w:rsid w:val="00AC6ECB"/>
    <w:rsid w:val="00AC7770"/>
    <w:rsid w:val="00AC782A"/>
    <w:rsid w:val="00AC7E13"/>
    <w:rsid w:val="00AC7F8F"/>
    <w:rsid w:val="00AD044A"/>
    <w:rsid w:val="00AD0567"/>
    <w:rsid w:val="00AD0572"/>
    <w:rsid w:val="00AD0766"/>
    <w:rsid w:val="00AD07DD"/>
    <w:rsid w:val="00AD0C4A"/>
    <w:rsid w:val="00AD1070"/>
    <w:rsid w:val="00AD1372"/>
    <w:rsid w:val="00AD16CF"/>
    <w:rsid w:val="00AD1E75"/>
    <w:rsid w:val="00AD2027"/>
    <w:rsid w:val="00AD2072"/>
    <w:rsid w:val="00AD214A"/>
    <w:rsid w:val="00AD2259"/>
    <w:rsid w:val="00AD235C"/>
    <w:rsid w:val="00AD2B47"/>
    <w:rsid w:val="00AD3013"/>
    <w:rsid w:val="00AD353C"/>
    <w:rsid w:val="00AD3C67"/>
    <w:rsid w:val="00AD3D64"/>
    <w:rsid w:val="00AD444B"/>
    <w:rsid w:val="00AD46E1"/>
    <w:rsid w:val="00AD485E"/>
    <w:rsid w:val="00AD496F"/>
    <w:rsid w:val="00AD4E94"/>
    <w:rsid w:val="00AD4F74"/>
    <w:rsid w:val="00AD5130"/>
    <w:rsid w:val="00AD55BA"/>
    <w:rsid w:val="00AD5B70"/>
    <w:rsid w:val="00AD6306"/>
    <w:rsid w:val="00AD688F"/>
    <w:rsid w:val="00AD6C34"/>
    <w:rsid w:val="00AD7290"/>
    <w:rsid w:val="00AD730D"/>
    <w:rsid w:val="00AD732F"/>
    <w:rsid w:val="00AD7524"/>
    <w:rsid w:val="00AD7921"/>
    <w:rsid w:val="00AD794A"/>
    <w:rsid w:val="00AD7D68"/>
    <w:rsid w:val="00AD7E02"/>
    <w:rsid w:val="00AE0414"/>
    <w:rsid w:val="00AE0507"/>
    <w:rsid w:val="00AE0CEC"/>
    <w:rsid w:val="00AE108A"/>
    <w:rsid w:val="00AE180D"/>
    <w:rsid w:val="00AE2365"/>
    <w:rsid w:val="00AE2990"/>
    <w:rsid w:val="00AE29B0"/>
    <w:rsid w:val="00AE2A7B"/>
    <w:rsid w:val="00AE3360"/>
    <w:rsid w:val="00AE3624"/>
    <w:rsid w:val="00AE43A0"/>
    <w:rsid w:val="00AE4475"/>
    <w:rsid w:val="00AE477F"/>
    <w:rsid w:val="00AE4816"/>
    <w:rsid w:val="00AE5082"/>
    <w:rsid w:val="00AE573B"/>
    <w:rsid w:val="00AE5765"/>
    <w:rsid w:val="00AE6002"/>
    <w:rsid w:val="00AE60A8"/>
    <w:rsid w:val="00AE626F"/>
    <w:rsid w:val="00AE62DD"/>
    <w:rsid w:val="00AE64E6"/>
    <w:rsid w:val="00AE6532"/>
    <w:rsid w:val="00AE6612"/>
    <w:rsid w:val="00AE6841"/>
    <w:rsid w:val="00AE685A"/>
    <w:rsid w:val="00AE695D"/>
    <w:rsid w:val="00AE74BF"/>
    <w:rsid w:val="00AE7688"/>
    <w:rsid w:val="00AE77E4"/>
    <w:rsid w:val="00AE781A"/>
    <w:rsid w:val="00AE78D2"/>
    <w:rsid w:val="00AE7AE6"/>
    <w:rsid w:val="00AE7D53"/>
    <w:rsid w:val="00AF06FE"/>
    <w:rsid w:val="00AF14C5"/>
    <w:rsid w:val="00AF1678"/>
    <w:rsid w:val="00AF16DB"/>
    <w:rsid w:val="00AF1A95"/>
    <w:rsid w:val="00AF1F11"/>
    <w:rsid w:val="00AF23F0"/>
    <w:rsid w:val="00AF280E"/>
    <w:rsid w:val="00AF2CE3"/>
    <w:rsid w:val="00AF2D86"/>
    <w:rsid w:val="00AF2F0C"/>
    <w:rsid w:val="00AF34EB"/>
    <w:rsid w:val="00AF3ACA"/>
    <w:rsid w:val="00AF40A2"/>
    <w:rsid w:val="00AF411E"/>
    <w:rsid w:val="00AF42F6"/>
    <w:rsid w:val="00AF47A2"/>
    <w:rsid w:val="00AF4882"/>
    <w:rsid w:val="00AF4D80"/>
    <w:rsid w:val="00AF5595"/>
    <w:rsid w:val="00AF55EC"/>
    <w:rsid w:val="00AF5ABA"/>
    <w:rsid w:val="00AF6ABC"/>
    <w:rsid w:val="00AF6C28"/>
    <w:rsid w:val="00AF6FD1"/>
    <w:rsid w:val="00AF7B19"/>
    <w:rsid w:val="00AF7E58"/>
    <w:rsid w:val="00B00560"/>
    <w:rsid w:val="00B0112A"/>
    <w:rsid w:val="00B0192C"/>
    <w:rsid w:val="00B01EEE"/>
    <w:rsid w:val="00B020F3"/>
    <w:rsid w:val="00B022B9"/>
    <w:rsid w:val="00B022E9"/>
    <w:rsid w:val="00B023C7"/>
    <w:rsid w:val="00B027AA"/>
    <w:rsid w:val="00B03397"/>
    <w:rsid w:val="00B03BF6"/>
    <w:rsid w:val="00B03C89"/>
    <w:rsid w:val="00B03D0D"/>
    <w:rsid w:val="00B04092"/>
    <w:rsid w:val="00B04163"/>
    <w:rsid w:val="00B04502"/>
    <w:rsid w:val="00B04574"/>
    <w:rsid w:val="00B04A70"/>
    <w:rsid w:val="00B04F23"/>
    <w:rsid w:val="00B05313"/>
    <w:rsid w:val="00B055FA"/>
    <w:rsid w:val="00B056BA"/>
    <w:rsid w:val="00B05B44"/>
    <w:rsid w:val="00B05C7F"/>
    <w:rsid w:val="00B05F6E"/>
    <w:rsid w:val="00B0660C"/>
    <w:rsid w:val="00B0667E"/>
    <w:rsid w:val="00B066AB"/>
    <w:rsid w:val="00B067BE"/>
    <w:rsid w:val="00B0694F"/>
    <w:rsid w:val="00B06A08"/>
    <w:rsid w:val="00B06A12"/>
    <w:rsid w:val="00B06CDA"/>
    <w:rsid w:val="00B072FD"/>
    <w:rsid w:val="00B0732E"/>
    <w:rsid w:val="00B075EE"/>
    <w:rsid w:val="00B07755"/>
    <w:rsid w:val="00B07D95"/>
    <w:rsid w:val="00B10A0D"/>
    <w:rsid w:val="00B10CE5"/>
    <w:rsid w:val="00B1128F"/>
    <w:rsid w:val="00B112B4"/>
    <w:rsid w:val="00B119B1"/>
    <w:rsid w:val="00B1230A"/>
    <w:rsid w:val="00B12B78"/>
    <w:rsid w:val="00B133E8"/>
    <w:rsid w:val="00B13BA4"/>
    <w:rsid w:val="00B13F3F"/>
    <w:rsid w:val="00B14E7F"/>
    <w:rsid w:val="00B151D8"/>
    <w:rsid w:val="00B15288"/>
    <w:rsid w:val="00B154BB"/>
    <w:rsid w:val="00B1560F"/>
    <w:rsid w:val="00B15692"/>
    <w:rsid w:val="00B15793"/>
    <w:rsid w:val="00B15DAD"/>
    <w:rsid w:val="00B16749"/>
    <w:rsid w:val="00B1689C"/>
    <w:rsid w:val="00B16960"/>
    <w:rsid w:val="00B1701E"/>
    <w:rsid w:val="00B172AB"/>
    <w:rsid w:val="00B179C3"/>
    <w:rsid w:val="00B20407"/>
    <w:rsid w:val="00B20517"/>
    <w:rsid w:val="00B20824"/>
    <w:rsid w:val="00B2097F"/>
    <w:rsid w:val="00B20DF8"/>
    <w:rsid w:val="00B20FAD"/>
    <w:rsid w:val="00B2187F"/>
    <w:rsid w:val="00B21BCD"/>
    <w:rsid w:val="00B21D46"/>
    <w:rsid w:val="00B22579"/>
    <w:rsid w:val="00B22A62"/>
    <w:rsid w:val="00B2304C"/>
    <w:rsid w:val="00B23132"/>
    <w:rsid w:val="00B236B9"/>
    <w:rsid w:val="00B237E7"/>
    <w:rsid w:val="00B2402E"/>
    <w:rsid w:val="00B24413"/>
    <w:rsid w:val="00B25018"/>
    <w:rsid w:val="00B250BE"/>
    <w:rsid w:val="00B2535C"/>
    <w:rsid w:val="00B25A3D"/>
    <w:rsid w:val="00B25C1F"/>
    <w:rsid w:val="00B25F73"/>
    <w:rsid w:val="00B2630F"/>
    <w:rsid w:val="00B264F0"/>
    <w:rsid w:val="00B26768"/>
    <w:rsid w:val="00B26877"/>
    <w:rsid w:val="00B275C3"/>
    <w:rsid w:val="00B275C7"/>
    <w:rsid w:val="00B27784"/>
    <w:rsid w:val="00B279F7"/>
    <w:rsid w:val="00B27FA2"/>
    <w:rsid w:val="00B3088E"/>
    <w:rsid w:val="00B30A37"/>
    <w:rsid w:val="00B30E68"/>
    <w:rsid w:val="00B316B1"/>
    <w:rsid w:val="00B31DFF"/>
    <w:rsid w:val="00B323FE"/>
    <w:rsid w:val="00B32714"/>
    <w:rsid w:val="00B32721"/>
    <w:rsid w:val="00B32ABF"/>
    <w:rsid w:val="00B32CA8"/>
    <w:rsid w:val="00B33433"/>
    <w:rsid w:val="00B33E1C"/>
    <w:rsid w:val="00B341EF"/>
    <w:rsid w:val="00B342E7"/>
    <w:rsid w:val="00B344FA"/>
    <w:rsid w:val="00B34BAD"/>
    <w:rsid w:val="00B34ED0"/>
    <w:rsid w:val="00B34F57"/>
    <w:rsid w:val="00B353B4"/>
    <w:rsid w:val="00B35463"/>
    <w:rsid w:val="00B3551D"/>
    <w:rsid w:val="00B3571F"/>
    <w:rsid w:val="00B3592F"/>
    <w:rsid w:val="00B35C33"/>
    <w:rsid w:val="00B362E6"/>
    <w:rsid w:val="00B3693D"/>
    <w:rsid w:val="00B36A94"/>
    <w:rsid w:val="00B36BE3"/>
    <w:rsid w:val="00B36D34"/>
    <w:rsid w:val="00B36FBC"/>
    <w:rsid w:val="00B37376"/>
    <w:rsid w:val="00B373FD"/>
    <w:rsid w:val="00B37818"/>
    <w:rsid w:val="00B37B4F"/>
    <w:rsid w:val="00B37EEB"/>
    <w:rsid w:val="00B405CA"/>
    <w:rsid w:val="00B406B4"/>
    <w:rsid w:val="00B40796"/>
    <w:rsid w:val="00B40799"/>
    <w:rsid w:val="00B407BB"/>
    <w:rsid w:val="00B40A9C"/>
    <w:rsid w:val="00B40D0A"/>
    <w:rsid w:val="00B40E16"/>
    <w:rsid w:val="00B40EC3"/>
    <w:rsid w:val="00B4119A"/>
    <w:rsid w:val="00B41387"/>
    <w:rsid w:val="00B41571"/>
    <w:rsid w:val="00B41592"/>
    <w:rsid w:val="00B41C82"/>
    <w:rsid w:val="00B41E7D"/>
    <w:rsid w:val="00B42132"/>
    <w:rsid w:val="00B423CE"/>
    <w:rsid w:val="00B42887"/>
    <w:rsid w:val="00B43BB3"/>
    <w:rsid w:val="00B43C3D"/>
    <w:rsid w:val="00B4460E"/>
    <w:rsid w:val="00B447E2"/>
    <w:rsid w:val="00B44B5C"/>
    <w:rsid w:val="00B45B0B"/>
    <w:rsid w:val="00B45C1E"/>
    <w:rsid w:val="00B45EA9"/>
    <w:rsid w:val="00B4642F"/>
    <w:rsid w:val="00B467E8"/>
    <w:rsid w:val="00B46FD7"/>
    <w:rsid w:val="00B46FE1"/>
    <w:rsid w:val="00B47513"/>
    <w:rsid w:val="00B47A97"/>
    <w:rsid w:val="00B47D1B"/>
    <w:rsid w:val="00B47F2F"/>
    <w:rsid w:val="00B501F1"/>
    <w:rsid w:val="00B502FE"/>
    <w:rsid w:val="00B503ED"/>
    <w:rsid w:val="00B50E2A"/>
    <w:rsid w:val="00B50E67"/>
    <w:rsid w:val="00B51238"/>
    <w:rsid w:val="00B51288"/>
    <w:rsid w:val="00B5148E"/>
    <w:rsid w:val="00B515E4"/>
    <w:rsid w:val="00B5191F"/>
    <w:rsid w:val="00B51D80"/>
    <w:rsid w:val="00B5208B"/>
    <w:rsid w:val="00B520CB"/>
    <w:rsid w:val="00B52887"/>
    <w:rsid w:val="00B52AF6"/>
    <w:rsid w:val="00B52B33"/>
    <w:rsid w:val="00B52B8A"/>
    <w:rsid w:val="00B52DD9"/>
    <w:rsid w:val="00B52EE4"/>
    <w:rsid w:val="00B53122"/>
    <w:rsid w:val="00B5348F"/>
    <w:rsid w:val="00B53817"/>
    <w:rsid w:val="00B53987"/>
    <w:rsid w:val="00B53BAF"/>
    <w:rsid w:val="00B53BCC"/>
    <w:rsid w:val="00B53D3F"/>
    <w:rsid w:val="00B5447B"/>
    <w:rsid w:val="00B54670"/>
    <w:rsid w:val="00B5479A"/>
    <w:rsid w:val="00B54976"/>
    <w:rsid w:val="00B54A3B"/>
    <w:rsid w:val="00B54DE0"/>
    <w:rsid w:val="00B550C2"/>
    <w:rsid w:val="00B5510E"/>
    <w:rsid w:val="00B55293"/>
    <w:rsid w:val="00B55B3F"/>
    <w:rsid w:val="00B55C8B"/>
    <w:rsid w:val="00B560F5"/>
    <w:rsid w:val="00B564B0"/>
    <w:rsid w:val="00B56584"/>
    <w:rsid w:val="00B56BA3"/>
    <w:rsid w:val="00B576C1"/>
    <w:rsid w:val="00B5788E"/>
    <w:rsid w:val="00B57BE9"/>
    <w:rsid w:val="00B601E1"/>
    <w:rsid w:val="00B60342"/>
    <w:rsid w:val="00B607A8"/>
    <w:rsid w:val="00B608FE"/>
    <w:rsid w:val="00B60C3C"/>
    <w:rsid w:val="00B616EB"/>
    <w:rsid w:val="00B6190B"/>
    <w:rsid w:val="00B61A33"/>
    <w:rsid w:val="00B61D80"/>
    <w:rsid w:val="00B61EC9"/>
    <w:rsid w:val="00B62193"/>
    <w:rsid w:val="00B62260"/>
    <w:rsid w:val="00B62E25"/>
    <w:rsid w:val="00B62F8E"/>
    <w:rsid w:val="00B631E1"/>
    <w:rsid w:val="00B633D5"/>
    <w:rsid w:val="00B6374D"/>
    <w:rsid w:val="00B63BD2"/>
    <w:rsid w:val="00B63E7B"/>
    <w:rsid w:val="00B6401D"/>
    <w:rsid w:val="00B64125"/>
    <w:rsid w:val="00B64FDC"/>
    <w:rsid w:val="00B65274"/>
    <w:rsid w:val="00B65A17"/>
    <w:rsid w:val="00B65AB7"/>
    <w:rsid w:val="00B66881"/>
    <w:rsid w:val="00B66943"/>
    <w:rsid w:val="00B66970"/>
    <w:rsid w:val="00B66E69"/>
    <w:rsid w:val="00B67532"/>
    <w:rsid w:val="00B6774A"/>
    <w:rsid w:val="00B67B72"/>
    <w:rsid w:val="00B67D0E"/>
    <w:rsid w:val="00B700E0"/>
    <w:rsid w:val="00B70729"/>
    <w:rsid w:val="00B70847"/>
    <w:rsid w:val="00B70BA7"/>
    <w:rsid w:val="00B70E1D"/>
    <w:rsid w:val="00B7132F"/>
    <w:rsid w:val="00B7144F"/>
    <w:rsid w:val="00B714C3"/>
    <w:rsid w:val="00B7155A"/>
    <w:rsid w:val="00B717CE"/>
    <w:rsid w:val="00B71A07"/>
    <w:rsid w:val="00B71DF9"/>
    <w:rsid w:val="00B72161"/>
    <w:rsid w:val="00B72A5A"/>
    <w:rsid w:val="00B72AA5"/>
    <w:rsid w:val="00B72BD1"/>
    <w:rsid w:val="00B72D87"/>
    <w:rsid w:val="00B7371A"/>
    <w:rsid w:val="00B73AB4"/>
    <w:rsid w:val="00B745F5"/>
    <w:rsid w:val="00B74866"/>
    <w:rsid w:val="00B74D04"/>
    <w:rsid w:val="00B74E4C"/>
    <w:rsid w:val="00B7511C"/>
    <w:rsid w:val="00B755DE"/>
    <w:rsid w:val="00B7599F"/>
    <w:rsid w:val="00B75FC1"/>
    <w:rsid w:val="00B761EB"/>
    <w:rsid w:val="00B7628F"/>
    <w:rsid w:val="00B76596"/>
    <w:rsid w:val="00B76D06"/>
    <w:rsid w:val="00B76E31"/>
    <w:rsid w:val="00B774BE"/>
    <w:rsid w:val="00B774EC"/>
    <w:rsid w:val="00B778EC"/>
    <w:rsid w:val="00B7792A"/>
    <w:rsid w:val="00B77A63"/>
    <w:rsid w:val="00B77AE8"/>
    <w:rsid w:val="00B77B67"/>
    <w:rsid w:val="00B77F85"/>
    <w:rsid w:val="00B800EF"/>
    <w:rsid w:val="00B804FC"/>
    <w:rsid w:val="00B806A5"/>
    <w:rsid w:val="00B8097F"/>
    <w:rsid w:val="00B811E3"/>
    <w:rsid w:val="00B813F6"/>
    <w:rsid w:val="00B8146D"/>
    <w:rsid w:val="00B81DE1"/>
    <w:rsid w:val="00B81E26"/>
    <w:rsid w:val="00B828B7"/>
    <w:rsid w:val="00B82AB2"/>
    <w:rsid w:val="00B82CBF"/>
    <w:rsid w:val="00B830D3"/>
    <w:rsid w:val="00B83103"/>
    <w:rsid w:val="00B834B9"/>
    <w:rsid w:val="00B836CC"/>
    <w:rsid w:val="00B83773"/>
    <w:rsid w:val="00B838CE"/>
    <w:rsid w:val="00B83BD9"/>
    <w:rsid w:val="00B84350"/>
    <w:rsid w:val="00B84B3E"/>
    <w:rsid w:val="00B84D62"/>
    <w:rsid w:val="00B84DCE"/>
    <w:rsid w:val="00B84F26"/>
    <w:rsid w:val="00B84F6A"/>
    <w:rsid w:val="00B8524E"/>
    <w:rsid w:val="00B858A3"/>
    <w:rsid w:val="00B85CFC"/>
    <w:rsid w:val="00B86502"/>
    <w:rsid w:val="00B865DD"/>
    <w:rsid w:val="00B865EC"/>
    <w:rsid w:val="00B86A56"/>
    <w:rsid w:val="00B86C26"/>
    <w:rsid w:val="00B86C84"/>
    <w:rsid w:val="00B8780C"/>
    <w:rsid w:val="00B87A85"/>
    <w:rsid w:val="00B87C02"/>
    <w:rsid w:val="00B9026B"/>
    <w:rsid w:val="00B90526"/>
    <w:rsid w:val="00B905EE"/>
    <w:rsid w:val="00B909CA"/>
    <w:rsid w:val="00B90DBF"/>
    <w:rsid w:val="00B90E0E"/>
    <w:rsid w:val="00B90E72"/>
    <w:rsid w:val="00B90FDD"/>
    <w:rsid w:val="00B91453"/>
    <w:rsid w:val="00B91809"/>
    <w:rsid w:val="00B922A7"/>
    <w:rsid w:val="00B922CA"/>
    <w:rsid w:val="00B922EB"/>
    <w:rsid w:val="00B92766"/>
    <w:rsid w:val="00B92F64"/>
    <w:rsid w:val="00B935BC"/>
    <w:rsid w:val="00B93922"/>
    <w:rsid w:val="00B939C5"/>
    <w:rsid w:val="00B9494F"/>
    <w:rsid w:val="00B94BC4"/>
    <w:rsid w:val="00B94D6B"/>
    <w:rsid w:val="00B95109"/>
    <w:rsid w:val="00B95B4F"/>
    <w:rsid w:val="00B965FC"/>
    <w:rsid w:val="00B96917"/>
    <w:rsid w:val="00B96C84"/>
    <w:rsid w:val="00B96CC9"/>
    <w:rsid w:val="00B97223"/>
    <w:rsid w:val="00B97427"/>
    <w:rsid w:val="00B97524"/>
    <w:rsid w:val="00B97A6A"/>
    <w:rsid w:val="00B97CF0"/>
    <w:rsid w:val="00BA027E"/>
    <w:rsid w:val="00BA05DC"/>
    <w:rsid w:val="00BA0A73"/>
    <w:rsid w:val="00BA0E2F"/>
    <w:rsid w:val="00BA13A1"/>
    <w:rsid w:val="00BA14CA"/>
    <w:rsid w:val="00BA18BE"/>
    <w:rsid w:val="00BA1A06"/>
    <w:rsid w:val="00BA1AD9"/>
    <w:rsid w:val="00BA1BAE"/>
    <w:rsid w:val="00BA1E31"/>
    <w:rsid w:val="00BA200B"/>
    <w:rsid w:val="00BA2061"/>
    <w:rsid w:val="00BA2433"/>
    <w:rsid w:val="00BA2928"/>
    <w:rsid w:val="00BA29A7"/>
    <w:rsid w:val="00BA2D35"/>
    <w:rsid w:val="00BA2DC5"/>
    <w:rsid w:val="00BA31D0"/>
    <w:rsid w:val="00BA3307"/>
    <w:rsid w:val="00BA3360"/>
    <w:rsid w:val="00BA34E0"/>
    <w:rsid w:val="00BA3A36"/>
    <w:rsid w:val="00BA3A99"/>
    <w:rsid w:val="00BA3B7D"/>
    <w:rsid w:val="00BA4542"/>
    <w:rsid w:val="00BA4574"/>
    <w:rsid w:val="00BA4DE1"/>
    <w:rsid w:val="00BA4DFA"/>
    <w:rsid w:val="00BA4EA4"/>
    <w:rsid w:val="00BA5339"/>
    <w:rsid w:val="00BA55C3"/>
    <w:rsid w:val="00BA5C1E"/>
    <w:rsid w:val="00BA5D73"/>
    <w:rsid w:val="00BA5D9A"/>
    <w:rsid w:val="00BA6068"/>
    <w:rsid w:val="00BA639B"/>
    <w:rsid w:val="00BA6604"/>
    <w:rsid w:val="00BA6624"/>
    <w:rsid w:val="00BA69E1"/>
    <w:rsid w:val="00BA6BBE"/>
    <w:rsid w:val="00BA7005"/>
    <w:rsid w:val="00BA7069"/>
    <w:rsid w:val="00BA7290"/>
    <w:rsid w:val="00BA760F"/>
    <w:rsid w:val="00BA77AB"/>
    <w:rsid w:val="00BA7B12"/>
    <w:rsid w:val="00BA7DCF"/>
    <w:rsid w:val="00BB066D"/>
    <w:rsid w:val="00BB0E8C"/>
    <w:rsid w:val="00BB226C"/>
    <w:rsid w:val="00BB2C81"/>
    <w:rsid w:val="00BB2D6F"/>
    <w:rsid w:val="00BB33AA"/>
    <w:rsid w:val="00BB38FE"/>
    <w:rsid w:val="00BB3AE8"/>
    <w:rsid w:val="00BB3C0E"/>
    <w:rsid w:val="00BB3C1F"/>
    <w:rsid w:val="00BB3D18"/>
    <w:rsid w:val="00BB3E78"/>
    <w:rsid w:val="00BB3F76"/>
    <w:rsid w:val="00BB415D"/>
    <w:rsid w:val="00BB4197"/>
    <w:rsid w:val="00BB47C3"/>
    <w:rsid w:val="00BB49BA"/>
    <w:rsid w:val="00BB4A0C"/>
    <w:rsid w:val="00BB4C80"/>
    <w:rsid w:val="00BB4F26"/>
    <w:rsid w:val="00BB51F0"/>
    <w:rsid w:val="00BB596E"/>
    <w:rsid w:val="00BB59E6"/>
    <w:rsid w:val="00BB5DDF"/>
    <w:rsid w:val="00BB6BC2"/>
    <w:rsid w:val="00BB7337"/>
    <w:rsid w:val="00BB74C7"/>
    <w:rsid w:val="00BB767F"/>
    <w:rsid w:val="00BB7689"/>
    <w:rsid w:val="00BB76D7"/>
    <w:rsid w:val="00BB7899"/>
    <w:rsid w:val="00BB7B18"/>
    <w:rsid w:val="00BB7D34"/>
    <w:rsid w:val="00BB7EF4"/>
    <w:rsid w:val="00BC041D"/>
    <w:rsid w:val="00BC07D2"/>
    <w:rsid w:val="00BC11C8"/>
    <w:rsid w:val="00BC1318"/>
    <w:rsid w:val="00BC1737"/>
    <w:rsid w:val="00BC2667"/>
    <w:rsid w:val="00BC2C05"/>
    <w:rsid w:val="00BC2C06"/>
    <w:rsid w:val="00BC2D8D"/>
    <w:rsid w:val="00BC3292"/>
    <w:rsid w:val="00BC36D3"/>
    <w:rsid w:val="00BC3737"/>
    <w:rsid w:val="00BC3839"/>
    <w:rsid w:val="00BC3D6E"/>
    <w:rsid w:val="00BC3FE3"/>
    <w:rsid w:val="00BC46DD"/>
    <w:rsid w:val="00BC4B86"/>
    <w:rsid w:val="00BC4EC4"/>
    <w:rsid w:val="00BC5225"/>
    <w:rsid w:val="00BC5616"/>
    <w:rsid w:val="00BC56A0"/>
    <w:rsid w:val="00BC61B6"/>
    <w:rsid w:val="00BC6273"/>
    <w:rsid w:val="00BC6998"/>
    <w:rsid w:val="00BC6F5B"/>
    <w:rsid w:val="00BC6F8E"/>
    <w:rsid w:val="00BC7160"/>
    <w:rsid w:val="00BC742C"/>
    <w:rsid w:val="00BC7859"/>
    <w:rsid w:val="00BC7BD0"/>
    <w:rsid w:val="00BD06E2"/>
    <w:rsid w:val="00BD081C"/>
    <w:rsid w:val="00BD0849"/>
    <w:rsid w:val="00BD08A8"/>
    <w:rsid w:val="00BD0B2A"/>
    <w:rsid w:val="00BD0EC3"/>
    <w:rsid w:val="00BD0FF7"/>
    <w:rsid w:val="00BD1670"/>
    <w:rsid w:val="00BD18A3"/>
    <w:rsid w:val="00BD1EE5"/>
    <w:rsid w:val="00BD22DB"/>
    <w:rsid w:val="00BD2405"/>
    <w:rsid w:val="00BD2436"/>
    <w:rsid w:val="00BD26A1"/>
    <w:rsid w:val="00BD2836"/>
    <w:rsid w:val="00BD2938"/>
    <w:rsid w:val="00BD2F3F"/>
    <w:rsid w:val="00BD32B3"/>
    <w:rsid w:val="00BD344B"/>
    <w:rsid w:val="00BD3AA5"/>
    <w:rsid w:val="00BD3D10"/>
    <w:rsid w:val="00BD444B"/>
    <w:rsid w:val="00BD4854"/>
    <w:rsid w:val="00BD4DC4"/>
    <w:rsid w:val="00BD510D"/>
    <w:rsid w:val="00BD5D01"/>
    <w:rsid w:val="00BD6573"/>
    <w:rsid w:val="00BD6C85"/>
    <w:rsid w:val="00BD6D0D"/>
    <w:rsid w:val="00BD6E10"/>
    <w:rsid w:val="00BD72FC"/>
    <w:rsid w:val="00BD733C"/>
    <w:rsid w:val="00BD735A"/>
    <w:rsid w:val="00BD7526"/>
    <w:rsid w:val="00BD7D91"/>
    <w:rsid w:val="00BD7E99"/>
    <w:rsid w:val="00BE0333"/>
    <w:rsid w:val="00BE11B1"/>
    <w:rsid w:val="00BE1333"/>
    <w:rsid w:val="00BE15B5"/>
    <w:rsid w:val="00BE20C6"/>
    <w:rsid w:val="00BE252D"/>
    <w:rsid w:val="00BE25A7"/>
    <w:rsid w:val="00BE2CF9"/>
    <w:rsid w:val="00BE2F9C"/>
    <w:rsid w:val="00BE33C2"/>
    <w:rsid w:val="00BE3AFC"/>
    <w:rsid w:val="00BE405E"/>
    <w:rsid w:val="00BE42B8"/>
    <w:rsid w:val="00BE4443"/>
    <w:rsid w:val="00BE453E"/>
    <w:rsid w:val="00BE49B5"/>
    <w:rsid w:val="00BE508E"/>
    <w:rsid w:val="00BE525D"/>
    <w:rsid w:val="00BE53A1"/>
    <w:rsid w:val="00BE5704"/>
    <w:rsid w:val="00BE604A"/>
    <w:rsid w:val="00BE610F"/>
    <w:rsid w:val="00BE6790"/>
    <w:rsid w:val="00BE69D7"/>
    <w:rsid w:val="00BE6A84"/>
    <w:rsid w:val="00BE6B24"/>
    <w:rsid w:val="00BE6CFD"/>
    <w:rsid w:val="00BE6F31"/>
    <w:rsid w:val="00BE74A8"/>
    <w:rsid w:val="00BE7631"/>
    <w:rsid w:val="00BE7660"/>
    <w:rsid w:val="00BE79C5"/>
    <w:rsid w:val="00BE7BE9"/>
    <w:rsid w:val="00BE7E45"/>
    <w:rsid w:val="00BF040E"/>
    <w:rsid w:val="00BF0E5D"/>
    <w:rsid w:val="00BF1394"/>
    <w:rsid w:val="00BF1B5D"/>
    <w:rsid w:val="00BF1D95"/>
    <w:rsid w:val="00BF2484"/>
    <w:rsid w:val="00BF25D3"/>
    <w:rsid w:val="00BF2A75"/>
    <w:rsid w:val="00BF2CB2"/>
    <w:rsid w:val="00BF2D30"/>
    <w:rsid w:val="00BF3463"/>
    <w:rsid w:val="00BF3CB3"/>
    <w:rsid w:val="00BF3FC5"/>
    <w:rsid w:val="00BF487B"/>
    <w:rsid w:val="00BF4A7B"/>
    <w:rsid w:val="00BF4C36"/>
    <w:rsid w:val="00BF52EA"/>
    <w:rsid w:val="00BF532A"/>
    <w:rsid w:val="00BF56BF"/>
    <w:rsid w:val="00BF5E1B"/>
    <w:rsid w:val="00BF5F2D"/>
    <w:rsid w:val="00BF63E3"/>
    <w:rsid w:val="00BF653E"/>
    <w:rsid w:val="00BF6A8D"/>
    <w:rsid w:val="00BF6D6D"/>
    <w:rsid w:val="00BF706C"/>
    <w:rsid w:val="00BF739B"/>
    <w:rsid w:val="00BF7526"/>
    <w:rsid w:val="00C0003C"/>
    <w:rsid w:val="00C00073"/>
    <w:rsid w:val="00C00076"/>
    <w:rsid w:val="00C0125E"/>
    <w:rsid w:val="00C013A3"/>
    <w:rsid w:val="00C01A2F"/>
    <w:rsid w:val="00C024C0"/>
    <w:rsid w:val="00C02512"/>
    <w:rsid w:val="00C026CA"/>
    <w:rsid w:val="00C028A9"/>
    <w:rsid w:val="00C0292A"/>
    <w:rsid w:val="00C029DE"/>
    <w:rsid w:val="00C0358A"/>
    <w:rsid w:val="00C03E5F"/>
    <w:rsid w:val="00C04451"/>
    <w:rsid w:val="00C04A53"/>
    <w:rsid w:val="00C04BC8"/>
    <w:rsid w:val="00C04C38"/>
    <w:rsid w:val="00C04DDC"/>
    <w:rsid w:val="00C04F19"/>
    <w:rsid w:val="00C050B0"/>
    <w:rsid w:val="00C0588D"/>
    <w:rsid w:val="00C058DD"/>
    <w:rsid w:val="00C0597E"/>
    <w:rsid w:val="00C05CBE"/>
    <w:rsid w:val="00C05EC8"/>
    <w:rsid w:val="00C06087"/>
    <w:rsid w:val="00C061AB"/>
    <w:rsid w:val="00C0623C"/>
    <w:rsid w:val="00C0680B"/>
    <w:rsid w:val="00C069B9"/>
    <w:rsid w:val="00C06A73"/>
    <w:rsid w:val="00C06E4C"/>
    <w:rsid w:val="00C0706E"/>
    <w:rsid w:val="00C07147"/>
    <w:rsid w:val="00C073E7"/>
    <w:rsid w:val="00C076BB"/>
    <w:rsid w:val="00C077BE"/>
    <w:rsid w:val="00C079C4"/>
    <w:rsid w:val="00C07F05"/>
    <w:rsid w:val="00C07F33"/>
    <w:rsid w:val="00C101BA"/>
    <w:rsid w:val="00C102C5"/>
    <w:rsid w:val="00C10C78"/>
    <w:rsid w:val="00C110D2"/>
    <w:rsid w:val="00C110EA"/>
    <w:rsid w:val="00C11348"/>
    <w:rsid w:val="00C1141F"/>
    <w:rsid w:val="00C1160F"/>
    <w:rsid w:val="00C117CD"/>
    <w:rsid w:val="00C1190F"/>
    <w:rsid w:val="00C11A7B"/>
    <w:rsid w:val="00C11C88"/>
    <w:rsid w:val="00C11D70"/>
    <w:rsid w:val="00C12396"/>
    <w:rsid w:val="00C125B2"/>
    <w:rsid w:val="00C1268E"/>
    <w:rsid w:val="00C12814"/>
    <w:rsid w:val="00C13198"/>
    <w:rsid w:val="00C13445"/>
    <w:rsid w:val="00C13805"/>
    <w:rsid w:val="00C13824"/>
    <w:rsid w:val="00C138EB"/>
    <w:rsid w:val="00C1402A"/>
    <w:rsid w:val="00C14158"/>
    <w:rsid w:val="00C1459E"/>
    <w:rsid w:val="00C14B04"/>
    <w:rsid w:val="00C14B51"/>
    <w:rsid w:val="00C14CAB"/>
    <w:rsid w:val="00C14D1A"/>
    <w:rsid w:val="00C14D63"/>
    <w:rsid w:val="00C14D87"/>
    <w:rsid w:val="00C15067"/>
    <w:rsid w:val="00C15858"/>
    <w:rsid w:val="00C165C1"/>
    <w:rsid w:val="00C16DD9"/>
    <w:rsid w:val="00C16E24"/>
    <w:rsid w:val="00C16EED"/>
    <w:rsid w:val="00C173CF"/>
    <w:rsid w:val="00C17561"/>
    <w:rsid w:val="00C17671"/>
    <w:rsid w:val="00C179C0"/>
    <w:rsid w:val="00C17A82"/>
    <w:rsid w:val="00C17FA4"/>
    <w:rsid w:val="00C17FAF"/>
    <w:rsid w:val="00C2001E"/>
    <w:rsid w:val="00C209BE"/>
    <w:rsid w:val="00C216F1"/>
    <w:rsid w:val="00C2178B"/>
    <w:rsid w:val="00C21A8F"/>
    <w:rsid w:val="00C222D3"/>
    <w:rsid w:val="00C22459"/>
    <w:rsid w:val="00C228B9"/>
    <w:rsid w:val="00C22EE8"/>
    <w:rsid w:val="00C22F8C"/>
    <w:rsid w:val="00C23139"/>
    <w:rsid w:val="00C23289"/>
    <w:rsid w:val="00C23322"/>
    <w:rsid w:val="00C2372C"/>
    <w:rsid w:val="00C237CD"/>
    <w:rsid w:val="00C23926"/>
    <w:rsid w:val="00C23B5A"/>
    <w:rsid w:val="00C23B7E"/>
    <w:rsid w:val="00C23EB4"/>
    <w:rsid w:val="00C240C6"/>
    <w:rsid w:val="00C24579"/>
    <w:rsid w:val="00C24769"/>
    <w:rsid w:val="00C24879"/>
    <w:rsid w:val="00C24C5D"/>
    <w:rsid w:val="00C251A4"/>
    <w:rsid w:val="00C252F2"/>
    <w:rsid w:val="00C253D8"/>
    <w:rsid w:val="00C255BD"/>
    <w:rsid w:val="00C25615"/>
    <w:rsid w:val="00C25B76"/>
    <w:rsid w:val="00C25D49"/>
    <w:rsid w:val="00C26309"/>
    <w:rsid w:val="00C27119"/>
    <w:rsid w:val="00C2714F"/>
    <w:rsid w:val="00C2748D"/>
    <w:rsid w:val="00C27708"/>
    <w:rsid w:val="00C27F8A"/>
    <w:rsid w:val="00C3001E"/>
    <w:rsid w:val="00C30354"/>
    <w:rsid w:val="00C30578"/>
    <w:rsid w:val="00C30765"/>
    <w:rsid w:val="00C311A6"/>
    <w:rsid w:val="00C31276"/>
    <w:rsid w:val="00C31887"/>
    <w:rsid w:val="00C319D2"/>
    <w:rsid w:val="00C3204B"/>
    <w:rsid w:val="00C32598"/>
    <w:rsid w:val="00C32910"/>
    <w:rsid w:val="00C32E9C"/>
    <w:rsid w:val="00C33152"/>
    <w:rsid w:val="00C33AA9"/>
    <w:rsid w:val="00C3422B"/>
    <w:rsid w:val="00C34433"/>
    <w:rsid w:val="00C346CB"/>
    <w:rsid w:val="00C34724"/>
    <w:rsid w:val="00C34725"/>
    <w:rsid w:val="00C34A19"/>
    <w:rsid w:val="00C34AA3"/>
    <w:rsid w:val="00C3530F"/>
    <w:rsid w:val="00C35447"/>
    <w:rsid w:val="00C35650"/>
    <w:rsid w:val="00C35717"/>
    <w:rsid w:val="00C35766"/>
    <w:rsid w:val="00C35ABC"/>
    <w:rsid w:val="00C361B0"/>
    <w:rsid w:val="00C36509"/>
    <w:rsid w:val="00C36AB1"/>
    <w:rsid w:val="00C36E82"/>
    <w:rsid w:val="00C36FC9"/>
    <w:rsid w:val="00C37328"/>
    <w:rsid w:val="00C3740C"/>
    <w:rsid w:val="00C37571"/>
    <w:rsid w:val="00C376CB"/>
    <w:rsid w:val="00C376F1"/>
    <w:rsid w:val="00C405C1"/>
    <w:rsid w:val="00C4060B"/>
    <w:rsid w:val="00C4098C"/>
    <w:rsid w:val="00C40B5B"/>
    <w:rsid w:val="00C412E9"/>
    <w:rsid w:val="00C4158F"/>
    <w:rsid w:val="00C4166F"/>
    <w:rsid w:val="00C416F4"/>
    <w:rsid w:val="00C41986"/>
    <w:rsid w:val="00C419F7"/>
    <w:rsid w:val="00C41A90"/>
    <w:rsid w:val="00C42582"/>
    <w:rsid w:val="00C42721"/>
    <w:rsid w:val="00C42A9B"/>
    <w:rsid w:val="00C42CA9"/>
    <w:rsid w:val="00C42E53"/>
    <w:rsid w:val="00C4305C"/>
    <w:rsid w:val="00C43A0E"/>
    <w:rsid w:val="00C43C58"/>
    <w:rsid w:val="00C43FA8"/>
    <w:rsid w:val="00C4443A"/>
    <w:rsid w:val="00C4459D"/>
    <w:rsid w:val="00C449F1"/>
    <w:rsid w:val="00C44B0C"/>
    <w:rsid w:val="00C45058"/>
    <w:rsid w:val="00C450F0"/>
    <w:rsid w:val="00C4591E"/>
    <w:rsid w:val="00C45C39"/>
    <w:rsid w:val="00C46399"/>
    <w:rsid w:val="00C469D8"/>
    <w:rsid w:val="00C46D0D"/>
    <w:rsid w:val="00C46DCE"/>
    <w:rsid w:val="00C46E1A"/>
    <w:rsid w:val="00C470A4"/>
    <w:rsid w:val="00C47187"/>
    <w:rsid w:val="00C47404"/>
    <w:rsid w:val="00C47434"/>
    <w:rsid w:val="00C4758E"/>
    <w:rsid w:val="00C47C5A"/>
    <w:rsid w:val="00C47DBB"/>
    <w:rsid w:val="00C503DB"/>
    <w:rsid w:val="00C503F4"/>
    <w:rsid w:val="00C503F8"/>
    <w:rsid w:val="00C505ED"/>
    <w:rsid w:val="00C516DF"/>
    <w:rsid w:val="00C51767"/>
    <w:rsid w:val="00C51F40"/>
    <w:rsid w:val="00C5217A"/>
    <w:rsid w:val="00C52284"/>
    <w:rsid w:val="00C52520"/>
    <w:rsid w:val="00C52562"/>
    <w:rsid w:val="00C52B5F"/>
    <w:rsid w:val="00C52C15"/>
    <w:rsid w:val="00C52E6D"/>
    <w:rsid w:val="00C52EF7"/>
    <w:rsid w:val="00C532E4"/>
    <w:rsid w:val="00C53359"/>
    <w:rsid w:val="00C53737"/>
    <w:rsid w:val="00C53742"/>
    <w:rsid w:val="00C53999"/>
    <w:rsid w:val="00C53B5A"/>
    <w:rsid w:val="00C53EAF"/>
    <w:rsid w:val="00C54076"/>
    <w:rsid w:val="00C54246"/>
    <w:rsid w:val="00C545D1"/>
    <w:rsid w:val="00C545E4"/>
    <w:rsid w:val="00C5499F"/>
    <w:rsid w:val="00C54C56"/>
    <w:rsid w:val="00C550B9"/>
    <w:rsid w:val="00C55642"/>
    <w:rsid w:val="00C55B52"/>
    <w:rsid w:val="00C55BD1"/>
    <w:rsid w:val="00C55D62"/>
    <w:rsid w:val="00C55E0B"/>
    <w:rsid w:val="00C55F6F"/>
    <w:rsid w:val="00C56CA5"/>
    <w:rsid w:val="00C56F17"/>
    <w:rsid w:val="00C56F38"/>
    <w:rsid w:val="00C57055"/>
    <w:rsid w:val="00C570EA"/>
    <w:rsid w:val="00C57467"/>
    <w:rsid w:val="00C57482"/>
    <w:rsid w:val="00C574DE"/>
    <w:rsid w:val="00C57705"/>
    <w:rsid w:val="00C577CD"/>
    <w:rsid w:val="00C57BE3"/>
    <w:rsid w:val="00C601F5"/>
    <w:rsid w:val="00C603DC"/>
    <w:rsid w:val="00C60649"/>
    <w:rsid w:val="00C60803"/>
    <w:rsid w:val="00C60D59"/>
    <w:rsid w:val="00C60DB5"/>
    <w:rsid w:val="00C60E91"/>
    <w:rsid w:val="00C61D48"/>
    <w:rsid w:val="00C61D95"/>
    <w:rsid w:val="00C61DF5"/>
    <w:rsid w:val="00C61F06"/>
    <w:rsid w:val="00C622CC"/>
    <w:rsid w:val="00C622FB"/>
    <w:rsid w:val="00C6238D"/>
    <w:rsid w:val="00C62F9B"/>
    <w:rsid w:val="00C63B2A"/>
    <w:rsid w:val="00C63C96"/>
    <w:rsid w:val="00C6425E"/>
    <w:rsid w:val="00C6426B"/>
    <w:rsid w:val="00C64273"/>
    <w:rsid w:val="00C6437B"/>
    <w:rsid w:val="00C64798"/>
    <w:rsid w:val="00C64D3D"/>
    <w:rsid w:val="00C65103"/>
    <w:rsid w:val="00C65175"/>
    <w:rsid w:val="00C6574B"/>
    <w:rsid w:val="00C659E8"/>
    <w:rsid w:val="00C65D43"/>
    <w:rsid w:val="00C660DA"/>
    <w:rsid w:val="00C6675B"/>
    <w:rsid w:val="00C66B00"/>
    <w:rsid w:val="00C66C59"/>
    <w:rsid w:val="00C67A22"/>
    <w:rsid w:val="00C67A53"/>
    <w:rsid w:val="00C67F21"/>
    <w:rsid w:val="00C70237"/>
    <w:rsid w:val="00C703E2"/>
    <w:rsid w:val="00C70643"/>
    <w:rsid w:val="00C706C1"/>
    <w:rsid w:val="00C70BD8"/>
    <w:rsid w:val="00C71042"/>
    <w:rsid w:val="00C723D3"/>
    <w:rsid w:val="00C725F3"/>
    <w:rsid w:val="00C727F3"/>
    <w:rsid w:val="00C7343A"/>
    <w:rsid w:val="00C73CE0"/>
    <w:rsid w:val="00C73DB6"/>
    <w:rsid w:val="00C74F67"/>
    <w:rsid w:val="00C756E8"/>
    <w:rsid w:val="00C76523"/>
    <w:rsid w:val="00C7699A"/>
    <w:rsid w:val="00C76BB3"/>
    <w:rsid w:val="00C771AE"/>
    <w:rsid w:val="00C776CA"/>
    <w:rsid w:val="00C77C15"/>
    <w:rsid w:val="00C77C81"/>
    <w:rsid w:val="00C800EB"/>
    <w:rsid w:val="00C80862"/>
    <w:rsid w:val="00C80BB0"/>
    <w:rsid w:val="00C80C09"/>
    <w:rsid w:val="00C80C45"/>
    <w:rsid w:val="00C80DB0"/>
    <w:rsid w:val="00C80F80"/>
    <w:rsid w:val="00C811DC"/>
    <w:rsid w:val="00C8158F"/>
    <w:rsid w:val="00C818DB"/>
    <w:rsid w:val="00C819D7"/>
    <w:rsid w:val="00C81B71"/>
    <w:rsid w:val="00C81CA6"/>
    <w:rsid w:val="00C820D1"/>
    <w:rsid w:val="00C82E08"/>
    <w:rsid w:val="00C83823"/>
    <w:rsid w:val="00C83BD8"/>
    <w:rsid w:val="00C83F3C"/>
    <w:rsid w:val="00C842CC"/>
    <w:rsid w:val="00C844D1"/>
    <w:rsid w:val="00C845C0"/>
    <w:rsid w:val="00C846D2"/>
    <w:rsid w:val="00C848CC"/>
    <w:rsid w:val="00C84FFB"/>
    <w:rsid w:val="00C85EAC"/>
    <w:rsid w:val="00C8619A"/>
    <w:rsid w:val="00C8678C"/>
    <w:rsid w:val="00C86983"/>
    <w:rsid w:val="00C86D0C"/>
    <w:rsid w:val="00C86DB9"/>
    <w:rsid w:val="00C87041"/>
    <w:rsid w:val="00C870CA"/>
    <w:rsid w:val="00C8730D"/>
    <w:rsid w:val="00C875B7"/>
    <w:rsid w:val="00C8780E"/>
    <w:rsid w:val="00C8793E"/>
    <w:rsid w:val="00C87B29"/>
    <w:rsid w:val="00C90F1F"/>
    <w:rsid w:val="00C91034"/>
    <w:rsid w:val="00C91061"/>
    <w:rsid w:val="00C910E1"/>
    <w:rsid w:val="00C912A7"/>
    <w:rsid w:val="00C912FC"/>
    <w:rsid w:val="00C91369"/>
    <w:rsid w:val="00C91BCC"/>
    <w:rsid w:val="00C91E03"/>
    <w:rsid w:val="00C929EA"/>
    <w:rsid w:val="00C92A33"/>
    <w:rsid w:val="00C92EA4"/>
    <w:rsid w:val="00C92FD2"/>
    <w:rsid w:val="00C93562"/>
    <w:rsid w:val="00C93AB4"/>
    <w:rsid w:val="00C943D4"/>
    <w:rsid w:val="00C944FC"/>
    <w:rsid w:val="00C946AE"/>
    <w:rsid w:val="00C94905"/>
    <w:rsid w:val="00C94983"/>
    <w:rsid w:val="00C9498C"/>
    <w:rsid w:val="00C95742"/>
    <w:rsid w:val="00C95C31"/>
    <w:rsid w:val="00C95FC0"/>
    <w:rsid w:val="00C9623B"/>
    <w:rsid w:val="00C967A0"/>
    <w:rsid w:val="00C96AF4"/>
    <w:rsid w:val="00C96CED"/>
    <w:rsid w:val="00C96E34"/>
    <w:rsid w:val="00C96EAE"/>
    <w:rsid w:val="00C96FAE"/>
    <w:rsid w:val="00C9705F"/>
    <w:rsid w:val="00C97130"/>
    <w:rsid w:val="00C97431"/>
    <w:rsid w:val="00C975CE"/>
    <w:rsid w:val="00CA005C"/>
    <w:rsid w:val="00CA06D9"/>
    <w:rsid w:val="00CA075A"/>
    <w:rsid w:val="00CA0DE6"/>
    <w:rsid w:val="00CA1B5E"/>
    <w:rsid w:val="00CA1B6F"/>
    <w:rsid w:val="00CA1C24"/>
    <w:rsid w:val="00CA2064"/>
    <w:rsid w:val="00CA2784"/>
    <w:rsid w:val="00CA2A1E"/>
    <w:rsid w:val="00CA2B2E"/>
    <w:rsid w:val="00CA2D62"/>
    <w:rsid w:val="00CA35BA"/>
    <w:rsid w:val="00CA363A"/>
    <w:rsid w:val="00CA3918"/>
    <w:rsid w:val="00CA3AFC"/>
    <w:rsid w:val="00CA3B77"/>
    <w:rsid w:val="00CA459E"/>
    <w:rsid w:val="00CA47E3"/>
    <w:rsid w:val="00CA50A0"/>
    <w:rsid w:val="00CA55C3"/>
    <w:rsid w:val="00CA590C"/>
    <w:rsid w:val="00CA5BE7"/>
    <w:rsid w:val="00CA5C60"/>
    <w:rsid w:val="00CA62D6"/>
    <w:rsid w:val="00CA662D"/>
    <w:rsid w:val="00CA6C35"/>
    <w:rsid w:val="00CA6DDC"/>
    <w:rsid w:val="00CA6F1B"/>
    <w:rsid w:val="00CA72B1"/>
    <w:rsid w:val="00CA7DBE"/>
    <w:rsid w:val="00CB025D"/>
    <w:rsid w:val="00CB0C95"/>
    <w:rsid w:val="00CB0FAB"/>
    <w:rsid w:val="00CB13E0"/>
    <w:rsid w:val="00CB1457"/>
    <w:rsid w:val="00CB1949"/>
    <w:rsid w:val="00CB19BB"/>
    <w:rsid w:val="00CB1BA3"/>
    <w:rsid w:val="00CB1F0F"/>
    <w:rsid w:val="00CB23FD"/>
    <w:rsid w:val="00CB242C"/>
    <w:rsid w:val="00CB2761"/>
    <w:rsid w:val="00CB2B23"/>
    <w:rsid w:val="00CB327D"/>
    <w:rsid w:val="00CB39EA"/>
    <w:rsid w:val="00CB3CF1"/>
    <w:rsid w:val="00CB3D56"/>
    <w:rsid w:val="00CB4454"/>
    <w:rsid w:val="00CB481B"/>
    <w:rsid w:val="00CB51A5"/>
    <w:rsid w:val="00CB5DE8"/>
    <w:rsid w:val="00CB5F57"/>
    <w:rsid w:val="00CB5F61"/>
    <w:rsid w:val="00CB61E3"/>
    <w:rsid w:val="00CB629C"/>
    <w:rsid w:val="00CB66C5"/>
    <w:rsid w:val="00CB67B6"/>
    <w:rsid w:val="00CB68DF"/>
    <w:rsid w:val="00CB69F5"/>
    <w:rsid w:val="00CB6A8A"/>
    <w:rsid w:val="00CB718D"/>
    <w:rsid w:val="00CB7871"/>
    <w:rsid w:val="00CB78CE"/>
    <w:rsid w:val="00CB7C94"/>
    <w:rsid w:val="00CC09DD"/>
    <w:rsid w:val="00CC0A89"/>
    <w:rsid w:val="00CC0AA8"/>
    <w:rsid w:val="00CC0AEC"/>
    <w:rsid w:val="00CC0DD8"/>
    <w:rsid w:val="00CC0EBF"/>
    <w:rsid w:val="00CC11DF"/>
    <w:rsid w:val="00CC14D0"/>
    <w:rsid w:val="00CC151A"/>
    <w:rsid w:val="00CC173F"/>
    <w:rsid w:val="00CC22F4"/>
    <w:rsid w:val="00CC250C"/>
    <w:rsid w:val="00CC2825"/>
    <w:rsid w:val="00CC288B"/>
    <w:rsid w:val="00CC28D4"/>
    <w:rsid w:val="00CC291E"/>
    <w:rsid w:val="00CC2C76"/>
    <w:rsid w:val="00CC331B"/>
    <w:rsid w:val="00CC3E88"/>
    <w:rsid w:val="00CC3ECC"/>
    <w:rsid w:val="00CC4286"/>
    <w:rsid w:val="00CC43CA"/>
    <w:rsid w:val="00CC4B16"/>
    <w:rsid w:val="00CC52D5"/>
    <w:rsid w:val="00CC5750"/>
    <w:rsid w:val="00CC597C"/>
    <w:rsid w:val="00CC5986"/>
    <w:rsid w:val="00CC5E41"/>
    <w:rsid w:val="00CC6409"/>
    <w:rsid w:val="00CC67D3"/>
    <w:rsid w:val="00CC69AE"/>
    <w:rsid w:val="00CC6C7C"/>
    <w:rsid w:val="00CC7A2B"/>
    <w:rsid w:val="00CC7AD7"/>
    <w:rsid w:val="00CC7D45"/>
    <w:rsid w:val="00CD01BF"/>
    <w:rsid w:val="00CD08C6"/>
    <w:rsid w:val="00CD095A"/>
    <w:rsid w:val="00CD0BA2"/>
    <w:rsid w:val="00CD0CCF"/>
    <w:rsid w:val="00CD0EFA"/>
    <w:rsid w:val="00CD132E"/>
    <w:rsid w:val="00CD1640"/>
    <w:rsid w:val="00CD187D"/>
    <w:rsid w:val="00CD1E2F"/>
    <w:rsid w:val="00CD25F3"/>
    <w:rsid w:val="00CD2FD3"/>
    <w:rsid w:val="00CD3303"/>
    <w:rsid w:val="00CD3592"/>
    <w:rsid w:val="00CD35A4"/>
    <w:rsid w:val="00CD37D1"/>
    <w:rsid w:val="00CD39CE"/>
    <w:rsid w:val="00CD41E4"/>
    <w:rsid w:val="00CD425C"/>
    <w:rsid w:val="00CD47FD"/>
    <w:rsid w:val="00CD51E4"/>
    <w:rsid w:val="00CD5786"/>
    <w:rsid w:val="00CD5AB3"/>
    <w:rsid w:val="00CD66B7"/>
    <w:rsid w:val="00CD6A42"/>
    <w:rsid w:val="00CD6F36"/>
    <w:rsid w:val="00CD70A9"/>
    <w:rsid w:val="00CD76AA"/>
    <w:rsid w:val="00CD7CC5"/>
    <w:rsid w:val="00CE000E"/>
    <w:rsid w:val="00CE001B"/>
    <w:rsid w:val="00CE0600"/>
    <w:rsid w:val="00CE0AC3"/>
    <w:rsid w:val="00CE1399"/>
    <w:rsid w:val="00CE1883"/>
    <w:rsid w:val="00CE1E99"/>
    <w:rsid w:val="00CE207E"/>
    <w:rsid w:val="00CE20D3"/>
    <w:rsid w:val="00CE21D3"/>
    <w:rsid w:val="00CE2465"/>
    <w:rsid w:val="00CE25B4"/>
    <w:rsid w:val="00CE2663"/>
    <w:rsid w:val="00CE2A07"/>
    <w:rsid w:val="00CE2A45"/>
    <w:rsid w:val="00CE3A2E"/>
    <w:rsid w:val="00CE4696"/>
    <w:rsid w:val="00CE47E9"/>
    <w:rsid w:val="00CE4A3B"/>
    <w:rsid w:val="00CE4AC0"/>
    <w:rsid w:val="00CE5C26"/>
    <w:rsid w:val="00CE5D56"/>
    <w:rsid w:val="00CE5D6A"/>
    <w:rsid w:val="00CE606E"/>
    <w:rsid w:val="00CE6937"/>
    <w:rsid w:val="00CE6F33"/>
    <w:rsid w:val="00CE71F1"/>
    <w:rsid w:val="00CE73D3"/>
    <w:rsid w:val="00CE794B"/>
    <w:rsid w:val="00CE7E23"/>
    <w:rsid w:val="00CE7E76"/>
    <w:rsid w:val="00CF0132"/>
    <w:rsid w:val="00CF0A55"/>
    <w:rsid w:val="00CF0EDD"/>
    <w:rsid w:val="00CF16C9"/>
    <w:rsid w:val="00CF20A5"/>
    <w:rsid w:val="00CF2485"/>
    <w:rsid w:val="00CF270E"/>
    <w:rsid w:val="00CF3335"/>
    <w:rsid w:val="00CF3931"/>
    <w:rsid w:val="00CF4002"/>
    <w:rsid w:val="00CF4745"/>
    <w:rsid w:val="00CF4D39"/>
    <w:rsid w:val="00CF4FD9"/>
    <w:rsid w:val="00CF58B7"/>
    <w:rsid w:val="00CF5B27"/>
    <w:rsid w:val="00CF5B87"/>
    <w:rsid w:val="00CF5D81"/>
    <w:rsid w:val="00CF621B"/>
    <w:rsid w:val="00CF6982"/>
    <w:rsid w:val="00CF6CEE"/>
    <w:rsid w:val="00CF6F07"/>
    <w:rsid w:val="00CF7086"/>
    <w:rsid w:val="00CF713E"/>
    <w:rsid w:val="00CF726E"/>
    <w:rsid w:val="00CF744A"/>
    <w:rsid w:val="00CF7498"/>
    <w:rsid w:val="00CF74C2"/>
    <w:rsid w:val="00CF7674"/>
    <w:rsid w:val="00CF76A7"/>
    <w:rsid w:val="00CF7A8A"/>
    <w:rsid w:val="00CF7BED"/>
    <w:rsid w:val="00CF7D95"/>
    <w:rsid w:val="00CF7FDB"/>
    <w:rsid w:val="00D001B5"/>
    <w:rsid w:val="00D00538"/>
    <w:rsid w:val="00D009CE"/>
    <w:rsid w:val="00D00C50"/>
    <w:rsid w:val="00D00D21"/>
    <w:rsid w:val="00D01396"/>
    <w:rsid w:val="00D0197B"/>
    <w:rsid w:val="00D01E4D"/>
    <w:rsid w:val="00D02107"/>
    <w:rsid w:val="00D024D5"/>
    <w:rsid w:val="00D025CD"/>
    <w:rsid w:val="00D02766"/>
    <w:rsid w:val="00D02F04"/>
    <w:rsid w:val="00D02FB6"/>
    <w:rsid w:val="00D0310C"/>
    <w:rsid w:val="00D031A1"/>
    <w:rsid w:val="00D033BC"/>
    <w:rsid w:val="00D03448"/>
    <w:rsid w:val="00D03BC6"/>
    <w:rsid w:val="00D03F93"/>
    <w:rsid w:val="00D040C0"/>
    <w:rsid w:val="00D0429C"/>
    <w:rsid w:val="00D043A8"/>
    <w:rsid w:val="00D043BC"/>
    <w:rsid w:val="00D04689"/>
    <w:rsid w:val="00D049AD"/>
    <w:rsid w:val="00D04BB7"/>
    <w:rsid w:val="00D0500B"/>
    <w:rsid w:val="00D056B6"/>
    <w:rsid w:val="00D0589B"/>
    <w:rsid w:val="00D06008"/>
    <w:rsid w:val="00D060FD"/>
    <w:rsid w:val="00D061DA"/>
    <w:rsid w:val="00D06306"/>
    <w:rsid w:val="00D064F7"/>
    <w:rsid w:val="00D066FA"/>
    <w:rsid w:val="00D069A3"/>
    <w:rsid w:val="00D06AF3"/>
    <w:rsid w:val="00D07037"/>
    <w:rsid w:val="00D073B1"/>
    <w:rsid w:val="00D07581"/>
    <w:rsid w:val="00D076D0"/>
    <w:rsid w:val="00D07789"/>
    <w:rsid w:val="00D07BA5"/>
    <w:rsid w:val="00D07BEA"/>
    <w:rsid w:val="00D07D29"/>
    <w:rsid w:val="00D07EE5"/>
    <w:rsid w:val="00D10BA8"/>
    <w:rsid w:val="00D10F55"/>
    <w:rsid w:val="00D11206"/>
    <w:rsid w:val="00D11231"/>
    <w:rsid w:val="00D116DE"/>
    <w:rsid w:val="00D11C22"/>
    <w:rsid w:val="00D12615"/>
    <w:rsid w:val="00D12D5E"/>
    <w:rsid w:val="00D133E5"/>
    <w:rsid w:val="00D13699"/>
    <w:rsid w:val="00D137A4"/>
    <w:rsid w:val="00D13A2D"/>
    <w:rsid w:val="00D13BAF"/>
    <w:rsid w:val="00D13F07"/>
    <w:rsid w:val="00D13F5B"/>
    <w:rsid w:val="00D14D73"/>
    <w:rsid w:val="00D151C8"/>
    <w:rsid w:val="00D156AF"/>
    <w:rsid w:val="00D15930"/>
    <w:rsid w:val="00D15E2A"/>
    <w:rsid w:val="00D15F2C"/>
    <w:rsid w:val="00D164AC"/>
    <w:rsid w:val="00D1691D"/>
    <w:rsid w:val="00D169D7"/>
    <w:rsid w:val="00D16EBB"/>
    <w:rsid w:val="00D16FDC"/>
    <w:rsid w:val="00D17026"/>
    <w:rsid w:val="00D17580"/>
    <w:rsid w:val="00D17DED"/>
    <w:rsid w:val="00D17FD3"/>
    <w:rsid w:val="00D200AE"/>
    <w:rsid w:val="00D202AD"/>
    <w:rsid w:val="00D203E4"/>
    <w:rsid w:val="00D20781"/>
    <w:rsid w:val="00D2095E"/>
    <w:rsid w:val="00D2099C"/>
    <w:rsid w:val="00D2105E"/>
    <w:rsid w:val="00D2127A"/>
    <w:rsid w:val="00D215BD"/>
    <w:rsid w:val="00D21E25"/>
    <w:rsid w:val="00D2247B"/>
    <w:rsid w:val="00D2274D"/>
    <w:rsid w:val="00D2290C"/>
    <w:rsid w:val="00D2379C"/>
    <w:rsid w:val="00D23F7A"/>
    <w:rsid w:val="00D2424A"/>
    <w:rsid w:val="00D249BB"/>
    <w:rsid w:val="00D2506E"/>
    <w:rsid w:val="00D251B1"/>
    <w:rsid w:val="00D258E0"/>
    <w:rsid w:val="00D25AEB"/>
    <w:rsid w:val="00D25BC0"/>
    <w:rsid w:val="00D25C17"/>
    <w:rsid w:val="00D26A16"/>
    <w:rsid w:val="00D26A53"/>
    <w:rsid w:val="00D26B21"/>
    <w:rsid w:val="00D26BDA"/>
    <w:rsid w:val="00D26D66"/>
    <w:rsid w:val="00D27732"/>
    <w:rsid w:val="00D27830"/>
    <w:rsid w:val="00D304A2"/>
    <w:rsid w:val="00D30597"/>
    <w:rsid w:val="00D305E9"/>
    <w:rsid w:val="00D30759"/>
    <w:rsid w:val="00D30BB5"/>
    <w:rsid w:val="00D31216"/>
    <w:rsid w:val="00D315A9"/>
    <w:rsid w:val="00D31B90"/>
    <w:rsid w:val="00D31CBE"/>
    <w:rsid w:val="00D31F14"/>
    <w:rsid w:val="00D31F66"/>
    <w:rsid w:val="00D32088"/>
    <w:rsid w:val="00D324C8"/>
    <w:rsid w:val="00D3272A"/>
    <w:rsid w:val="00D32928"/>
    <w:rsid w:val="00D32D95"/>
    <w:rsid w:val="00D330D1"/>
    <w:rsid w:val="00D337AC"/>
    <w:rsid w:val="00D338F3"/>
    <w:rsid w:val="00D33C9C"/>
    <w:rsid w:val="00D33E64"/>
    <w:rsid w:val="00D33EFC"/>
    <w:rsid w:val="00D34016"/>
    <w:rsid w:val="00D34649"/>
    <w:rsid w:val="00D3518C"/>
    <w:rsid w:val="00D3559B"/>
    <w:rsid w:val="00D35898"/>
    <w:rsid w:val="00D35C7D"/>
    <w:rsid w:val="00D35E58"/>
    <w:rsid w:val="00D362A4"/>
    <w:rsid w:val="00D36687"/>
    <w:rsid w:val="00D36EA1"/>
    <w:rsid w:val="00D3731A"/>
    <w:rsid w:val="00D376E6"/>
    <w:rsid w:val="00D37B89"/>
    <w:rsid w:val="00D4009A"/>
    <w:rsid w:val="00D40635"/>
    <w:rsid w:val="00D4070D"/>
    <w:rsid w:val="00D4110C"/>
    <w:rsid w:val="00D41200"/>
    <w:rsid w:val="00D4149F"/>
    <w:rsid w:val="00D414B0"/>
    <w:rsid w:val="00D41B47"/>
    <w:rsid w:val="00D41BBE"/>
    <w:rsid w:val="00D421B5"/>
    <w:rsid w:val="00D42734"/>
    <w:rsid w:val="00D43117"/>
    <w:rsid w:val="00D4388B"/>
    <w:rsid w:val="00D43E8B"/>
    <w:rsid w:val="00D43EA3"/>
    <w:rsid w:val="00D4413E"/>
    <w:rsid w:val="00D444D8"/>
    <w:rsid w:val="00D44B46"/>
    <w:rsid w:val="00D44B52"/>
    <w:rsid w:val="00D44C72"/>
    <w:rsid w:val="00D44FA5"/>
    <w:rsid w:val="00D450DC"/>
    <w:rsid w:val="00D45128"/>
    <w:rsid w:val="00D4514C"/>
    <w:rsid w:val="00D45224"/>
    <w:rsid w:val="00D45462"/>
    <w:rsid w:val="00D4547A"/>
    <w:rsid w:val="00D4554B"/>
    <w:rsid w:val="00D45A14"/>
    <w:rsid w:val="00D4650B"/>
    <w:rsid w:val="00D4674D"/>
    <w:rsid w:val="00D46A37"/>
    <w:rsid w:val="00D46D12"/>
    <w:rsid w:val="00D46F61"/>
    <w:rsid w:val="00D47BA2"/>
    <w:rsid w:val="00D47DE8"/>
    <w:rsid w:val="00D503F3"/>
    <w:rsid w:val="00D506CD"/>
    <w:rsid w:val="00D50796"/>
    <w:rsid w:val="00D50E8F"/>
    <w:rsid w:val="00D510C4"/>
    <w:rsid w:val="00D51E6C"/>
    <w:rsid w:val="00D51F64"/>
    <w:rsid w:val="00D522EB"/>
    <w:rsid w:val="00D52358"/>
    <w:rsid w:val="00D52426"/>
    <w:rsid w:val="00D52EA6"/>
    <w:rsid w:val="00D52EF6"/>
    <w:rsid w:val="00D537FF"/>
    <w:rsid w:val="00D540B9"/>
    <w:rsid w:val="00D541F7"/>
    <w:rsid w:val="00D544A4"/>
    <w:rsid w:val="00D5484D"/>
    <w:rsid w:val="00D54972"/>
    <w:rsid w:val="00D54C48"/>
    <w:rsid w:val="00D54F1D"/>
    <w:rsid w:val="00D550A9"/>
    <w:rsid w:val="00D5597D"/>
    <w:rsid w:val="00D55D52"/>
    <w:rsid w:val="00D55EE5"/>
    <w:rsid w:val="00D55FBA"/>
    <w:rsid w:val="00D56192"/>
    <w:rsid w:val="00D5664C"/>
    <w:rsid w:val="00D56A3D"/>
    <w:rsid w:val="00D56BCC"/>
    <w:rsid w:val="00D56D9B"/>
    <w:rsid w:val="00D56F42"/>
    <w:rsid w:val="00D5711C"/>
    <w:rsid w:val="00D573CA"/>
    <w:rsid w:val="00D575FE"/>
    <w:rsid w:val="00D5767B"/>
    <w:rsid w:val="00D576F9"/>
    <w:rsid w:val="00D57C1D"/>
    <w:rsid w:val="00D57D41"/>
    <w:rsid w:val="00D57F66"/>
    <w:rsid w:val="00D6006D"/>
    <w:rsid w:val="00D602CE"/>
    <w:rsid w:val="00D6088D"/>
    <w:rsid w:val="00D608A1"/>
    <w:rsid w:val="00D609AB"/>
    <w:rsid w:val="00D60EB4"/>
    <w:rsid w:val="00D60FBC"/>
    <w:rsid w:val="00D61105"/>
    <w:rsid w:val="00D615D6"/>
    <w:rsid w:val="00D6162A"/>
    <w:rsid w:val="00D61E1F"/>
    <w:rsid w:val="00D61E84"/>
    <w:rsid w:val="00D61F14"/>
    <w:rsid w:val="00D62030"/>
    <w:rsid w:val="00D62184"/>
    <w:rsid w:val="00D62202"/>
    <w:rsid w:val="00D6226A"/>
    <w:rsid w:val="00D623E4"/>
    <w:rsid w:val="00D624D6"/>
    <w:rsid w:val="00D6282F"/>
    <w:rsid w:val="00D62979"/>
    <w:rsid w:val="00D629CA"/>
    <w:rsid w:val="00D63065"/>
    <w:rsid w:val="00D63192"/>
    <w:rsid w:val="00D631EB"/>
    <w:rsid w:val="00D633BC"/>
    <w:rsid w:val="00D636F0"/>
    <w:rsid w:val="00D63822"/>
    <w:rsid w:val="00D63C4F"/>
    <w:rsid w:val="00D63D05"/>
    <w:rsid w:val="00D63D99"/>
    <w:rsid w:val="00D63FD9"/>
    <w:rsid w:val="00D648DF"/>
    <w:rsid w:val="00D64A23"/>
    <w:rsid w:val="00D64A2E"/>
    <w:rsid w:val="00D650EA"/>
    <w:rsid w:val="00D65296"/>
    <w:rsid w:val="00D6548C"/>
    <w:rsid w:val="00D65675"/>
    <w:rsid w:val="00D65A5B"/>
    <w:rsid w:val="00D65A65"/>
    <w:rsid w:val="00D65D1C"/>
    <w:rsid w:val="00D65F85"/>
    <w:rsid w:val="00D661E4"/>
    <w:rsid w:val="00D66407"/>
    <w:rsid w:val="00D66769"/>
    <w:rsid w:val="00D66B33"/>
    <w:rsid w:val="00D6713C"/>
    <w:rsid w:val="00D671E2"/>
    <w:rsid w:val="00D67390"/>
    <w:rsid w:val="00D6743B"/>
    <w:rsid w:val="00D675C5"/>
    <w:rsid w:val="00D679D9"/>
    <w:rsid w:val="00D67D11"/>
    <w:rsid w:val="00D70445"/>
    <w:rsid w:val="00D70748"/>
    <w:rsid w:val="00D70C97"/>
    <w:rsid w:val="00D71DD0"/>
    <w:rsid w:val="00D71EC7"/>
    <w:rsid w:val="00D723D6"/>
    <w:rsid w:val="00D723FF"/>
    <w:rsid w:val="00D7263A"/>
    <w:rsid w:val="00D726B0"/>
    <w:rsid w:val="00D728D5"/>
    <w:rsid w:val="00D72A29"/>
    <w:rsid w:val="00D72CAA"/>
    <w:rsid w:val="00D72DC4"/>
    <w:rsid w:val="00D736E0"/>
    <w:rsid w:val="00D73C64"/>
    <w:rsid w:val="00D73EAC"/>
    <w:rsid w:val="00D73F97"/>
    <w:rsid w:val="00D74406"/>
    <w:rsid w:val="00D74A8E"/>
    <w:rsid w:val="00D75322"/>
    <w:rsid w:val="00D75773"/>
    <w:rsid w:val="00D759CD"/>
    <w:rsid w:val="00D75BB1"/>
    <w:rsid w:val="00D7627D"/>
    <w:rsid w:val="00D76722"/>
    <w:rsid w:val="00D76D14"/>
    <w:rsid w:val="00D76E0E"/>
    <w:rsid w:val="00D76E5B"/>
    <w:rsid w:val="00D770DC"/>
    <w:rsid w:val="00D770F3"/>
    <w:rsid w:val="00D77462"/>
    <w:rsid w:val="00D77520"/>
    <w:rsid w:val="00D77761"/>
    <w:rsid w:val="00D779F3"/>
    <w:rsid w:val="00D77BA7"/>
    <w:rsid w:val="00D77FB0"/>
    <w:rsid w:val="00D8017E"/>
    <w:rsid w:val="00D8032B"/>
    <w:rsid w:val="00D80776"/>
    <w:rsid w:val="00D8081E"/>
    <w:rsid w:val="00D81074"/>
    <w:rsid w:val="00D81170"/>
    <w:rsid w:val="00D81811"/>
    <w:rsid w:val="00D81F84"/>
    <w:rsid w:val="00D821A9"/>
    <w:rsid w:val="00D829D6"/>
    <w:rsid w:val="00D82A7A"/>
    <w:rsid w:val="00D82F3E"/>
    <w:rsid w:val="00D82FE0"/>
    <w:rsid w:val="00D833DC"/>
    <w:rsid w:val="00D83690"/>
    <w:rsid w:val="00D8379E"/>
    <w:rsid w:val="00D83813"/>
    <w:rsid w:val="00D83E98"/>
    <w:rsid w:val="00D84860"/>
    <w:rsid w:val="00D84EA7"/>
    <w:rsid w:val="00D851AC"/>
    <w:rsid w:val="00D8543C"/>
    <w:rsid w:val="00D85444"/>
    <w:rsid w:val="00D856E1"/>
    <w:rsid w:val="00D8585E"/>
    <w:rsid w:val="00D85C05"/>
    <w:rsid w:val="00D85E6D"/>
    <w:rsid w:val="00D861E6"/>
    <w:rsid w:val="00D86352"/>
    <w:rsid w:val="00D864D2"/>
    <w:rsid w:val="00D86A82"/>
    <w:rsid w:val="00D86B51"/>
    <w:rsid w:val="00D86BB2"/>
    <w:rsid w:val="00D86C95"/>
    <w:rsid w:val="00D86F50"/>
    <w:rsid w:val="00D870C3"/>
    <w:rsid w:val="00D87468"/>
    <w:rsid w:val="00D874B6"/>
    <w:rsid w:val="00D87517"/>
    <w:rsid w:val="00D87705"/>
    <w:rsid w:val="00D877D1"/>
    <w:rsid w:val="00D87C5F"/>
    <w:rsid w:val="00D907E0"/>
    <w:rsid w:val="00D90832"/>
    <w:rsid w:val="00D909A4"/>
    <w:rsid w:val="00D90B73"/>
    <w:rsid w:val="00D90D05"/>
    <w:rsid w:val="00D90DED"/>
    <w:rsid w:val="00D90EF3"/>
    <w:rsid w:val="00D9173F"/>
    <w:rsid w:val="00D91B97"/>
    <w:rsid w:val="00D91DB4"/>
    <w:rsid w:val="00D92076"/>
    <w:rsid w:val="00D92103"/>
    <w:rsid w:val="00D92104"/>
    <w:rsid w:val="00D92254"/>
    <w:rsid w:val="00D9226A"/>
    <w:rsid w:val="00D92286"/>
    <w:rsid w:val="00D92815"/>
    <w:rsid w:val="00D92F5D"/>
    <w:rsid w:val="00D934B8"/>
    <w:rsid w:val="00D935B0"/>
    <w:rsid w:val="00D94159"/>
    <w:rsid w:val="00D944D2"/>
    <w:rsid w:val="00D9452B"/>
    <w:rsid w:val="00D947DE"/>
    <w:rsid w:val="00D95693"/>
    <w:rsid w:val="00D959F1"/>
    <w:rsid w:val="00D95C8F"/>
    <w:rsid w:val="00D95F7A"/>
    <w:rsid w:val="00D960B7"/>
    <w:rsid w:val="00D961E0"/>
    <w:rsid w:val="00D9638C"/>
    <w:rsid w:val="00D96777"/>
    <w:rsid w:val="00D9678D"/>
    <w:rsid w:val="00D967E3"/>
    <w:rsid w:val="00D96AFC"/>
    <w:rsid w:val="00D96F31"/>
    <w:rsid w:val="00D970C3"/>
    <w:rsid w:val="00D9761C"/>
    <w:rsid w:val="00D97AC7"/>
    <w:rsid w:val="00DA0142"/>
    <w:rsid w:val="00DA0201"/>
    <w:rsid w:val="00DA02E9"/>
    <w:rsid w:val="00DA04BD"/>
    <w:rsid w:val="00DA080D"/>
    <w:rsid w:val="00DA0930"/>
    <w:rsid w:val="00DA0BCA"/>
    <w:rsid w:val="00DA1169"/>
    <w:rsid w:val="00DA137C"/>
    <w:rsid w:val="00DA1469"/>
    <w:rsid w:val="00DA19AA"/>
    <w:rsid w:val="00DA2282"/>
    <w:rsid w:val="00DA2329"/>
    <w:rsid w:val="00DA25BB"/>
    <w:rsid w:val="00DA2993"/>
    <w:rsid w:val="00DA3463"/>
    <w:rsid w:val="00DA36F8"/>
    <w:rsid w:val="00DA36F9"/>
    <w:rsid w:val="00DA371D"/>
    <w:rsid w:val="00DA38F6"/>
    <w:rsid w:val="00DA4187"/>
    <w:rsid w:val="00DA4831"/>
    <w:rsid w:val="00DA4A89"/>
    <w:rsid w:val="00DA4B09"/>
    <w:rsid w:val="00DA4F37"/>
    <w:rsid w:val="00DA575A"/>
    <w:rsid w:val="00DA5770"/>
    <w:rsid w:val="00DA58CB"/>
    <w:rsid w:val="00DA5DDC"/>
    <w:rsid w:val="00DA5FB1"/>
    <w:rsid w:val="00DA6143"/>
    <w:rsid w:val="00DA618F"/>
    <w:rsid w:val="00DA65A5"/>
    <w:rsid w:val="00DA6694"/>
    <w:rsid w:val="00DA68D1"/>
    <w:rsid w:val="00DA6BD8"/>
    <w:rsid w:val="00DA6CD6"/>
    <w:rsid w:val="00DA6D75"/>
    <w:rsid w:val="00DA6E06"/>
    <w:rsid w:val="00DA708A"/>
    <w:rsid w:val="00DA75EB"/>
    <w:rsid w:val="00DA7CF7"/>
    <w:rsid w:val="00DB09E2"/>
    <w:rsid w:val="00DB09EE"/>
    <w:rsid w:val="00DB10F7"/>
    <w:rsid w:val="00DB1771"/>
    <w:rsid w:val="00DB1926"/>
    <w:rsid w:val="00DB1CBE"/>
    <w:rsid w:val="00DB21C6"/>
    <w:rsid w:val="00DB2830"/>
    <w:rsid w:val="00DB29D0"/>
    <w:rsid w:val="00DB2AAD"/>
    <w:rsid w:val="00DB2B00"/>
    <w:rsid w:val="00DB2D0C"/>
    <w:rsid w:val="00DB2DB2"/>
    <w:rsid w:val="00DB2DF1"/>
    <w:rsid w:val="00DB2E80"/>
    <w:rsid w:val="00DB2F6E"/>
    <w:rsid w:val="00DB3698"/>
    <w:rsid w:val="00DB376C"/>
    <w:rsid w:val="00DB39F3"/>
    <w:rsid w:val="00DB3CEC"/>
    <w:rsid w:val="00DB3EE8"/>
    <w:rsid w:val="00DB4031"/>
    <w:rsid w:val="00DB4717"/>
    <w:rsid w:val="00DB4D34"/>
    <w:rsid w:val="00DB53EB"/>
    <w:rsid w:val="00DB56B4"/>
    <w:rsid w:val="00DB57CB"/>
    <w:rsid w:val="00DB5C93"/>
    <w:rsid w:val="00DB61C1"/>
    <w:rsid w:val="00DB6C0A"/>
    <w:rsid w:val="00DB7288"/>
    <w:rsid w:val="00DB76F3"/>
    <w:rsid w:val="00DB78ED"/>
    <w:rsid w:val="00DB7E9C"/>
    <w:rsid w:val="00DC032A"/>
    <w:rsid w:val="00DC0354"/>
    <w:rsid w:val="00DC057E"/>
    <w:rsid w:val="00DC067C"/>
    <w:rsid w:val="00DC0BD2"/>
    <w:rsid w:val="00DC128E"/>
    <w:rsid w:val="00DC138F"/>
    <w:rsid w:val="00DC13D3"/>
    <w:rsid w:val="00DC1468"/>
    <w:rsid w:val="00DC293F"/>
    <w:rsid w:val="00DC3194"/>
    <w:rsid w:val="00DC3686"/>
    <w:rsid w:val="00DC371E"/>
    <w:rsid w:val="00DC39C9"/>
    <w:rsid w:val="00DC3E05"/>
    <w:rsid w:val="00DC3E6E"/>
    <w:rsid w:val="00DC3F4A"/>
    <w:rsid w:val="00DC3FCF"/>
    <w:rsid w:val="00DC4841"/>
    <w:rsid w:val="00DC4AD1"/>
    <w:rsid w:val="00DC4E12"/>
    <w:rsid w:val="00DC4E20"/>
    <w:rsid w:val="00DC4E49"/>
    <w:rsid w:val="00DC4F79"/>
    <w:rsid w:val="00DC5480"/>
    <w:rsid w:val="00DC54EA"/>
    <w:rsid w:val="00DC6113"/>
    <w:rsid w:val="00DC636F"/>
    <w:rsid w:val="00DC64CF"/>
    <w:rsid w:val="00DC64F9"/>
    <w:rsid w:val="00DC660D"/>
    <w:rsid w:val="00DC6640"/>
    <w:rsid w:val="00DC6BE7"/>
    <w:rsid w:val="00DC764E"/>
    <w:rsid w:val="00DC7927"/>
    <w:rsid w:val="00DC7D60"/>
    <w:rsid w:val="00DD0395"/>
    <w:rsid w:val="00DD05C7"/>
    <w:rsid w:val="00DD0B70"/>
    <w:rsid w:val="00DD0D5E"/>
    <w:rsid w:val="00DD0F02"/>
    <w:rsid w:val="00DD1959"/>
    <w:rsid w:val="00DD1BA3"/>
    <w:rsid w:val="00DD1C75"/>
    <w:rsid w:val="00DD1F64"/>
    <w:rsid w:val="00DD205B"/>
    <w:rsid w:val="00DD21D7"/>
    <w:rsid w:val="00DD2BDB"/>
    <w:rsid w:val="00DD2DF8"/>
    <w:rsid w:val="00DD2FDF"/>
    <w:rsid w:val="00DD36E8"/>
    <w:rsid w:val="00DD3887"/>
    <w:rsid w:val="00DD414C"/>
    <w:rsid w:val="00DD415B"/>
    <w:rsid w:val="00DD41D2"/>
    <w:rsid w:val="00DD47E1"/>
    <w:rsid w:val="00DD4E81"/>
    <w:rsid w:val="00DD5192"/>
    <w:rsid w:val="00DD51AA"/>
    <w:rsid w:val="00DD55B2"/>
    <w:rsid w:val="00DD57D6"/>
    <w:rsid w:val="00DD6168"/>
    <w:rsid w:val="00DD6646"/>
    <w:rsid w:val="00DD6733"/>
    <w:rsid w:val="00DD6C78"/>
    <w:rsid w:val="00DD6D48"/>
    <w:rsid w:val="00DD718D"/>
    <w:rsid w:val="00DD7228"/>
    <w:rsid w:val="00DD7B46"/>
    <w:rsid w:val="00DD7D13"/>
    <w:rsid w:val="00DD7DDC"/>
    <w:rsid w:val="00DD7E18"/>
    <w:rsid w:val="00DE068B"/>
    <w:rsid w:val="00DE0DBD"/>
    <w:rsid w:val="00DE0E07"/>
    <w:rsid w:val="00DE12D6"/>
    <w:rsid w:val="00DE13CF"/>
    <w:rsid w:val="00DE1458"/>
    <w:rsid w:val="00DE1699"/>
    <w:rsid w:val="00DE1C11"/>
    <w:rsid w:val="00DE1CFD"/>
    <w:rsid w:val="00DE1ED5"/>
    <w:rsid w:val="00DE206F"/>
    <w:rsid w:val="00DE2093"/>
    <w:rsid w:val="00DE2469"/>
    <w:rsid w:val="00DE2D8B"/>
    <w:rsid w:val="00DE2F06"/>
    <w:rsid w:val="00DE31C2"/>
    <w:rsid w:val="00DE40B0"/>
    <w:rsid w:val="00DE52B6"/>
    <w:rsid w:val="00DE5BD8"/>
    <w:rsid w:val="00DE5EF8"/>
    <w:rsid w:val="00DE5F60"/>
    <w:rsid w:val="00DE6570"/>
    <w:rsid w:val="00DE6713"/>
    <w:rsid w:val="00DE6BAC"/>
    <w:rsid w:val="00DE6DBD"/>
    <w:rsid w:val="00DE6F1C"/>
    <w:rsid w:val="00DE7F94"/>
    <w:rsid w:val="00DE7FAC"/>
    <w:rsid w:val="00DF0165"/>
    <w:rsid w:val="00DF0817"/>
    <w:rsid w:val="00DF0869"/>
    <w:rsid w:val="00DF0FF6"/>
    <w:rsid w:val="00DF11B0"/>
    <w:rsid w:val="00DF1218"/>
    <w:rsid w:val="00DF126C"/>
    <w:rsid w:val="00DF12C7"/>
    <w:rsid w:val="00DF16A4"/>
    <w:rsid w:val="00DF16A6"/>
    <w:rsid w:val="00DF170D"/>
    <w:rsid w:val="00DF1735"/>
    <w:rsid w:val="00DF1CB2"/>
    <w:rsid w:val="00DF21B2"/>
    <w:rsid w:val="00DF2357"/>
    <w:rsid w:val="00DF2527"/>
    <w:rsid w:val="00DF2886"/>
    <w:rsid w:val="00DF2A90"/>
    <w:rsid w:val="00DF2E5F"/>
    <w:rsid w:val="00DF2EF0"/>
    <w:rsid w:val="00DF30AE"/>
    <w:rsid w:val="00DF35FB"/>
    <w:rsid w:val="00DF4732"/>
    <w:rsid w:val="00DF4850"/>
    <w:rsid w:val="00DF4DE3"/>
    <w:rsid w:val="00DF52A6"/>
    <w:rsid w:val="00DF56D3"/>
    <w:rsid w:val="00DF5E54"/>
    <w:rsid w:val="00DF5EEB"/>
    <w:rsid w:val="00DF61DE"/>
    <w:rsid w:val="00DF61F1"/>
    <w:rsid w:val="00DF6DE8"/>
    <w:rsid w:val="00DF6E23"/>
    <w:rsid w:val="00DF7034"/>
    <w:rsid w:val="00DF7354"/>
    <w:rsid w:val="00DF73F5"/>
    <w:rsid w:val="00DF7827"/>
    <w:rsid w:val="00DF7EDD"/>
    <w:rsid w:val="00E0075C"/>
    <w:rsid w:val="00E00891"/>
    <w:rsid w:val="00E008FD"/>
    <w:rsid w:val="00E00A9C"/>
    <w:rsid w:val="00E00D05"/>
    <w:rsid w:val="00E00D9C"/>
    <w:rsid w:val="00E01851"/>
    <w:rsid w:val="00E01D64"/>
    <w:rsid w:val="00E01E98"/>
    <w:rsid w:val="00E01F21"/>
    <w:rsid w:val="00E026F9"/>
    <w:rsid w:val="00E027D1"/>
    <w:rsid w:val="00E027DE"/>
    <w:rsid w:val="00E02FE9"/>
    <w:rsid w:val="00E03030"/>
    <w:rsid w:val="00E03241"/>
    <w:rsid w:val="00E0334C"/>
    <w:rsid w:val="00E03789"/>
    <w:rsid w:val="00E037BE"/>
    <w:rsid w:val="00E03843"/>
    <w:rsid w:val="00E03D89"/>
    <w:rsid w:val="00E03E7A"/>
    <w:rsid w:val="00E03F3B"/>
    <w:rsid w:val="00E04349"/>
    <w:rsid w:val="00E0457F"/>
    <w:rsid w:val="00E046DE"/>
    <w:rsid w:val="00E056FB"/>
    <w:rsid w:val="00E0601D"/>
    <w:rsid w:val="00E06057"/>
    <w:rsid w:val="00E061CF"/>
    <w:rsid w:val="00E06486"/>
    <w:rsid w:val="00E06A3C"/>
    <w:rsid w:val="00E06C9C"/>
    <w:rsid w:val="00E06CF2"/>
    <w:rsid w:val="00E06DBC"/>
    <w:rsid w:val="00E077FF"/>
    <w:rsid w:val="00E07B40"/>
    <w:rsid w:val="00E07C7D"/>
    <w:rsid w:val="00E07F9D"/>
    <w:rsid w:val="00E102FA"/>
    <w:rsid w:val="00E104A7"/>
    <w:rsid w:val="00E106BB"/>
    <w:rsid w:val="00E10D86"/>
    <w:rsid w:val="00E10E70"/>
    <w:rsid w:val="00E11705"/>
    <w:rsid w:val="00E11AB7"/>
    <w:rsid w:val="00E11B35"/>
    <w:rsid w:val="00E11D94"/>
    <w:rsid w:val="00E12053"/>
    <w:rsid w:val="00E12496"/>
    <w:rsid w:val="00E1274E"/>
    <w:rsid w:val="00E128F6"/>
    <w:rsid w:val="00E12C9B"/>
    <w:rsid w:val="00E12D45"/>
    <w:rsid w:val="00E12FBE"/>
    <w:rsid w:val="00E13018"/>
    <w:rsid w:val="00E131DE"/>
    <w:rsid w:val="00E14132"/>
    <w:rsid w:val="00E144A2"/>
    <w:rsid w:val="00E14642"/>
    <w:rsid w:val="00E14794"/>
    <w:rsid w:val="00E147A5"/>
    <w:rsid w:val="00E14926"/>
    <w:rsid w:val="00E1499E"/>
    <w:rsid w:val="00E14A29"/>
    <w:rsid w:val="00E14AA2"/>
    <w:rsid w:val="00E14B37"/>
    <w:rsid w:val="00E14E87"/>
    <w:rsid w:val="00E1529B"/>
    <w:rsid w:val="00E1535B"/>
    <w:rsid w:val="00E15565"/>
    <w:rsid w:val="00E158E3"/>
    <w:rsid w:val="00E159BE"/>
    <w:rsid w:val="00E15BB5"/>
    <w:rsid w:val="00E15C91"/>
    <w:rsid w:val="00E15CA9"/>
    <w:rsid w:val="00E15FC7"/>
    <w:rsid w:val="00E167B2"/>
    <w:rsid w:val="00E1709F"/>
    <w:rsid w:val="00E1710E"/>
    <w:rsid w:val="00E17D08"/>
    <w:rsid w:val="00E200F4"/>
    <w:rsid w:val="00E203D0"/>
    <w:rsid w:val="00E20512"/>
    <w:rsid w:val="00E20A4D"/>
    <w:rsid w:val="00E20DC2"/>
    <w:rsid w:val="00E20F3E"/>
    <w:rsid w:val="00E2120B"/>
    <w:rsid w:val="00E21399"/>
    <w:rsid w:val="00E216E4"/>
    <w:rsid w:val="00E218FB"/>
    <w:rsid w:val="00E21A74"/>
    <w:rsid w:val="00E21E78"/>
    <w:rsid w:val="00E2208A"/>
    <w:rsid w:val="00E2225B"/>
    <w:rsid w:val="00E22C24"/>
    <w:rsid w:val="00E22EC4"/>
    <w:rsid w:val="00E22F21"/>
    <w:rsid w:val="00E23184"/>
    <w:rsid w:val="00E2346B"/>
    <w:rsid w:val="00E23471"/>
    <w:rsid w:val="00E234F0"/>
    <w:rsid w:val="00E23548"/>
    <w:rsid w:val="00E23997"/>
    <w:rsid w:val="00E23E1B"/>
    <w:rsid w:val="00E23E3C"/>
    <w:rsid w:val="00E23EDA"/>
    <w:rsid w:val="00E23F16"/>
    <w:rsid w:val="00E24154"/>
    <w:rsid w:val="00E245BE"/>
    <w:rsid w:val="00E247A7"/>
    <w:rsid w:val="00E24AA5"/>
    <w:rsid w:val="00E24D67"/>
    <w:rsid w:val="00E24ED2"/>
    <w:rsid w:val="00E25015"/>
    <w:rsid w:val="00E25049"/>
    <w:rsid w:val="00E2509A"/>
    <w:rsid w:val="00E25512"/>
    <w:rsid w:val="00E259A3"/>
    <w:rsid w:val="00E25F2D"/>
    <w:rsid w:val="00E26476"/>
    <w:rsid w:val="00E264E5"/>
    <w:rsid w:val="00E2666C"/>
    <w:rsid w:val="00E26670"/>
    <w:rsid w:val="00E2690E"/>
    <w:rsid w:val="00E26D1C"/>
    <w:rsid w:val="00E27B50"/>
    <w:rsid w:val="00E301F7"/>
    <w:rsid w:val="00E3034A"/>
    <w:rsid w:val="00E30377"/>
    <w:rsid w:val="00E3042A"/>
    <w:rsid w:val="00E306CB"/>
    <w:rsid w:val="00E30980"/>
    <w:rsid w:val="00E309D0"/>
    <w:rsid w:val="00E30C00"/>
    <w:rsid w:val="00E31169"/>
    <w:rsid w:val="00E31232"/>
    <w:rsid w:val="00E313A6"/>
    <w:rsid w:val="00E31B38"/>
    <w:rsid w:val="00E31CB2"/>
    <w:rsid w:val="00E31D51"/>
    <w:rsid w:val="00E320E3"/>
    <w:rsid w:val="00E322B7"/>
    <w:rsid w:val="00E32496"/>
    <w:rsid w:val="00E3258E"/>
    <w:rsid w:val="00E325BA"/>
    <w:rsid w:val="00E3287D"/>
    <w:rsid w:val="00E32AD5"/>
    <w:rsid w:val="00E32DDC"/>
    <w:rsid w:val="00E32FB3"/>
    <w:rsid w:val="00E33716"/>
    <w:rsid w:val="00E339C1"/>
    <w:rsid w:val="00E339CC"/>
    <w:rsid w:val="00E33DCE"/>
    <w:rsid w:val="00E345C4"/>
    <w:rsid w:val="00E34672"/>
    <w:rsid w:val="00E3485D"/>
    <w:rsid w:val="00E34894"/>
    <w:rsid w:val="00E34950"/>
    <w:rsid w:val="00E34B79"/>
    <w:rsid w:val="00E34D92"/>
    <w:rsid w:val="00E356BF"/>
    <w:rsid w:val="00E35B0C"/>
    <w:rsid w:val="00E35F01"/>
    <w:rsid w:val="00E360CD"/>
    <w:rsid w:val="00E36155"/>
    <w:rsid w:val="00E361D4"/>
    <w:rsid w:val="00E3697F"/>
    <w:rsid w:val="00E36B53"/>
    <w:rsid w:val="00E36C75"/>
    <w:rsid w:val="00E373BF"/>
    <w:rsid w:val="00E37746"/>
    <w:rsid w:val="00E37806"/>
    <w:rsid w:val="00E37AF4"/>
    <w:rsid w:val="00E37B26"/>
    <w:rsid w:val="00E37EE6"/>
    <w:rsid w:val="00E40140"/>
    <w:rsid w:val="00E404CB"/>
    <w:rsid w:val="00E406E8"/>
    <w:rsid w:val="00E40AF0"/>
    <w:rsid w:val="00E40D35"/>
    <w:rsid w:val="00E40ED7"/>
    <w:rsid w:val="00E411EE"/>
    <w:rsid w:val="00E412D7"/>
    <w:rsid w:val="00E414DC"/>
    <w:rsid w:val="00E41A59"/>
    <w:rsid w:val="00E41AE9"/>
    <w:rsid w:val="00E41B3C"/>
    <w:rsid w:val="00E41D3C"/>
    <w:rsid w:val="00E42101"/>
    <w:rsid w:val="00E421F9"/>
    <w:rsid w:val="00E42207"/>
    <w:rsid w:val="00E43025"/>
    <w:rsid w:val="00E43036"/>
    <w:rsid w:val="00E430B0"/>
    <w:rsid w:val="00E430B7"/>
    <w:rsid w:val="00E442E7"/>
    <w:rsid w:val="00E443D7"/>
    <w:rsid w:val="00E445A7"/>
    <w:rsid w:val="00E4508F"/>
    <w:rsid w:val="00E451E0"/>
    <w:rsid w:val="00E4542B"/>
    <w:rsid w:val="00E45737"/>
    <w:rsid w:val="00E4645F"/>
    <w:rsid w:val="00E464A2"/>
    <w:rsid w:val="00E465E2"/>
    <w:rsid w:val="00E46979"/>
    <w:rsid w:val="00E46C97"/>
    <w:rsid w:val="00E4767D"/>
    <w:rsid w:val="00E477AA"/>
    <w:rsid w:val="00E4794C"/>
    <w:rsid w:val="00E47BFC"/>
    <w:rsid w:val="00E47C2B"/>
    <w:rsid w:val="00E47D82"/>
    <w:rsid w:val="00E47F1B"/>
    <w:rsid w:val="00E507D9"/>
    <w:rsid w:val="00E512FD"/>
    <w:rsid w:val="00E514E9"/>
    <w:rsid w:val="00E51DC9"/>
    <w:rsid w:val="00E51E2F"/>
    <w:rsid w:val="00E52501"/>
    <w:rsid w:val="00E52C30"/>
    <w:rsid w:val="00E52FA0"/>
    <w:rsid w:val="00E534C5"/>
    <w:rsid w:val="00E54412"/>
    <w:rsid w:val="00E54533"/>
    <w:rsid w:val="00E5464C"/>
    <w:rsid w:val="00E54808"/>
    <w:rsid w:val="00E54865"/>
    <w:rsid w:val="00E54CA2"/>
    <w:rsid w:val="00E557E5"/>
    <w:rsid w:val="00E55A01"/>
    <w:rsid w:val="00E55A96"/>
    <w:rsid w:val="00E55E19"/>
    <w:rsid w:val="00E55F99"/>
    <w:rsid w:val="00E5655E"/>
    <w:rsid w:val="00E5682E"/>
    <w:rsid w:val="00E56997"/>
    <w:rsid w:val="00E56CF9"/>
    <w:rsid w:val="00E56E93"/>
    <w:rsid w:val="00E56FD5"/>
    <w:rsid w:val="00E5734A"/>
    <w:rsid w:val="00E573EB"/>
    <w:rsid w:val="00E576A4"/>
    <w:rsid w:val="00E579FB"/>
    <w:rsid w:val="00E606C9"/>
    <w:rsid w:val="00E609F2"/>
    <w:rsid w:val="00E61498"/>
    <w:rsid w:val="00E61644"/>
    <w:rsid w:val="00E616FA"/>
    <w:rsid w:val="00E61A2C"/>
    <w:rsid w:val="00E62205"/>
    <w:rsid w:val="00E62749"/>
    <w:rsid w:val="00E62AF0"/>
    <w:rsid w:val="00E62E7F"/>
    <w:rsid w:val="00E62E9A"/>
    <w:rsid w:val="00E637A7"/>
    <w:rsid w:val="00E6399B"/>
    <w:rsid w:val="00E63B3A"/>
    <w:rsid w:val="00E63D07"/>
    <w:rsid w:val="00E64033"/>
    <w:rsid w:val="00E641E6"/>
    <w:rsid w:val="00E64249"/>
    <w:rsid w:val="00E64FD9"/>
    <w:rsid w:val="00E64FF5"/>
    <w:rsid w:val="00E650B1"/>
    <w:rsid w:val="00E653AF"/>
    <w:rsid w:val="00E65E7C"/>
    <w:rsid w:val="00E66EC2"/>
    <w:rsid w:val="00E670DB"/>
    <w:rsid w:val="00E672C3"/>
    <w:rsid w:val="00E674B2"/>
    <w:rsid w:val="00E67C50"/>
    <w:rsid w:val="00E67F5E"/>
    <w:rsid w:val="00E7081B"/>
    <w:rsid w:val="00E709C7"/>
    <w:rsid w:val="00E7112B"/>
    <w:rsid w:val="00E7160A"/>
    <w:rsid w:val="00E72038"/>
    <w:rsid w:val="00E720AB"/>
    <w:rsid w:val="00E722EE"/>
    <w:rsid w:val="00E7242B"/>
    <w:rsid w:val="00E72488"/>
    <w:rsid w:val="00E724FD"/>
    <w:rsid w:val="00E729A0"/>
    <w:rsid w:val="00E72C50"/>
    <w:rsid w:val="00E72CB6"/>
    <w:rsid w:val="00E72ECA"/>
    <w:rsid w:val="00E73026"/>
    <w:rsid w:val="00E73A61"/>
    <w:rsid w:val="00E7468E"/>
    <w:rsid w:val="00E74D52"/>
    <w:rsid w:val="00E75468"/>
    <w:rsid w:val="00E75549"/>
    <w:rsid w:val="00E756A5"/>
    <w:rsid w:val="00E75875"/>
    <w:rsid w:val="00E75957"/>
    <w:rsid w:val="00E75BA3"/>
    <w:rsid w:val="00E75D05"/>
    <w:rsid w:val="00E75EA4"/>
    <w:rsid w:val="00E75EB4"/>
    <w:rsid w:val="00E7633F"/>
    <w:rsid w:val="00E7663D"/>
    <w:rsid w:val="00E76CCD"/>
    <w:rsid w:val="00E772B1"/>
    <w:rsid w:val="00E77DBA"/>
    <w:rsid w:val="00E80234"/>
    <w:rsid w:val="00E80235"/>
    <w:rsid w:val="00E80291"/>
    <w:rsid w:val="00E803EE"/>
    <w:rsid w:val="00E80443"/>
    <w:rsid w:val="00E80713"/>
    <w:rsid w:val="00E807E9"/>
    <w:rsid w:val="00E80AFC"/>
    <w:rsid w:val="00E80CBA"/>
    <w:rsid w:val="00E80FDC"/>
    <w:rsid w:val="00E812AD"/>
    <w:rsid w:val="00E821C1"/>
    <w:rsid w:val="00E82516"/>
    <w:rsid w:val="00E827C3"/>
    <w:rsid w:val="00E829FC"/>
    <w:rsid w:val="00E82A7B"/>
    <w:rsid w:val="00E82B50"/>
    <w:rsid w:val="00E82C71"/>
    <w:rsid w:val="00E832F1"/>
    <w:rsid w:val="00E834A5"/>
    <w:rsid w:val="00E836BD"/>
    <w:rsid w:val="00E838F4"/>
    <w:rsid w:val="00E8392F"/>
    <w:rsid w:val="00E839A9"/>
    <w:rsid w:val="00E83BFF"/>
    <w:rsid w:val="00E846D7"/>
    <w:rsid w:val="00E847D2"/>
    <w:rsid w:val="00E8481A"/>
    <w:rsid w:val="00E8497D"/>
    <w:rsid w:val="00E8540A"/>
    <w:rsid w:val="00E8558E"/>
    <w:rsid w:val="00E85A9F"/>
    <w:rsid w:val="00E85B5D"/>
    <w:rsid w:val="00E85DA5"/>
    <w:rsid w:val="00E86018"/>
    <w:rsid w:val="00E864AF"/>
    <w:rsid w:val="00E86AD1"/>
    <w:rsid w:val="00E8705F"/>
    <w:rsid w:val="00E872D8"/>
    <w:rsid w:val="00E8750D"/>
    <w:rsid w:val="00E87B83"/>
    <w:rsid w:val="00E87BFD"/>
    <w:rsid w:val="00E87DDD"/>
    <w:rsid w:val="00E907D0"/>
    <w:rsid w:val="00E90A1B"/>
    <w:rsid w:val="00E90AA5"/>
    <w:rsid w:val="00E91730"/>
    <w:rsid w:val="00E91C10"/>
    <w:rsid w:val="00E92011"/>
    <w:rsid w:val="00E9224D"/>
    <w:rsid w:val="00E92270"/>
    <w:rsid w:val="00E92353"/>
    <w:rsid w:val="00E92C4B"/>
    <w:rsid w:val="00E930E8"/>
    <w:rsid w:val="00E93820"/>
    <w:rsid w:val="00E938B9"/>
    <w:rsid w:val="00E93A06"/>
    <w:rsid w:val="00E93C62"/>
    <w:rsid w:val="00E93C6F"/>
    <w:rsid w:val="00E93CBA"/>
    <w:rsid w:val="00E93DE9"/>
    <w:rsid w:val="00E93DF4"/>
    <w:rsid w:val="00E93F0D"/>
    <w:rsid w:val="00E93FC9"/>
    <w:rsid w:val="00E9443F"/>
    <w:rsid w:val="00E94743"/>
    <w:rsid w:val="00E947B8"/>
    <w:rsid w:val="00E94B4B"/>
    <w:rsid w:val="00E94B92"/>
    <w:rsid w:val="00E94D8D"/>
    <w:rsid w:val="00E958F7"/>
    <w:rsid w:val="00E95B91"/>
    <w:rsid w:val="00E95BAC"/>
    <w:rsid w:val="00E95C42"/>
    <w:rsid w:val="00E95DC1"/>
    <w:rsid w:val="00E9644B"/>
    <w:rsid w:val="00E9689A"/>
    <w:rsid w:val="00E977D9"/>
    <w:rsid w:val="00E97D96"/>
    <w:rsid w:val="00EA15ED"/>
    <w:rsid w:val="00EA1958"/>
    <w:rsid w:val="00EA1F2F"/>
    <w:rsid w:val="00EA213A"/>
    <w:rsid w:val="00EA2161"/>
    <w:rsid w:val="00EA223D"/>
    <w:rsid w:val="00EA2351"/>
    <w:rsid w:val="00EA24BB"/>
    <w:rsid w:val="00EA2650"/>
    <w:rsid w:val="00EA29BB"/>
    <w:rsid w:val="00EA2A9D"/>
    <w:rsid w:val="00EA2B7F"/>
    <w:rsid w:val="00EA3166"/>
    <w:rsid w:val="00EA3384"/>
    <w:rsid w:val="00EA3635"/>
    <w:rsid w:val="00EA37FC"/>
    <w:rsid w:val="00EA3E53"/>
    <w:rsid w:val="00EA4781"/>
    <w:rsid w:val="00EA479A"/>
    <w:rsid w:val="00EA4951"/>
    <w:rsid w:val="00EA4A21"/>
    <w:rsid w:val="00EA50FF"/>
    <w:rsid w:val="00EA5288"/>
    <w:rsid w:val="00EA59F6"/>
    <w:rsid w:val="00EA5C57"/>
    <w:rsid w:val="00EA5E6A"/>
    <w:rsid w:val="00EA5FFD"/>
    <w:rsid w:val="00EA61DA"/>
    <w:rsid w:val="00EA63C8"/>
    <w:rsid w:val="00EA6446"/>
    <w:rsid w:val="00EA682A"/>
    <w:rsid w:val="00EA6B21"/>
    <w:rsid w:val="00EA6C02"/>
    <w:rsid w:val="00EA6C2B"/>
    <w:rsid w:val="00EA6EAA"/>
    <w:rsid w:val="00EA7069"/>
    <w:rsid w:val="00EA7165"/>
    <w:rsid w:val="00EA722F"/>
    <w:rsid w:val="00EA73AA"/>
    <w:rsid w:val="00EA75CF"/>
    <w:rsid w:val="00EA75FB"/>
    <w:rsid w:val="00EA771F"/>
    <w:rsid w:val="00EA7937"/>
    <w:rsid w:val="00EB08ED"/>
    <w:rsid w:val="00EB0FCB"/>
    <w:rsid w:val="00EB1288"/>
    <w:rsid w:val="00EB16DD"/>
    <w:rsid w:val="00EB1B85"/>
    <w:rsid w:val="00EB1D25"/>
    <w:rsid w:val="00EB1E00"/>
    <w:rsid w:val="00EB2C5A"/>
    <w:rsid w:val="00EB338D"/>
    <w:rsid w:val="00EB3507"/>
    <w:rsid w:val="00EB3762"/>
    <w:rsid w:val="00EB3D72"/>
    <w:rsid w:val="00EB4171"/>
    <w:rsid w:val="00EB4275"/>
    <w:rsid w:val="00EB46D4"/>
    <w:rsid w:val="00EB46FD"/>
    <w:rsid w:val="00EB4748"/>
    <w:rsid w:val="00EB487B"/>
    <w:rsid w:val="00EB4A94"/>
    <w:rsid w:val="00EB4B0F"/>
    <w:rsid w:val="00EB4B58"/>
    <w:rsid w:val="00EB4DC1"/>
    <w:rsid w:val="00EB4ED6"/>
    <w:rsid w:val="00EB55A3"/>
    <w:rsid w:val="00EB62E0"/>
    <w:rsid w:val="00EB688D"/>
    <w:rsid w:val="00EB698D"/>
    <w:rsid w:val="00EB6A4B"/>
    <w:rsid w:val="00EB6E33"/>
    <w:rsid w:val="00EB712E"/>
    <w:rsid w:val="00EB7582"/>
    <w:rsid w:val="00EB7963"/>
    <w:rsid w:val="00EB7FFA"/>
    <w:rsid w:val="00EC006C"/>
    <w:rsid w:val="00EC00F4"/>
    <w:rsid w:val="00EC0483"/>
    <w:rsid w:val="00EC07A3"/>
    <w:rsid w:val="00EC11B0"/>
    <w:rsid w:val="00EC15C2"/>
    <w:rsid w:val="00EC169D"/>
    <w:rsid w:val="00EC199A"/>
    <w:rsid w:val="00EC1CDE"/>
    <w:rsid w:val="00EC1EB5"/>
    <w:rsid w:val="00EC23D5"/>
    <w:rsid w:val="00EC2BD7"/>
    <w:rsid w:val="00EC30EC"/>
    <w:rsid w:val="00EC3299"/>
    <w:rsid w:val="00EC3452"/>
    <w:rsid w:val="00EC3DF8"/>
    <w:rsid w:val="00EC4041"/>
    <w:rsid w:val="00EC4123"/>
    <w:rsid w:val="00EC441A"/>
    <w:rsid w:val="00EC45CE"/>
    <w:rsid w:val="00EC48CC"/>
    <w:rsid w:val="00EC596D"/>
    <w:rsid w:val="00EC6036"/>
    <w:rsid w:val="00EC61AD"/>
    <w:rsid w:val="00EC61C2"/>
    <w:rsid w:val="00EC637D"/>
    <w:rsid w:val="00EC641E"/>
    <w:rsid w:val="00EC6887"/>
    <w:rsid w:val="00EC7105"/>
    <w:rsid w:val="00EC7298"/>
    <w:rsid w:val="00EC7364"/>
    <w:rsid w:val="00EC7763"/>
    <w:rsid w:val="00EC777F"/>
    <w:rsid w:val="00EC7BAA"/>
    <w:rsid w:val="00ED0337"/>
    <w:rsid w:val="00ED05E7"/>
    <w:rsid w:val="00ED09F8"/>
    <w:rsid w:val="00ED0E33"/>
    <w:rsid w:val="00ED0E41"/>
    <w:rsid w:val="00ED0ED7"/>
    <w:rsid w:val="00ED114D"/>
    <w:rsid w:val="00ED1841"/>
    <w:rsid w:val="00ED1AC4"/>
    <w:rsid w:val="00ED1C2C"/>
    <w:rsid w:val="00ED21C2"/>
    <w:rsid w:val="00ED2253"/>
    <w:rsid w:val="00ED2338"/>
    <w:rsid w:val="00ED2370"/>
    <w:rsid w:val="00ED23D0"/>
    <w:rsid w:val="00ED24DC"/>
    <w:rsid w:val="00ED2BF6"/>
    <w:rsid w:val="00ED31DC"/>
    <w:rsid w:val="00ED3314"/>
    <w:rsid w:val="00ED368B"/>
    <w:rsid w:val="00ED3BF8"/>
    <w:rsid w:val="00ED4175"/>
    <w:rsid w:val="00ED42DB"/>
    <w:rsid w:val="00ED4515"/>
    <w:rsid w:val="00ED458D"/>
    <w:rsid w:val="00ED492A"/>
    <w:rsid w:val="00ED4AEC"/>
    <w:rsid w:val="00ED5B90"/>
    <w:rsid w:val="00ED6172"/>
    <w:rsid w:val="00ED64BC"/>
    <w:rsid w:val="00ED6718"/>
    <w:rsid w:val="00ED6F90"/>
    <w:rsid w:val="00ED6FB4"/>
    <w:rsid w:val="00ED735A"/>
    <w:rsid w:val="00ED7760"/>
    <w:rsid w:val="00EE0CDD"/>
    <w:rsid w:val="00EE0F95"/>
    <w:rsid w:val="00EE15BE"/>
    <w:rsid w:val="00EE1640"/>
    <w:rsid w:val="00EE1873"/>
    <w:rsid w:val="00EE1961"/>
    <w:rsid w:val="00EE19C7"/>
    <w:rsid w:val="00EE19E3"/>
    <w:rsid w:val="00EE1BE8"/>
    <w:rsid w:val="00EE1D09"/>
    <w:rsid w:val="00EE21B5"/>
    <w:rsid w:val="00EE25AE"/>
    <w:rsid w:val="00EE275A"/>
    <w:rsid w:val="00EE295C"/>
    <w:rsid w:val="00EE3403"/>
    <w:rsid w:val="00EE3A13"/>
    <w:rsid w:val="00EE3B24"/>
    <w:rsid w:val="00EE3CF0"/>
    <w:rsid w:val="00EE42CD"/>
    <w:rsid w:val="00EE44DA"/>
    <w:rsid w:val="00EE4656"/>
    <w:rsid w:val="00EE4A01"/>
    <w:rsid w:val="00EE4DD8"/>
    <w:rsid w:val="00EE4F1C"/>
    <w:rsid w:val="00EE540F"/>
    <w:rsid w:val="00EE54CB"/>
    <w:rsid w:val="00EE5C9B"/>
    <w:rsid w:val="00EE60AF"/>
    <w:rsid w:val="00EE6520"/>
    <w:rsid w:val="00EE6836"/>
    <w:rsid w:val="00EE6969"/>
    <w:rsid w:val="00EE6999"/>
    <w:rsid w:val="00EE709F"/>
    <w:rsid w:val="00EE7130"/>
    <w:rsid w:val="00EE716B"/>
    <w:rsid w:val="00EE723D"/>
    <w:rsid w:val="00EE7D45"/>
    <w:rsid w:val="00EF0062"/>
    <w:rsid w:val="00EF023E"/>
    <w:rsid w:val="00EF04CD"/>
    <w:rsid w:val="00EF0933"/>
    <w:rsid w:val="00EF0B17"/>
    <w:rsid w:val="00EF0CFF"/>
    <w:rsid w:val="00EF0E9D"/>
    <w:rsid w:val="00EF0F0F"/>
    <w:rsid w:val="00EF1291"/>
    <w:rsid w:val="00EF138C"/>
    <w:rsid w:val="00EF139F"/>
    <w:rsid w:val="00EF13B0"/>
    <w:rsid w:val="00EF1816"/>
    <w:rsid w:val="00EF19F5"/>
    <w:rsid w:val="00EF1E10"/>
    <w:rsid w:val="00EF25BE"/>
    <w:rsid w:val="00EF2852"/>
    <w:rsid w:val="00EF285D"/>
    <w:rsid w:val="00EF2D7B"/>
    <w:rsid w:val="00EF30DC"/>
    <w:rsid w:val="00EF31F2"/>
    <w:rsid w:val="00EF3266"/>
    <w:rsid w:val="00EF35D7"/>
    <w:rsid w:val="00EF368A"/>
    <w:rsid w:val="00EF36B7"/>
    <w:rsid w:val="00EF4760"/>
    <w:rsid w:val="00EF4789"/>
    <w:rsid w:val="00EF4827"/>
    <w:rsid w:val="00EF483C"/>
    <w:rsid w:val="00EF4C2D"/>
    <w:rsid w:val="00EF50D4"/>
    <w:rsid w:val="00EF5C79"/>
    <w:rsid w:val="00EF5CA6"/>
    <w:rsid w:val="00EF6084"/>
    <w:rsid w:val="00EF6122"/>
    <w:rsid w:val="00EF6241"/>
    <w:rsid w:val="00EF68CF"/>
    <w:rsid w:val="00EF69A9"/>
    <w:rsid w:val="00EF6B14"/>
    <w:rsid w:val="00EF6F4D"/>
    <w:rsid w:val="00EF71D4"/>
    <w:rsid w:val="00EF7654"/>
    <w:rsid w:val="00EF771E"/>
    <w:rsid w:val="00F000E5"/>
    <w:rsid w:val="00F003D3"/>
    <w:rsid w:val="00F00472"/>
    <w:rsid w:val="00F00854"/>
    <w:rsid w:val="00F008FB"/>
    <w:rsid w:val="00F00AAD"/>
    <w:rsid w:val="00F00F91"/>
    <w:rsid w:val="00F01191"/>
    <w:rsid w:val="00F015C6"/>
    <w:rsid w:val="00F019DA"/>
    <w:rsid w:val="00F01E29"/>
    <w:rsid w:val="00F01EC8"/>
    <w:rsid w:val="00F02CFB"/>
    <w:rsid w:val="00F0318C"/>
    <w:rsid w:val="00F0397F"/>
    <w:rsid w:val="00F03F29"/>
    <w:rsid w:val="00F041B9"/>
    <w:rsid w:val="00F04225"/>
    <w:rsid w:val="00F047B1"/>
    <w:rsid w:val="00F04819"/>
    <w:rsid w:val="00F04850"/>
    <w:rsid w:val="00F04860"/>
    <w:rsid w:val="00F04ECD"/>
    <w:rsid w:val="00F04FBC"/>
    <w:rsid w:val="00F051AE"/>
    <w:rsid w:val="00F053F5"/>
    <w:rsid w:val="00F055E3"/>
    <w:rsid w:val="00F05961"/>
    <w:rsid w:val="00F05F8E"/>
    <w:rsid w:val="00F063FC"/>
    <w:rsid w:val="00F06542"/>
    <w:rsid w:val="00F069F0"/>
    <w:rsid w:val="00F06A77"/>
    <w:rsid w:val="00F06C59"/>
    <w:rsid w:val="00F06D8C"/>
    <w:rsid w:val="00F070E5"/>
    <w:rsid w:val="00F07194"/>
    <w:rsid w:val="00F071C2"/>
    <w:rsid w:val="00F0725E"/>
    <w:rsid w:val="00F072F6"/>
    <w:rsid w:val="00F07488"/>
    <w:rsid w:val="00F07976"/>
    <w:rsid w:val="00F07A7C"/>
    <w:rsid w:val="00F104DD"/>
    <w:rsid w:val="00F10689"/>
    <w:rsid w:val="00F107DF"/>
    <w:rsid w:val="00F10EFA"/>
    <w:rsid w:val="00F10F52"/>
    <w:rsid w:val="00F10F7A"/>
    <w:rsid w:val="00F114DA"/>
    <w:rsid w:val="00F121EC"/>
    <w:rsid w:val="00F12407"/>
    <w:rsid w:val="00F13152"/>
    <w:rsid w:val="00F13604"/>
    <w:rsid w:val="00F13BD5"/>
    <w:rsid w:val="00F13EE5"/>
    <w:rsid w:val="00F14194"/>
    <w:rsid w:val="00F14203"/>
    <w:rsid w:val="00F144CE"/>
    <w:rsid w:val="00F145F3"/>
    <w:rsid w:val="00F146BD"/>
    <w:rsid w:val="00F14B6B"/>
    <w:rsid w:val="00F14EFE"/>
    <w:rsid w:val="00F152E6"/>
    <w:rsid w:val="00F154E1"/>
    <w:rsid w:val="00F155D9"/>
    <w:rsid w:val="00F1574A"/>
    <w:rsid w:val="00F15777"/>
    <w:rsid w:val="00F15998"/>
    <w:rsid w:val="00F15FDA"/>
    <w:rsid w:val="00F164B9"/>
    <w:rsid w:val="00F16935"/>
    <w:rsid w:val="00F16AE6"/>
    <w:rsid w:val="00F16B97"/>
    <w:rsid w:val="00F16C90"/>
    <w:rsid w:val="00F170A3"/>
    <w:rsid w:val="00F1714B"/>
    <w:rsid w:val="00F17B92"/>
    <w:rsid w:val="00F17BD7"/>
    <w:rsid w:val="00F17DE0"/>
    <w:rsid w:val="00F2021F"/>
    <w:rsid w:val="00F20E59"/>
    <w:rsid w:val="00F21277"/>
    <w:rsid w:val="00F21440"/>
    <w:rsid w:val="00F2190D"/>
    <w:rsid w:val="00F21CC8"/>
    <w:rsid w:val="00F21F6A"/>
    <w:rsid w:val="00F22502"/>
    <w:rsid w:val="00F2299E"/>
    <w:rsid w:val="00F22CC3"/>
    <w:rsid w:val="00F22F20"/>
    <w:rsid w:val="00F2303E"/>
    <w:rsid w:val="00F232E6"/>
    <w:rsid w:val="00F234B8"/>
    <w:rsid w:val="00F2360C"/>
    <w:rsid w:val="00F238F8"/>
    <w:rsid w:val="00F2391B"/>
    <w:rsid w:val="00F23D4A"/>
    <w:rsid w:val="00F24A13"/>
    <w:rsid w:val="00F24BFC"/>
    <w:rsid w:val="00F24DAA"/>
    <w:rsid w:val="00F25182"/>
    <w:rsid w:val="00F25395"/>
    <w:rsid w:val="00F25541"/>
    <w:rsid w:val="00F2565D"/>
    <w:rsid w:val="00F25692"/>
    <w:rsid w:val="00F25898"/>
    <w:rsid w:val="00F258D2"/>
    <w:rsid w:val="00F25AA3"/>
    <w:rsid w:val="00F25AB6"/>
    <w:rsid w:val="00F25C04"/>
    <w:rsid w:val="00F25E3C"/>
    <w:rsid w:val="00F2614F"/>
    <w:rsid w:val="00F2680B"/>
    <w:rsid w:val="00F26A9B"/>
    <w:rsid w:val="00F26B85"/>
    <w:rsid w:val="00F270E8"/>
    <w:rsid w:val="00F277DC"/>
    <w:rsid w:val="00F27A4A"/>
    <w:rsid w:val="00F27F79"/>
    <w:rsid w:val="00F305C0"/>
    <w:rsid w:val="00F307BA"/>
    <w:rsid w:val="00F30C5A"/>
    <w:rsid w:val="00F3127B"/>
    <w:rsid w:val="00F31554"/>
    <w:rsid w:val="00F31DF2"/>
    <w:rsid w:val="00F31E95"/>
    <w:rsid w:val="00F322DB"/>
    <w:rsid w:val="00F32650"/>
    <w:rsid w:val="00F327CE"/>
    <w:rsid w:val="00F32A7D"/>
    <w:rsid w:val="00F32E8A"/>
    <w:rsid w:val="00F33004"/>
    <w:rsid w:val="00F33082"/>
    <w:rsid w:val="00F33155"/>
    <w:rsid w:val="00F333BF"/>
    <w:rsid w:val="00F339F7"/>
    <w:rsid w:val="00F33ABC"/>
    <w:rsid w:val="00F33D2F"/>
    <w:rsid w:val="00F3420C"/>
    <w:rsid w:val="00F344E1"/>
    <w:rsid w:val="00F345C1"/>
    <w:rsid w:val="00F34B5F"/>
    <w:rsid w:val="00F350EE"/>
    <w:rsid w:val="00F35201"/>
    <w:rsid w:val="00F356AD"/>
    <w:rsid w:val="00F359FD"/>
    <w:rsid w:val="00F35A60"/>
    <w:rsid w:val="00F36267"/>
    <w:rsid w:val="00F365EF"/>
    <w:rsid w:val="00F3686C"/>
    <w:rsid w:val="00F36F39"/>
    <w:rsid w:val="00F370DD"/>
    <w:rsid w:val="00F376CF"/>
    <w:rsid w:val="00F37745"/>
    <w:rsid w:val="00F37F04"/>
    <w:rsid w:val="00F37FF8"/>
    <w:rsid w:val="00F4005E"/>
    <w:rsid w:val="00F400C8"/>
    <w:rsid w:val="00F4020E"/>
    <w:rsid w:val="00F4025F"/>
    <w:rsid w:val="00F4054B"/>
    <w:rsid w:val="00F4067D"/>
    <w:rsid w:val="00F408E7"/>
    <w:rsid w:val="00F4094E"/>
    <w:rsid w:val="00F4131C"/>
    <w:rsid w:val="00F4154B"/>
    <w:rsid w:val="00F41A13"/>
    <w:rsid w:val="00F41ACA"/>
    <w:rsid w:val="00F41C37"/>
    <w:rsid w:val="00F41C52"/>
    <w:rsid w:val="00F42649"/>
    <w:rsid w:val="00F42B23"/>
    <w:rsid w:val="00F42B27"/>
    <w:rsid w:val="00F42F9C"/>
    <w:rsid w:val="00F431EA"/>
    <w:rsid w:val="00F4329B"/>
    <w:rsid w:val="00F43515"/>
    <w:rsid w:val="00F43660"/>
    <w:rsid w:val="00F43BC2"/>
    <w:rsid w:val="00F43D71"/>
    <w:rsid w:val="00F440A9"/>
    <w:rsid w:val="00F4414B"/>
    <w:rsid w:val="00F441E0"/>
    <w:rsid w:val="00F44304"/>
    <w:rsid w:val="00F4432F"/>
    <w:rsid w:val="00F4450E"/>
    <w:rsid w:val="00F44E2D"/>
    <w:rsid w:val="00F457CA"/>
    <w:rsid w:val="00F45BFE"/>
    <w:rsid w:val="00F45C71"/>
    <w:rsid w:val="00F465DE"/>
    <w:rsid w:val="00F46A3A"/>
    <w:rsid w:val="00F47FE6"/>
    <w:rsid w:val="00F501CC"/>
    <w:rsid w:val="00F50225"/>
    <w:rsid w:val="00F5063D"/>
    <w:rsid w:val="00F51004"/>
    <w:rsid w:val="00F51225"/>
    <w:rsid w:val="00F51974"/>
    <w:rsid w:val="00F51BC6"/>
    <w:rsid w:val="00F523C8"/>
    <w:rsid w:val="00F52B3F"/>
    <w:rsid w:val="00F52E7F"/>
    <w:rsid w:val="00F5321E"/>
    <w:rsid w:val="00F532F6"/>
    <w:rsid w:val="00F545F1"/>
    <w:rsid w:val="00F54765"/>
    <w:rsid w:val="00F548E2"/>
    <w:rsid w:val="00F54CB5"/>
    <w:rsid w:val="00F54DCD"/>
    <w:rsid w:val="00F54F13"/>
    <w:rsid w:val="00F55A99"/>
    <w:rsid w:val="00F55FE0"/>
    <w:rsid w:val="00F5620C"/>
    <w:rsid w:val="00F5644C"/>
    <w:rsid w:val="00F56692"/>
    <w:rsid w:val="00F56CD4"/>
    <w:rsid w:val="00F56F12"/>
    <w:rsid w:val="00F56FC9"/>
    <w:rsid w:val="00F570B4"/>
    <w:rsid w:val="00F57725"/>
    <w:rsid w:val="00F577FF"/>
    <w:rsid w:val="00F57AF6"/>
    <w:rsid w:val="00F57FB6"/>
    <w:rsid w:val="00F605B1"/>
    <w:rsid w:val="00F606E7"/>
    <w:rsid w:val="00F60818"/>
    <w:rsid w:val="00F6098D"/>
    <w:rsid w:val="00F61F03"/>
    <w:rsid w:val="00F62449"/>
    <w:rsid w:val="00F6258E"/>
    <w:rsid w:val="00F6263B"/>
    <w:rsid w:val="00F62781"/>
    <w:rsid w:val="00F6298E"/>
    <w:rsid w:val="00F62A27"/>
    <w:rsid w:val="00F62A7C"/>
    <w:rsid w:val="00F63192"/>
    <w:rsid w:val="00F63360"/>
    <w:rsid w:val="00F637FF"/>
    <w:rsid w:val="00F63E6A"/>
    <w:rsid w:val="00F640E8"/>
    <w:rsid w:val="00F64F58"/>
    <w:rsid w:val="00F6555D"/>
    <w:rsid w:val="00F65AA1"/>
    <w:rsid w:val="00F65AAF"/>
    <w:rsid w:val="00F65D21"/>
    <w:rsid w:val="00F67092"/>
    <w:rsid w:val="00F67139"/>
    <w:rsid w:val="00F67354"/>
    <w:rsid w:val="00F67444"/>
    <w:rsid w:val="00F679D8"/>
    <w:rsid w:val="00F67BE3"/>
    <w:rsid w:val="00F67E40"/>
    <w:rsid w:val="00F700F6"/>
    <w:rsid w:val="00F7025A"/>
    <w:rsid w:val="00F70906"/>
    <w:rsid w:val="00F70969"/>
    <w:rsid w:val="00F70CA1"/>
    <w:rsid w:val="00F70CA3"/>
    <w:rsid w:val="00F70DFA"/>
    <w:rsid w:val="00F70E58"/>
    <w:rsid w:val="00F70FB1"/>
    <w:rsid w:val="00F71244"/>
    <w:rsid w:val="00F71C0E"/>
    <w:rsid w:val="00F72DA6"/>
    <w:rsid w:val="00F7346B"/>
    <w:rsid w:val="00F735F6"/>
    <w:rsid w:val="00F73973"/>
    <w:rsid w:val="00F73F67"/>
    <w:rsid w:val="00F74035"/>
    <w:rsid w:val="00F740F7"/>
    <w:rsid w:val="00F74245"/>
    <w:rsid w:val="00F74531"/>
    <w:rsid w:val="00F74A3C"/>
    <w:rsid w:val="00F74A9C"/>
    <w:rsid w:val="00F74B85"/>
    <w:rsid w:val="00F74D2F"/>
    <w:rsid w:val="00F75089"/>
    <w:rsid w:val="00F75C32"/>
    <w:rsid w:val="00F765BA"/>
    <w:rsid w:val="00F76761"/>
    <w:rsid w:val="00F76E2C"/>
    <w:rsid w:val="00F774CA"/>
    <w:rsid w:val="00F777C7"/>
    <w:rsid w:val="00F77BB8"/>
    <w:rsid w:val="00F8022A"/>
    <w:rsid w:val="00F80483"/>
    <w:rsid w:val="00F80499"/>
    <w:rsid w:val="00F8066B"/>
    <w:rsid w:val="00F806C6"/>
    <w:rsid w:val="00F808D1"/>
    <w:rsid w:val="00F8094D"/>
    <w:rsid w:val="00F80BB3"/>
    <w:rsid w:val="00F8115C"/>
    <w:rsid w:val="00F814F3"/>
    <w:rsid w:val="00F814FF"/>
    <w:rsid w:val="00F816B8"/>
    <w:rsid w:val="00F81FE8"/>
    <w:rsid w:val="00F8213A"/>
    <w:rsid w:val="00F829EB"/>
    <w:rsid w:val="00F82BD9"/>
    <w:rsid w:val="00F82D11"/>
    <w:rsid w:val="00F83447"/>
    <w:rsid w:val="00F83675"/>
    <w:rsid w:val="00F83E60"/>
    <w:rsid w:val="00F83F68"/>
    <w:rsid w:val="00F8400D"/>
    <w:rsid w:val="00F846FC"/>
    <w:rsid w:val="00F84AF3"/>
    <w:rsid w:val="00F84CC2"/>
    <w:rsid w:val="00F84E41"/>
    <w:rsid w:val="00F85436"/>
    <w:rsid w:val="00F858D3"/>
    <w:rsid w:val="00F8598D"/>
    <w:rsid w:val="00F85C4B"/>
    <w:rsid w:val="00F86044"/>
    <w:rsid w:val="00F86A1D"/>
    <w:rsid w:val="00F86E82"/>
    <w:rsid w:val="00F87260"/>
    <w:rsid w:val="00F873FB"/>
    <w:rsid w:val="00F879C4"/>
    <w:rsid w:val="00F87B4F"/>
    <w:rsid w:val="00F87FD2"/>
    <w:rsid w:val="00F90168"/>
    <w:rsid w:val="00F90575"/>
    <w:rsid w:val="00F90A17"/>
    <w:rsid w:val="00F90C90"/>
    <w:rsid w:val="00F90EF3"/>
    <w:rsid w:val="00F90FD0"/>
    <w:rsid w:val="00F918FA"/>
    <w:rsid w:val="00F925A8"/>
    <w:rsid w:val="00F927DC"/>
    <w:rsid w:val="00F9294C"/>
    <w:rsid w:val="00F92BC9"/>
    <w:rsid w:val="00F92FA5"/>
    <w:rsid w:val="00F9308C"/>
    <w:rsid w:val="00F93188"/>
    <w:rsid w:val="00F93620"/>
    <w:rsid w:val="00F93786"/>
    <w:rsid w:val="00F93A17"/>
    <w:rsid w:val="00F93A71"/>
    <w:rsid w:val="00F93B20"/>
    <w:rsid w:val="00F9463E"/>
    <w:rsid w:val="00F9478D"/>
    <w:rsid w:val="00F94833"/>
    <w:rsid w:val="00F94A3B"/>
    <w:rsid w:val="00F94C14"/>
    <w:rsid w:val="00F9528F"/>
    <w:rsid w:val="00F958EF"/>
    <w:rsid w:val="00F95995"/>
    <w:rsid w:val="00F959ED"/>
    <w:rsid w:val="00F95AE9"/>
    <w:rsid w:val="00F96125"/>
    <w:rsid w:val="00F965D1"/>
    <w:rsid w:val="00F965F4"/>
    <w:rsid w:val="00F96858"/>
    <w:rsid w:val="00F968BD"/>
    <w:rsid w:val="00F96A14"/>
    <w:rsid w:val="00F96A88"/>
    <w:rsid w:val="00F970F3"/>
    <w:rsid w:val="00F97257"/>
    <w:rsid w:val="00F97535"/>
    <w:rsid w:val="00F97571"/>
    <w:rsid w:val="00FA00B8"/>
    <w:rsid w:val="00FA01D3"/>
    <w:rsid w:val="00FA060F"/>
    <w:rsid w:val="00FA07BD"/>
    <w:rsid w:val="00FA0ACE"/>
    <w:rsid w:val="00FA0CD3"/>
    <w:rsid w:val="00FA10A0"/>
    <w:rsid w:val="00FA1252"/>
    <w:rsid w:val="00FA12CD"/>
    <w:rsid w:val="00FA1A04"/>
    <w:rsid w:val="00FA1D7A"/>
    <w:rsid w:val="00FA1F13"/>
    <w:rsid w:val="00FA266D"/>
    <w:rsid w:val="00FA282B"/>
    <w:rsid w:val="00FA2CF7"/>
    <w:rsid w:val="00FA3108"/>
    <w:rsid w:val="00FA3155"/>
    <w:rsid w:val="00FA32B7"/>
    <w:rsid w:val="00FA3499"/>
    <w:rsid w:val="00FA384E"/>
    <w:rsid w:val="00FA387C"/>
    <w:rsid w:val="00FA38C8"/>
    <w:rsid w:val="00FA3B68"/>
    <w:rsid w:val="00FA42F3"/>
    <w:rsid w:val="00FA4346"/>
    <w:rsid w:val="00FA457B"/>
    <w:rsid w:val="00FA45BE"/>
    <w:rsid w:val="00FA46AE"/>
    <w:rsid w:val="00FA5723"/>
    <w:rsid w:val="00FA596C"/>
    <w:rsid w:val="00FA5BF3"/>
    <w:rsid w:val="00FA6356"/>
    <w:rsid w:val="00FA6938"/>
    <w:rsid w:val="00FA70EB"/>
    <w:rsid w:val="00FA7168"/>
    <w:rsid w:val="00FA73E7"/>
    <w:rsid w:val="00FB0522"/>
    <w:rsid w:val="00FB0AE2"/>
    <w:rsid w:val="00FB0C34"/>
    <w:rsid w:val="00FB11EC"/>
    <w:rsid w:val="00FB12A3"/>
    <w:rsid w:val="00FB13A1"/>
    <w:rsid w:val="00FB15DA"/>
    <w:rsid w:val="00FB1601"/>
    <w:rsid w:val="00FB1F53"/>
    <w:rsid w:val="00FB1F89"/>
    <w:rsid w:val="00FB21AC"/>
    <w:rsid w:val="00FB24A5"/>
    <w:rsid w:val="00FB294F"/>
    <w:rsid w:val="00FB2DEE"/>
    <w:rsid w:val="00FB2FF4"/>
    <w:rsid w:val="00FB3583"/>
    <w:rsid w:val="00FB3694"/>
    <w:rsid w:val="00FB36C3"/>
    <w:rsid w:val="00FB36EB"/>
    <w:rsid w:val="00FB3A86"/>
    <w:rsid w:val="00FB3CD4"/>
    <w:rsid w:val="00FB3F43"/>
    <w:rsid w:val="00FB4063"/>
    <w:rsid w:val="00FB4CAB"/>
    <w:rsid w:val="00FB506D"/>
    <w:rsid w:val="00FB50A2"/>
    <w:rsid w:val="00FB510F"/>
    <w:rsid w:val="00FB5407"/>
    <w:rsid w:val="00FB55B9"/>
    <w:rsid w:val="00FB56AE"/>
    <w:rsid w:val="00FB5994"/>
    <w:rsid w:val="00FB5CDE"/>
    <w:rsid w:val="00FB5D0F"/>
    <w:rsid w:val="00FB628B"/>
    <w:rsid w:val="00FB6436"/>
    <w:rsid w:val="00FB70B6"/>
    <w:rsid w:val="00FB7271"/>
    <w:rsid w:val="00FB743A"/>
    <w:rsid w:val="00FB7653"/>
    <w:rsid w:val="00FB7BF9"/>
    <w:rsid w:val="00FB7F9C"/>
    <w:rsid w:val="00FC09FC"/>
    <w:rsid w:val="00FC0B73"/>
    <w:rsid w:val="00FC1795"/>
    <w:rsid w:val="00FC186A"/>
    <w:rsid w:val="00FC1C61"/>
    <w:rsid w:val="00FC1E8D"/>
    <w:rsid w:val="00FC1F6A"/>
    <w:rsid w:val="00FC21FF"/>
    <w:rsid w:val="00FC25C3"/>
    <w:rsid w:val="00FC29D3"/>
    <w:rsid w:val="00FC2B4C"/>
    <w:rsid w:val="00FC2B5D"/>
    <w:rsid w:val="00FC2DFC"/>
    <w:rsid w:val="00FC2F7E"/>
    <w:rsid w:val="00FC361D"/>
    <w:rsid w:val="00FC4358"/>
    <w:rsid w:val="00FC4676"/>
    <w:rsid w:val="00FC48AB"/>
    <w:rsid w:val="00FC4BCB"/>
    <w:rsid w:val="00FC4FD6"/>
    <w:rsid w:val="00FC5033"/>
    <w:rsid w:val="00FC51AE"/>
    <w:rsid w:val="00FC53AA"/>
    <w:rsid w:val="00FC5621"/>
    <w:rsid w:val="00FC5910"/>
    <w:rsid w:val="00FC5F45"/>
    <w:rsid w:val="00FC6447"/>
    <w:rsid w:val="00FC6F46"/>
    <w:rsid w:val="00FC6FEE"/>
    <w:rsid w:val="00FC72FE"/>
    <w:rsid w:val="00FC7C25"/>
    <w:rsid w:val="00FC7CE8"/>
    <w:rsid w:val="00FD0154"/>
    <w:rsid w:val="00FD027B"/>
    <w:rsid w:val="00FD0758"/>
    <w:rsid w:val="00FD0781"/>
    <w:rsid w:val="00FD0C86"/>
    <w:rsid w:val="00FD0F1D"/>
    <w:rsid w:val="00FD122C"/>
    <w:rsid w:val="00FD1361"/>
    <w:rsid w:val="00FD15C3"/>
    <w:rsid w:val="00FD1BB6"/>
    <w:rsid w:val="00FD2096"/>
    <w:rsid w:val="00FD2135"/>
    <w:rsid w:val="00FD2230"/>
    <w:rsid w:val="00FD2B26"/>
    <w:rsid w:val="00FD35C6"/>
    <w:rsid w:val="00FD3798"/>
    <w:rsid w:val="00FD3B56"/>
    <w:rsid w:val="00FD3FAF"/>
    <w:rsid w:val="00FD40B5"/>
    <w:rsid w:val="00FD42FB"/>
    <w:rsid w:val="00FD4A18"/>
    <w:rsid w:val="00FD4BE7"/>
    <w:rsid w:val="00FD4EEB"/>
    <w:rsid w:val="00FD4FC3"/>
    <w:rsid w:val="00FD519C"/>
    <w:rsid w:val="00FD5E06"/>
    <w:rsid w:val="00FD672C"/>
    <w:rsid w:val="00FD721E"/>
    <w:rsid w:val="00FD74B6"/>
    <w:rsid w:val="00FD790C"/>
    <w:rsid w:val="00FD7A15"/>
    <w:rsid w:val="00FD7CF4"/>
    <w:rsid w:val="00FD7D1A"/>
    <w:rsid w:val="00FE0062"/>
    <w:rsid w:val="00FE0CCF"/>
    <w:rsid w:val="00FE0CE7"/>
    <w:rsid w:val="00FE138B"/>
    <w:rsid w:val="00FE1C14"/>
    <w:rsid w:val="00FE243D"/>
    <w:rsid w:val="00FE2446"/>
    <w:rsid w:val="00FE2527"/>
    <w:rsid w:val="00FE26E4"/>
    <w:rsid w:val="00FE2940"/>
    <w:rsid w:val="00FE2AD8"/>
    <w:rsid w:val="00FE35C3"/>
    <w:rsid w:val="00FE362B"/>
    <w:rsid w:val="00FE3829"/>
    <w:rsid w:val="00FE3A62"/>
    <w:rsid w:val="00FE3BBA"/>
    <w:rsid w:val="00FE3DA6"/>
    <w:rsid w:val="00FE3FEE"/>
    <w:rsid w:val="00FE4AE6"/>
    <w:rsid w:val="00FE4BA8"/>
    <w:rsid w:val="00FE5287"/>
    <w:rsid w:val="00FE5507"/>
    <w:rsid w:val="00FE594B"/>
    <w:rsid w:val="00FE5CC5"/>
    <w:rsid w:val="00FE5F96"/>
    <w:rsid w:val="00FE68D2"/>
    <w:rsid w:val="00FE6AA1"/>
    <w:rsid w:val="00FE6C1A"/>
    <w:rsid w:val="00FE7099"/>
    <w:rsid w:val="00FE75C3"/>
    <w:rsid w:val="00FE75ED"/>
    <w:rsid w:val="00FE7A1A"/>
    <w:rsid w:val="00FE7F16"/>
    <w:rsid w:val="00FF01C8"/>
    <w:rsid w:val="00FF04FF"/>
    <w:rsid w:val="00FF0667"/>
    <w:rsid w:val="00FF089A"/>
    <w:rsid w:val="00FF0A95"/>
    <w:rsid w:val="00FF0B42"/>
    <w:rsid w:val="00FF1038"/>
    <w:rsid w:val="00FF11DA"/>
    <w:rsid w:val="00FF16B5"/>
    <w:rsid w:val="00FF1714"/>
    <w:rsid w:val="00FF1AB1"/>
    <w:rsid w:val="00FF2057"/>
    <w:rsid w:val="00FF20E7"/>
    <w:rsid w:val="00FF2275"/>
    <w:rsid w:val="00FF2EC9"/>
    <w:rsid w:val="00FF301B"/>
    <w:rsid w:val="00FF39B5"/>
    <w:rsid w:val="00FF3CFE"/>
    <w:rsid w:val="00FF3F0D"/>
    <w:rsid w:val="00FF409E"/>
    <w:rsid w:val="00FF4186"/>
    <w:rsid w:val="00FF445C"/>
    <w:rsid w:val="00FF4600"/>
    <w:rsid w:val="00FF4756"/>
    <w:rsid w:val="00FF4E17"/>
    <w:rsid w:val="00FF4FBB"/>
    <w:rsid w:val="00FF571B"/>
    <w:rsid w:val="00FF58DC"/>
    <w:rsid w:val="00FF5C01"/>
    <w:rsid w:val="00FF6155"/>
    <w:rsid w:val="00FF6330"/>
    <w:rsid w:val="00FF6386"/>
    <w:rsid w:val="00FF654A"/>
    <w:rsid w:val="00FF686D"/>
    <w:rsid w:val="00FF69B8"/>
    <w:rsid w:val="00FF6E40"/>
    <w:rsid w:val="00FF73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79E1A1"/>
  <w15:docId w15:val="{3CB4BB6D-37D0-402C-97F7-25FA23326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73A6"/>
    <w:rPr>
      <w:sz w:val="24"/>
      <w:szCs w:val="24"/>
    </w:rPr>
  </w:style>
  <w:style w:type="paragraph" w:styleId="Heading1">
    <w:name w:val="heading 1"/>
    <w:basedOn w:val="Normal"/>
    <w:next w:val="Normal"/>
    <w:link w:val="Heading1Char"/>
    <w:qFormat/>
    <w:rsid w:val="0005417A"/>
    <w:pPr>
      <w:keepNext/>
      <w:overflowPunct w:val="0"/>
      <w:autoSpaceDE w:val="0"/>
      <w:autoSpaceDN w:val="0"/>
      <w:adjustRightInd w:val="0"/>
      <w:outlineLvl w:val="0"/>
    </w:pPr>
    <w:rPr>
      <w:b/>
      <w:szCs w:val="20"/>
      <w:lang w:eastAsia="en-US"/>
    </w:rPr>
  </w:style>
  <w:style w:type="paragraph" w:styleId="Heading2">
    <w:name w:val="heading 2"/>
    <w:basedOn w:val="Normal"/>
    <w:next w:val="Normal"/>
    <w:qFormat/>
    <w:rsid w:val="0005417A"/>
    <w:pPr>
      <w:keepNext/>
      <w:tabs>
        <w:tab w:val="right" w:pos="4500"/>
      </w:tabs>
      <w:spacing w:before="60" w:after="60"/>
      <w:ind w:right="72"/>
      <w:jc w:val="both"/>
      <w:outlineLvl w:val="1"/>
    </w:pPr>
    <w:rPr>
      <w:b/>
      <w:bCs/>
      <w:lang w:eastAsia="en-US"/>
    </w:rPr>
  </w:style>
  <w:style w:type="paragraph" w:styleId="Heading3">
    <w:name w:val="heading 3"/>
    <w:basedOn w:val="Normal"/>
    <w:next w:val="Normal"/>
    <w:qFormat/>
    <w:rsid w:val="0005417A"/>
    <w:pPr>
      <w:keepNext/>
      <w:spacing w:before="60" w:after="60"/>
      <w:jc w:val="both"/>
      <w:outlineLvl w:val="2"/>
    </w:pPr>
    <w:rPr>
      <w:b/>
      <w:bCs/>
      <w:sz w:val="20"/>
      <w:lang w:eastAsia="en-US"/>
    </w:rPr>
  </w:style>
  <w:style w:type="paragraph" w:styleId="Heading4">
    <w:name w:val="heading 4"/>
    <w:basedOn w:val="Normal"/>
    <w:next w:val="Normal"/>
    <w:qFormat/>
    <w:rsid w:val="0005417A"/>
    <w:pPr>
      <w:keepNext/>
      <w:spacing w:before="60" w:after="60"/>
      <w:outlineLvl w:val="3"/>
    </w:pPr>
    <w:rPr>
      <w:b/>
      <w:bCs/>
      <w:sz w:val="20"/>
      <w:lang w:eastAsia="en-US"/>
    </w:rPr>
  </w:style>
  <w:style w:type="paragraph" w:styleId="Heading5">
    <w:name w:val="heading 5"/>
    <w:basedOn w:val="Normal"/>
    <w:next w:val="Normal"/>
    <w:qFormat/>
    <w:rsid w:val="0005417A"/>
    <w:pPr>
      <w:keepNext/>
      <w:tabs>
        <w:tab w:val="left" w:pos="720"/>
      </w:tabs>
      <w:overflowPunct w:val="0"/>
      <w:autoSpaceDE w:val="0"/>
      <w:autoSpaceDN w:val="0"/>
      <w:adjustRightInd w:val="0"/>
      <w:jc w:val="both"/>
      <w:outlineLvl w:val="4"/>
    </w:pPr>
    <w:rPr>
      <w:b/>
      <w:szCs w:val="20"/>
      <w:lang w:eastAsia="en-US"/>
    </w:rPr>
  </w:style>
  <w:style w:type="paragraph" w:styleId="Heading6">
    <w:name w:val="heading 6"/>
    <w:basedOn w:val="Normal"/>
    <w:next w:val="Normal"/>
    <w:qFormat/>
    <w:rsid w:val="0005417A"/>
    <w:pPr>
      <w:keepNext/>
      <w:outlineLvl w:val="5"/>
    </w:pPr>
    <w:rPr>
      <w:b/>
      <w:sz w:val="16"/>
      <w:lang w:eastAsia="en-US"/>
    </w:rPr>
  </w:style>
  <w:style w:type="paragraph" w:styleId="Heading7">
    <w:name w:val="heading 7"/>
    <w:basedOn w:val="Normal"/>
    <w:next w:val="Normal"/>
    <w:qFormat/>
    <w:rsid w:val="0005417A"/>
    <w:pPr>
      <w:keepNext/>
      <w:tabs>
        <w:tab w:val="left" w:pos="567"/>
      </w:tabs>
      <w:overflowPunct w:val="0"/>
      <w:autoSpaceDE w:val="0"/>
      <w:autoSpaceDN w:val="0"/>
      <w:adjustRightInd w:val="0"/>
      <w:jc w:val="both"/>
      <w:outlineLvl w:val="6"/>
    </w:pPr>
    <w:rPr>
      <w:b/>
      <w:bCs/>
      <w:i/>
      <w:szCs w:val="20"/>
      <w:lang w:eastAsia="en-US"/>
    </w:rPr>
  </w:style>
  <w:style w:type="paragraph" w:styleId="Heading8">
    <w:name w:val="heading 8"/>
    <w:basedOn w:val="Normal"/>
    <w:next w:val="Normal"/>
    <w:qFormat/>
    <w:rsid w:val="0005417A"/>
    <w:pPr>
      <w:keepNext/>
      <w:tabs>
        <w:tab w:val="left" w:pos="5040"/>
        <w:tab w:val="left" w:pos="7380"/>
      </w:tabs>
      <w:ind w:left="360" w:hanging="360"/>
      <w:outlineLvl w:val="7"/>
    </w:pPr>
    <w:rPr>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417A"/>
    <w:rPr>
      <w:color w:val="0000FF"/>
      <w:u w:val="single"/>
    </w:rPr>
  </w:style>
  <w:style w:type="character" w:styleId="FollowedHyperlink">
    <w:name w:val="FollowedHyperlink"/>
    <w:basedOn w:val="DefaultParagraphFont"/>
    <w:rsid w:val="0005417A"/>
    <w:rPr>
      <w:color w:val="800080"/>
      <w:u w:val="single"/>
    </w:rPr>
  </w:style>
  <w:style w:type="paragraph" w:styleId="HTMLPreformatted">
    <w:name w:val="HTML Preformatted"/>
    <w:basedOn w:val="Normal"/>
    <w:rsid w:val="00054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rsid w:val="0005417A"/>
    <w:pPr>
      <w:spacing w:before="100" w:beforeAutospacing="1" w:after="100" w:afterAutospacing="1"/>
    </w:pPr>
    <w:rPr>
      <w:rFonts w:ascii="Arial" w:hAnsi="Arial" w:cs="Arial"/>
      <w:sz w:val="20"/>
      <w:szCs w:val="20"/>
    </w:rPr>
  </w:style>
  <w:style w:type="paragraph" w:styleId="CommentText">
    <w:name w:val="annotation text"/>
    <w:basedOn w:val="Normal"/>
    <w:link w:val="CommentTextChar"/>
    <w:uiPriority w:val="99"/>
    <w:semiHidden/>
    <w:rsid w:val="0005417A"/>
    <w:rPr>
      <w:sz w:val="20"/>
      <w:szCs w:val="20"/>
    </w:rPr>
  </w:style>
  <w:style w:type="paragraph" w:styleId="Header">
    <w:name w:val="header"/>
    <w:basedOn w:val="Normal"/>
    <w:link w:val="HeaderChar"/>
    <w:rsid w:val="0005417A"/>
    <w:pPr>
      <w:tabs>
        <w:tab w:val="center" w:pos="4153"/>
        <w:tab w:val="right" w:pos="8306"/>
      </w:tabs>
      <w:overflowPunct w:val="0"/>
      <w:autoSpaceDE w:val="0"/>
      <w:autoSpaceDN w:val="0"/>
      <w:adjustRightInd w:val="0"/>
    </w:pPr>
    <w:rPr>
      <w:szCs w:val="20"/>
      <w:lang w:eastAsia="en-US"/>
    </w:rPr>
  </w:style>
  <w:style w:type="paragraph" w:styleId="Footer">
    <w:name w:val="footer"/>
    <w:basedOn w:val="Normal"/>
    <w:link w:val="FooterChar"/>
    <w:uiPriority w:val="99"/>
    <w:rsid w:val="0005417A"/>
    <w:pPr>
      <w:tabs>
        <w:tab w:val="center" w:pos="4153"/>
        <w:tab w:val="right" w:pos="8306"/>
      </w:tabs>
      <w:overflowPunct w:val="0"/>
      <w:autoSpaceDE w:val="0"/>
      <w:autoSpaceDN w:val="0"/>
      <w:adjustRightInd w:val="0"/>
    </w:pPr>
    <w:rPr>
      <w:szCs w:val="20"/>
      <w:lang w:eastAsia="en-US"/>
    </w:rPr>
  </w:style>
  <w:style w:type="paragraph" w:styleId="Title">
    <w:name w:val="Title"/>
    <w:basedOn w:val="Normal"/>
    <w:qFormat/>
    <w:rsid w:val="0005417A"/>
    <w:pPr>
      <w:overflowPunct w:val="0"/>
      <w:autoSpaceDE w:val="0"/>
      <w:autoSpaceDN w:val="0"/>
      <w:adjustRightInd w:val="0"/>
      <w:jc w:val="center"/>
    </w:pPr>
    <w:rPr>
      <w:b/>
      <w:szCs w:val="20"/>
      <w:lang w:eastAsia="en-US"/>
    </w:rPr>
  </w:style>
  <w:style w:type="paragraph" w:styleId="BodyText">
    <w:name w:val="Body Text"/>
    <w:basedOn w:val="Normal"/>
    <w:rsid w:val="0005417A"/>
    <w:pPr>
      <w:overflowPunct w:val="0"/>
      <w:autoSpaceDE w:val="0"/>
      <w:autoSpaceDN w:val="0"/>
      <w:adjustRightInd w:val="0"/>
      <w:spacing w:after="240" w:line="360" w:lineRule="auto"/>
      <w:jc w:val="both"/>
    </w:pPr>
    <w:rPr>
      <w:szCs w:val="20"/>
      <w:lang w:eastAsia="en-US"/>
    </w:rPr>
  </w:style>
  <w:style w:type="paragraph" w:styleId="BodyTextIndent">
    <w:name w:val="Body Text Indent"/>
    <w:basedOn w:val="Normal"/>
    <w:rsid w:val="0005417A"/>
    <w:pPr>
      <w:tabs>
        <w:tab w:val="left" w:pos="426"/>
      </w:tabs>
      <w:overflowPunct w:val="0"/>
      <w:autoSpaceDE w:val="0"/>
      <w:autoSpaceDN w:val="0"/>
      <w:adjustRightInd w:val="0"/>
      <w:ind w:left="426" w:hanging="426"/>
      <w:jc w:val="both"/>
    </w:pPr>
    <w:rPr>
      <w:szCs w:val="20"/>
      <w:lang w:eastAsia="en-US"/>
    </w:rPr>
  </w:style>
  <w:style w:type="paragraph" w:styleId="BodyTextIndent2">
    <w:name w:val="Body Text Indent 2"/>
    <w:basedOn w:val="Normal"/>
    <w:rsid w:val="0005417A"/>
    <w:pPr>
      <w:tabs>
        <w:tab w:val="left" w:pos="567"/>
      </w:tabs>
      <w:overflowPunct w:val="0"/>
      <w:autoSpaceDE w:val="0"/>
      <w:autoSpaceDN w:val="0"/>
      <w:adjustRightInd w:val="0"/>
      <w:ind w:left="567" w:hanging="567"/>
      <w:jc w:val="both"/>
    </w:pPr>
    <w:rPr>
      <w:szCs w:val="20"/>
      <w:lang w:eastAsia="en-US"/>
    </w:rPr>
  </w:style>
  <w:style w:type="paragraph" w:styleId="CommentSubject">
    <w:name w:val="annotation subject"/>
    <w:basedOn w:val="CommentText"/>
    <w:next w:val="CommentText"/>
    <w:link w:val="CommentSubjectChar"/>
    <w:semiHidden/>
    <w:rsid w:val="0005417A"/>
    <w:rPr>
      <w:b/>
      <w:bCs/>
    </w:rPr>
  </w:style>
  <w:style w:type="paragraph" w:styleId="BalloonText">
    <w:name w:val="Balloon Text"/>
    <w:basedOn w:val="Normal"/>
    <w:link w:val="BalloonTextChar"/>
    <w:semiHidden/>
    <w:rsid w:val="0005417A"/>
    <w:rPr>
      <w:rFonts w:ascii="Tahoma" w:hAnsi="Tahoma" w:cs="Tahoma"/>
      <w:sz w:val="16"/>
      <w:szCs w:val="16"/>
    </w:rPr>
  </w:style>
  <w:style w:type="paragraph" w:customStyle="1" w:styleId="bodycopy">
    <w:name w:val="body copy"/>
    <w:rsid w:val="0005417A"/>
    <w:pPr>
      <w:spacing w:after="120" w:line="230" w:lineRule="exact"/>
    </w:pPr>
    <w:rPr>
      <w:rFonts w:ascii="Hermes-Thin" w:hAnsi="Hermes-Thin"/>
      <w:color w:val="000000"/>
      <w:sz w:val="18"/>
      <w:lang w:eastAsia="en-US"/>
    </w:rPr>
  </w:style>
  <w:style w:type="paragraph" w:customStyle="1" w:styleId="pageheader">
    <w:name w:val="page header"/>
    <w:autoRedefine/>
    <w:rsid w:val="0005417A"/>
    <w:rPr>
      <w:rFonts w:ascii="Clarendon" w:hAnsi="Clarendon"/>
      <w:b/>
      <w:color w:val="80CCFF"/>
      <w:spacing w:val="-16"/>
      <w:sz w:val="36"/>
      <w:lang w:eastAsia="en-US"/>
    </w:rPr>
  </w:style>
  <w:style w:type="character" w:customStyle="1" w:styleId="sectionheaderChar1">
    <w:name w:val="section header Char1"/>
    <w:basedOn w:val="DefaultParagraphFont"/>
    <w:link w:val="sectionheader"/>
    <w:locked/>
    <w:rsid w:val="0005417A"/>
    <w:rPr>
      <w:b/>
      <w:bCs/>
      <w:sz w:val="24"/>
      <w:szCs w:val="22"/>
      <w:lang w:val="en-GB" w:eastAsia="en-US" w:bidi="ar-SA"/>
    </w:rPr>
  </w:style>
  <w:style w:type="paragraph" w:customStyle="1" w:styleId="sectionheader">
    <w:name w:val="section header"/>
    <w:link w:val="sectionheaderChar1"/>
    <w:autoRedefine/>
    <w:rsid w:val="0005417A"/>
    <w:rPr>
      <w:b/>
      <w:bCs/>
      <w:sz w:val="24"/>
      <w:szCs w:val="22"/>
      <w:lang w:eastAsia="en-US"/>
    </w:rPr>
  </w:style>
  <w:style w:type="paragraph" w:customStyle="1" w:styleId="subheading">
    <w:name w:val="sub heading"/>
    <w:rsid w:val="0005417A"/>
    <w:pPr>
      <w:spacing w:before="120"/>
    </w:pPr>
    <w:rPr>
      <w:rFonts w:ascii="Hermes-Regular" w:hAnsi="Hermes-Regular"/>
      <w:color w:val="000000"/>
      <w:sz w:val="18"/>
      <w:lang w:eastAsia="en-US"/>
    </w:rPr>
  </w:style>
  <w:style w:type="paragraph" w:customStyle="1" w:styleId="xl33">
    <w:name w:val="xl33"/>
    <w:basedOn w:val="Normal"/>
    <w:rsid w:val="0005417A"/>
    <w:pPr>
      <w:spacing w:before="100" w:beforeAutospacing="1" w:after="100" w:afterAutospacing="1"/>
      <w:jc w:val="right"/>
    </w:pPr>
    <w:rPr>
      <w:rFonts w:ascii="Hermes-Thin" w:hAnsi="Hermes-Thin"/>
      <w:sz w:val="18"/>
      <w:szCs w:val="18"/>
      <w:lang w:eastAsia="en-US"/>
    </w:rPr>
  </w:style>
  <w:style w:type="paragraph" w:customStyle="1" w:styleId="xl40">
    <w:name w:val="xl40"/>
    <w:basedOn w:val="Normal"/>
    <w:rsid w:val="0005417A"/>
    <w:pPr>
      <w:spacing w:before="100" w:beforeAutospacing="1" w:after="100" w:afterAutospacing="1"/>
      <w:jc w:val="center"/>
    </w:pPr>
    <w:rPr>
      <w:rFonts w:ascii="Hermes-Thin" w:hAnsi="Hermes-Thin"/>
      <w:sz w:val="14"/>
      <w:szCs w:val="14"/>
      <w:lang w:eastAsia="en-US"/>
    </w:rPr>
  </w:style>
  <w:style w:type="paragraph" w:customStyle="1" w:styleId="HTMLPreformatted1">
    <w:name w:val="HTML Preformatted1"/>
    <w:basedOn w:val="Normal"/>
    <w:rsid w:val="00054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9"/>
      <w:szCs w:val="29"/>
    </w:rPr>
  </w:style>
  <w:style w:type="paragraph" w:customStyle="1" w:styleId="sectionheaderwithintext">
    <w:name w:val="section header within text"/>
    <w:basedOn w:val="sectionheader"/>
    <w:rsid w:val="0005417A"/>
    <w:pPr>
      <w:spacing w:before="120"/>
    </w:pPr>
    <w:rPr>
      <w:rFonts w:ascii="Clarendon" w:hAnsi="Clarendon"/>
      <w:b w:val="0"/>
      <w:bCs w:val="0"/>
      <w:color w:val="6E0A78"/>
      <w:szCs w:val="20"/>
      <w:lang w:val="en-US"/>
    </w:rPr>
  </w:style>
  <w:style w:type="paragraph" w:customStyle="1" w:styleId="bodycopy0">
    <w:name w:val="bodycopy"/>
    <w:basedOn w:val="Normal"/>
    <w:rsid w:val="0005417A"/>
    <w:pPr>
      <w:spacing w:before="100" w:beforeAutospacing="1" w:after="100" w:afterAutospacing="1"/>
    </w:pPr>
  </w:style>
  <w:style w:type="character" w:styleId="CommentReference">
    <w:name w:val="annotation reference"/>
    <w:basedOn w:val="DefaultParagraphFont"/>
    <w:uiPriority w:val="99"/>
    <w:semiHidden/>
    <w:rsid w:val="0005417A"/>
    <w:rPr>
      <w:sz w:val="16"/>
      <w:szCs w:val="16"/>
    </w:rPr>
  </w:style>
  <w:style w:type="character" w:customStyle="1" w:styleId="bodycopynumber">
    <w:name w:val="body copy number"/>
    <w:rsid w:val="0005417A"/>
    <w:rPr>
      <w:rFonts w:ascii="Hermes-Regular" w:hAnsi="Hermes-Regular" w:hint="default"/>
      <w:sz w:val="18"/>
    </w:rPr>
  </w:style>
  <w:style w:type="character" w:customStyle="1" w:styleId="sectionheadernumber">
    <w:name w:val="section header number"/>
    <w:rsid w:val="0005417A"/>
    <w:rPr>
      <w:rFonts w:ascii="Clarendon Light" w:hAnsi="Clarendon Light" w:hint="default"/>
      <w:sz w:val="34"/>
    </w:rPr>
  </w:style>
  <w:style w:type="character" w:customStyle="1" w:styleId="pageheadercontinued">
    <w:name w:val="page header continued"/>
    <w:rsid w:val="0005417A"/>
    <w:rPr>
      <w:rFonts w:ascii="Clarendon Light" w:hAnsi="Clarendon Light" w:hint="default"/>
    </w:rPr>
  </w:style>
  <w:style w:type="character" w:customStyle="1" w:styleId="bodycopyChar">
    <w:name w:val="body copy Char"/>
    <w:basedOn w:val="DefaultParagraphFont"/>
    <w:rsid w:val="0005417A"/>
    <w:rPr>
      <w:rFonts w:ascii="Hermes-Thin" w:hAnsi="Hermes-Thin" w:hint="default"/>
      <w:color w:val="000000"/>
      <w:sz w:val="18"/>
      <w:lang w:val="en-GB" w:eastAsia="en-US" w:bidi="ar-SA"/>
    </w:rPr>
  </w:style>
  <w:style w:type="character" w:styleId="PageNumber">
    <w:name w:val="page number"/>
    <w:basedOn w:val="DefaultParagraphFont"/>
    <w:rsid w:val="0005417A"/>
  </w:style>
  <w:style w:type="table" w:styleId="TableGrid">
    <w:name w:val="Table Grid"/>
    <w:basedOn w:val="TableNormal"/>
    <w:uiPriority w:val="39"/>
    <w:rsid w:val="000A02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list"/>
    <w:basedOn w:val="Normal"/>
    <w:uiPriority w:val="34"/>
    <w:qFormat/>
    <w:rsid w:val="00567923"/>
    <w:pPr>
      <w:ind w:left="720"/>
      <w:contextualSpacing/>
    </w:pPr>
  </w:style>
  <w:style w:type="paragraph" w:customStyle="1" w:styleId="Pa194">
    <w:name w:val="Pa19+4"/>
    <w:basedOn w:val="Normal"/>
    <w:next w:val="Normal"/>
    <w:uiPriority w:val="99"/>
    <w:rsid w:val="000D4AAF"/>
    <w:pPr>
      <w:autoSpaceDE w:val="0"/>
      <w:autoSpaceDN w:val="0"/>
      <w:adjustRightInd w:val="0"/>
      <w:spacing w:after="100" w:line="161" w:lineRule="atLeast"/>
    </w:pPr>
    <w:rPr>
      <w:rFonts w:ascii="Pluto Sans Light" w:hAnsi="Pluto Sans Light"/>
    </w:rPr>
  </w:style>
  <w:style w:type="paragraph" w:customStyle="1" w:styleId="Body">
    <w:name w:val="Body"/>
    <w:rsid w:val="008777BC"/>
    <w:pPr>
      <w:pBdr>
        <w:top w:val="nil"/>
        <w:left w:val="nil"/>
        <w:bottom w:val="nil"/>
        <w:right w:val="nil"/>
        <w:between w:val="nil"/>
        <w:bar w:val="nil"/>
      </w:pBdr>
    </w:pPr>
    <w:rPr>
      <w:rFonts w:eastAsia="Arial Unicode MS" w:hAnsi="Arial Unicode MS" w:cs="Arial Unicode MS"/>
      <w:color w:val="000000"/>
      <w:sz w:val="24"/>
      <w:szCs w:val="24"/>
      <w:u w:color="000000"/>
      <w:bdr w:val="nil"/>
      <w:lang w:val="en-US"/>
    </w:rPr>
  </w:style>
  <w:style w:type="paragraph" w:customStyle="1" w:styleId="Pa91">
    <w:name w:val="Pa9+1"/>
    <w:basedOn w:val="Normal"/>
    <w:next w:val="Normal"/>
    <w:uiPriority w:val="99"/>
    <w:rsid w:val="008777BC"/>
    <w:pPr>
      <w:autoSpaceDE w:val="0"/>
      <w:autoSpaceDN w:val="0"/>
      <w:adjustRightInd w:val="0"/>
      <w:spacing w:line="161" w:lineRule="atLeast"/>
    </w:pPr>
    <w:rPr>
      <w:rFonts w:ascii="Pluto Sans Light" w:eastAsiaTheme="minorHAnsi" w:hAnsi="Pluto Sans Light" w:cstheme="minorBidi"/>
      <w:lang w:eastAsia="en-US"/>
    </w:rPr>
  </w:style>
  <w:style w:type="paragraph" w:customStyle="1" w:styleId="Default">
    <w:name w:val="Default"/>
    <w:rsid w:val="001B2B1C"/>
    <w:pPr>
      <w:autoSpaceDE w:val="0"/>
      <w:autoSpaceDN w:val="0"/>
      <w:adjustRightInd w:val="0"/>
    </w:pPr>
    <w:rPr>
      <w:rFonts w:ascii="Pluto Sans Medium" w:eastAsiaTheme="minorHAnsi" w:hAnsi="Pluto Sans Medium" w:cs="Pluto Sans Medium"/>
      <w:color w:val="000000"/>
      <w:sz w:val="24"/>
      <w:szCs w:val="24"/>
      <w:lang w:eastAsia="en-US"/>
    </w:rPr>
  </w:style>
  <w:style w:type="character" w:customStyle="1" w:styleId="v">
    <w:name w:val="v"/>
    <w:basedOn w:val="DefaultParagraphFont"/>
    <w:rsid w:val="001B2B1C"/>
  </w:style>
  <w:style w:type="paragraph" w:customStyle="1" w:styleId="BodyText1">
    <w:name w:val="Body Text 1"/>
    <w:basedOn w:val="Normal"/>
    <w:link w:val="BodyText1Char"/>
    <w:qFormat/>
    <w:rsid w:val="004F5D24"/>
    <w:pPr>
      <w:spacing w:after="200"/>
      <w:ind w:left="680"/>
      <w:jc w:val="both"/>
    </w:pPr>
    <w:rPr>
      <w:rFonts w:cs="Times"/>
      <w:sz w:val="20"/>
      <w:lang w:eastAsia="en-US"/>
    </w:rPr>
  </w:style>
  <w:style w:type="character" w:customStyle="1" w:styleId="BodyText1Char">
    <w:name w:val="Body Text 1 Char"/>
    <w:basedOn w:val="DefaultParagraphFont"/>
    <w:link w:val="BodyText1"/>
    <w:rsid w:val="004F5D24"/>
    <w:rPr>
      <w:rFonts w:cs="Times"/>
      <w:szCs w:val="24"/>
      <w:lang w:eastAsia="en-US"/>
    </w:rPr>
  </w:style>
  <w:style w:type="paragraph" w:customStyle="1" w:styleId="BodyA">
    <w:name w:val="Body A"/>
    <w:uiPriority w:val="99"/>
    <w:rsid w:val="00E93C6F"/>
    <w:pPr>
      <w:pBdr>
        <w:top w:val="nil"/>
        <w:left w:val="nil"/>
        <w:bottom w:val="nil"/>
        <w:right w:val="nil"/>
        <w:between w:val="nil"/>
        <w:bar w:val="nil"/>
      </w:pBdr>
    </w:pPr>
    <w:rPr>
      <w:rFonts w:eastAsia="Arial Unicode MS" w:cs="Arial Unicode MS"/>
      <w:color w:val="000000"/>
      <w:sz w:val="24"/>
      <w:szCs w:val="24"/>
      <w:u w:color="000000"/>
      <w:bdr w:val="nil"/>
      <w:lang w:val="en-US"/>
    </w:rPr>
  </w:style>
  <w:style w:type="paragraph" w:styleId="PlainText">
    <w:name w:val="Plain Text"/>
    <w:basedOn w:val="Normal"/>
    <w:link w:val="PlainTextChar"/>
    <w:uiPriority w:val="99"/>
    <w:unhideWhenUsed/>
    <w:rsid w:val="008B3542"/>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8B3542"/>
    <w:rPr>
      <w:rFonts w:ascii="Calibri" w:eastAsiaTheme="minorHAnsi" w:hAnsi="Calibri" w:cstheme="minorBidi"/>
      <w:sz w:val="22"/>
      <w:szCs w:val="21"/>
      <w:lang w:eastAsia="en-US"/>
    </w:rPr>
  </w:style>
  <w:style w:type="character" w:customStyle="1" w:styleId="A5">
    <w:name w:val="A5"/>
    <w:uiPriority w:val="99"/>
    <w:rsid w:val="005949B7"/>
    <w:rPr>
      <w:rFonts w:ascii="Effra Medium" w:hAnsi="Effra Medium" w:cs="Effra Medium"/>
      <w:color w:val="000000"/>
      <w:sz w:val="22"/>
      <w:szCs w:val="22"/>
    </w:rPr>
  </w:style>
  <w:style w:type="paragraph" w:customStyle="1" w:styleId="ocNum4th1">
    <w:name w:val="oc_Num_4th 1"/>
    <w:basedOn w:val="Normal"/>
    <w:next w:val="BodyText"/>
    <w:rsid w:val="0018542C"/>
    <w:pPr>
      <w:numPr>
        <w:numId w:val="1"/>
      </w:numPr>
      <w:spacing w:after="200"/>
      <w:jc w:val="both"/>
      <w:outlineLvl w:val="0"/>
    </w:pPr>
    <w:rPr>
      <w:rFonts w:eastAsia="SimSun"/>
      <w:sz w:val="20"/>
      <w:lang w:eastAsia="zh-CN" w:bidi="he-IL"/>
    </w:rPr>
  </w:style>
  <w:style w:type="paragraph" w:customStyle="1" w:styleId="ocNum4th2">
    <w:name w:val="oc_Num_4th 2"/>
    <w:basedOn w:val="Normal"/>
    <w:next w:val="BodyText1"/>
    <w:rsid w:val="0018542C"/>
    <w:pPr>
      <w:numPr>
        <w:ilvl w:val="1"/>
        <w:numId w:val="1"/>
      </w:numPr>
      <w:spacing w:after="200"/>
      <w:jc w:val="both"/>
      <w:outlineLvl w:val="1"/>
    </w:pPr>
    <w:rPr>
      <w:rFonts w:eastAsia="SimSun"/>
      <w:sz w:val="20"/>
      <w:lang w:eastAsia="zh-CN" w:bidi="he-IL"/>
    </w:rPr>
  </w:style>
  <w:style w:type="paragraph" w:customStyle="1" w:styleId="ocNum4th3">
    <w:name w:val="oc_Num_4th 3"/>
    <w:basedOn w:val="Normal"/>
    <w:next w:val="BodyText1"/>
    <w:rsid w:val="0018542C"/>
    <w:pPr>
      <w:numPr>
        <w:ilvl w:val="2"/>
        <w:numId w:val="1"/>
      </w:numPr>
      <w:spacing w:after="200"/>
      <w:jc w:val="both"/>
      <w:outlineLvl w:val="2"/>
    </w:pPr>
    <w:rPr>
      <w:rFonts w:eastAsia="SimSun"/>
      <w:sz w:val="20"/>
      <w:lang w:eastAsia="zh-CN" w:bidi="he-IL"/>
    </w:rPr>
  </w:style>
  <w:style w:type="paragraph" w:customStyle="1" w:styleId="ocNum4th4">
    <w:name w:val="oc_Num_4th 4"/>
    <w:basedOn w:val="Normal"/>
    <w:next w:val="BodyText1"/>
    <w:rsid w:val="0018542C"/>
    <w:pPr>
      <w:numPr>
        <w:ilvl w:val="3"/>
        <w:numId w:val="1"/>
      </w:numPr>
      <w:spacing w:after="200"/>
      <w:jc w:val="both"/>
      <w:outlineLvl w:val="3"/>
    </w:pPr>
    <w:rPr>
      <w:rFonts w:eastAsia="SimSun"/>
      <w:sz w:val="20"/>
      <w:lang w:eastAsia="zh-CN" w:bidi="he-IL"/>
    </w:rPr>
  </w:style>
  <w:style w:type="paragraph" w:customStyle="1" w:styleId="ocNum4th5">
    <w:name w:val="oc_Num_4th 5"/>
    <w:basedOn w:val="Normal"/>
    <w:next w:val="BodyText2"/>
    <w:rsid w:val="0018542C"/>
    <w:pPr>
      <w:numPr>
        <w:ilvl w:val="4"/>
        <w:numId w:val="1"/>
      </w:numPr>
      <w:spacing w:after="200"/>
      <w:jc w:val="both"/>
      <w:outlineLvl w:val="4"/>
    </w:pPr>
    <w:rPr>
      <w:rFonts w:eastAsia="SimSun"/>
      <w:sz w:val="20"/>
      <w:lang w:eastAsia="zh-CN" w:bidi="he-IL"/>
    </w:rPr>
  </w:style>
  <w:style w:type="paragraph" w:customStyle="1" w:styleId="ocNum4th6">
    <w:name w:val="oc_Num_4th 6"/>
    <w:basedOn w:val="Normal"/>
    <w:next w:val="BodyText3"/>
    <w:rsid w:val="0018542C"/>
    <w:pPr>
      <w:numPr>
        <w:ilvl w:val="5"/>
        <w:numId w:val="1"/>
      </w:numPr>
      <w:spacing w:after="200"/>
      <w:jc w:val="both"/>
      <w:outlineLvl w:val="5"/>
    </w:pPr>
    <w:rPr>
      <w:rFonts w:eastAsia="SimSun"/>
      <w:sz w:val="20"/>
      <w:lang w:eastAsia="zh-CN" w:bidi="he-IL"/>
    </w:rPr>
  </w:style>
  <w:style w:type="paragraph" w:customStyle="1" w:styleId="ocNum4th7">
    <w:name w:val="oc_Num_4th 7"/>
    <w:basedOn w:val="Normal"/>
    <w:next w:val="Normal"/>
    <w:rsid w:val="0018542C"/>
    <w:pPr>
      <w:numPr>
        <w:ilvl w:val="6"/>
        <w:numId w:val="1"/>
      </w:numPr>
      <w:spacing w:after="200"/>
      <w:jc w:val="both"/>
      <w:outlineLvl w:val="6"/>
    </w:pPr>
    <w:rPr>
      <w:rFonts w:eastAsia="SimSun"/>
      <w:sz w:val="20"/>
      <w:lang w:eastAsia="zh-CN" w:bidi="he-IL"/>
    </w:rPr>
  </w:style>
  <w:style w:type="paragraph" w:customStyle="1" w:styleId="ocNum4th8">
    <w:name w:val="oc_Num_4th 8"/>
    <w:basedOn w:val="Normal"/>
    <w:next w:val="Normal"/>
    <w:rsid w:val="0018542C"/>
    <w:pPr>
      <w:numPr>
        <w:ilvl w:val="7"/>
        <w:numId w:val="1"/>
      </w:numPr>
      <w:spacing w:after="200"/>
      <w:jc w:val="both"/>
      <w:outlineLvl w:val="7"/>
    </w:pPr>
    <w:rPr>
      <w:rFonts w:eastAsia="SimSun"/>
      <w:sz w:val="20"/>
      <w:lang w:eastAsia="zh-CN" w:bidi="he-IL"/>
    </w:rPr>
  </w:style>
  <w:style w:type="paragraph" w:customStyle="1" w:styleId="ocNum4th9">
    <w:name w:val="oc_Num_4th 9"/>
    <w:basedOn w:val="Normal"/>
    <w:next w:val="BodyText"/>
    <w:rsid w:val="0018542C"/>
    <w:pPr>
      <w:numPr>
        <w:ilvl w:val="8"/>
        <w:numId w:val="1"/>
      </w:numPr>
      <w:spacing w:after="200"/>
      <w:jc w:val="both"/>
      <w:outlineLvl w:val="8"/>
    </w:pPr>
    <w:rPr>
      <w:rFonts w:eastAsia="SimSun"/>
      <w:sz w:val="20"/>
      <w:lang w:eastAsia="zh-CN" w:bidi="he-IL"/>
    </w:rPr>
  </w:style>
  <w:style w:type="paragraph" w:styleId="BodyText2">
    <w:name w:val="Body Text 2"/>
    <w:basedOn w:val="Normal"/>
    <w:link w:val="BodyText2Char"/>
    <w:semiHidden/>
    <w:unhideWhenUsed/>
    <w:rsid w:val="0018542C"/>
    <w:pPr>
      <w:spacing w:after="120" w:line="480" w:lineRule="auto"/>
    </w:pPr>
  </w:style>
  <w:style w:type="character" w:customStyle="1" w:styleId="BodyText2Char">
    <w:name w:val="Body Text 2 Char"/>
    <w:basedOn w:val="DefaultParagraphFont"/>
    <w:link w:val="BodyText2"/>
    <w:semiHidden/>
    <w:rsid w:val="0018542C"/>
    <w:rPr>
      <w:sz w:val="24"/>
      <w:szCs w:val="24"/>
    </w:rPr>
  </w:style>
  <w:style w:type="paragraph" w:styleId="BodyText3">
    <w:name w:val="Body Text 3"/>
    <w:basedOn w:val="Normal"/>
    <w:link w:val="BodyText3Char"/>
    <w:semiHidden/>
    <w:unhideWhenUsed/>
    <w:rsid w:val="0018542C"/>
    <w:pPr>
      <w:spacing w:after="120"/>
    </w:pPr>
    <w:rPr>
      <w:sz w:val="16"/>
      <w:szCs w:val="16"/>
    </w:rPr>
  </w:style>
  <w:style w:type="character" w:customStyle="1" w:styleId="BodyText3Char">
    <w:name w:val="Body Text 3 Char"/>
    <w:basedOn w:val="DefaultParagraphFont"/>
    <w:link w:val="BodyText3"/>
    <w:semiHidden/>
    <w:rsid w:val="0018542C"/>
    <w:rPr>
      <w:sz w:val="16"/>
      <w:szCs w:val="16"/>
    </w:rPr>
  </w:style>
  <w:style w:type="paragraph" w:styleId="NoSpacing">
    <w:name w:val="No Spacing"/>
    <w:uiPriority w:val="1"/>
    <w:qFormat/>
    <w:rsid w:val="00B858A3"/>
    <w:rPr>
      <w:rFonts w:asciiTheme="minorHAnsi" w:eastAsiaTheme="minorHAnsi" w:hAnsiTheme="minorHAnsi" w:cstheme="minorBidi"/>
      <w:sz w:val="22"/>
      <w:szCs w:val="22"/>
      <w:lang w:eastAsia="en-US"/>
    </w:rPr>
  </w:style>
  <w:style w:type="paragraph" w:customStyle="1" w:styleId="body0">
    <w:name w:val="body"/>
    <w:basedOn w:val="Normal"/>
    <w:rsid w:val="000F11F3"/>
    <w:pPr>
      <w:spacing w:before="100" w:beforeAutospacing="1" w:after="100" w:afterAutospacing="1"/>
    </w:pPr>
    <w:rPr>
      <w:rFonts w:ascii="Calibri" w:eastAsiaTheme="minorHAnsi" w:hAnsi="Calibri" w:cs="Calibri"/>
      <w:sz w:val="22"/>
      <w:szCs w:val="22"/>
    </w:rPr>
  </w:style>
  <w:style w:type="paragraph" w:customStyle="1" w:styleId="Bodycopy1">
    <w:name w:val="Body copy"/>
    <w:basedOn w:val="Normal"/>
    <w:qFormat/>
    <w:rsid w:val="00D87517"/>
    <w:pPr>
      <w:spacing w:after="100" w:line="240" w:lineRule="exact"/>
    </w:pPr>
    <w:rPr>
      <w:rFonts w:ascii="Arial" w:eastAsia="Calibri" w:hAnsi="Arial"/>
      <w:sz w:val="20"/>
      <w:szCs w:val="22"/>
      <w:lang w:val="en-AU" w:eastAsia="en-US"/>
    </w:rPr>
  </w:style>
  <w:style w:type="paragraph" w:customStyle="1" w:styleId="BodytextBodyText">
    <w:name w:val="Bodytext (Body Text)"/>
    <w:basedOn w:val="Normal"/>
    <w:uiPriority w:val="99"/>
    <w:rsid w:val="00876A14"/>
    <w:pPr>
      <w:autoSpaceDE w:val="0"/>
      <w:autoSpaceDN w:val="0"/>
      <w:spacing w:after="57" w:line="220" w:lineRule="atLeast"/>
    </w:pPr>
    <w:rPr>
      <w:rFonts w:ascii="Open Sans Light" w:eastAsiaTheme="minorHAnsi" w:hAnsi="Open Sans Light" w:cs="Calibri"/>
      <w:color w:val="55565A"/>
      <w:spacing w:val="-3"/>
      <w:sz w:val="17"/>
      <w:szCs w:val="17"/>
    </w:rPr>
  </w:style>
  <w:style w:type="character" w:customStyle="1" w:styleId="aq">
    <w:name w:val="aq"/>
    <w:basedOn w:val="DefaultParagraphFont"/>
    <w:rsid w:val="00127C71"/>
  </w:style>
  <w:style w:type="character" w:customStyle="1" w:styleId="aw">
    <w:name w:val="aw"/>
    <w:basedOn w:val="DefaultParagraphFont"/>
    <w:rsid w:val="00650E5A"/>
  </w:style>
  <w:style w:type="character" w:customStyle="1" w:styleId="dk">
    <w:name w:val="dk"/>
    <w:basedOn w:val="DefaultParagraphFont"/>
    <w:rsid w:val="00310E9B"/>
  </w:style>
  <w:style w:type="paragraph" w:customStyle="1" w:styleId="dr">
    <w:name w:val="dr"/>
    <w:basedOn w:val="Normal"/>
    <w:rsid w:val="00310E9B"/>
    <w:pPr>
      <w:spacing w:before="100" w:beforeAutospacing="1" w:after="100" w:afterAutospacing="1"/>
    </w:pPr>
    <w:rPr>
      <w:lang w:val="en-US" w:eastAsia="en-US"/>
    </w:rPr>
  </w:style>
  <w:style w:type="character" w:customStyle="1" w:styleId="bv">
    <w:name w:val="bv"/>
    <w:basedOn w:val="DefaultParagraphFont"/>
    <w:rsid w:val="00310E9B"/>
  </w:style>
  <w:style w:type="character" w:customStyle="1" w:styleId="bu">
    <w:name w:val="bu"/>
    <w:basedOn w:val="DefaultParagraphFont"/>
    <w:rsid w:val="00310E9B"/>
  </w:style>
  <w:style w:type="character" w:customStyle="1" w:styleId="dg">
    <w:name w:val="dg"/>
    <w:basedOn w:val="DefaultParagraphFont"/>
    <w:rsid w:val="00310E9B"/>
  </w:style>
  <w:style w:type="character" w:customStyle="1" w:styleId="bt">
    <w:name w:val="bt"/>
    <w:basedOn w:val="DefaultParagraphFont"/>
    <w:rsid w:val="00310E9B"/>
  </w:style>
  <w:style w:type="character" w:customStyle="1" w:styleId="FooterChar">
    <w:name w:val="Footer Char"/>
    <w:basedOn w:val="DefaultParagraphFont"/>
    <w:link w:val="Footer"/>
    <w:uiPriority w:val="99"/>
    <w:rsid w:val="00420B99"/>
    <w:rPr>
      <w:sz w:val="24"/>
      <w:lang w:eastAsia="en-US"/>
    </w:rPr>
  </w:style>
  <w:style w:type="paragraph" w:customStyle="1" w:styleId="d">
    <w:name w:val="d"/>
    <w:basedOn w:val="Normal"/>
    <w:rsid w:val="004C6968"/>
    <w:pPr>
      <w:spacing w:before="100" w:beforeAutospacing="1" w:after="100" w:afterAutospacing="1"/>
    </w:pPr>
    <w:rPr>
      <w:rFonts w:eastAsiaTheme="minorHAnsi"/>
    </w:rPr>
  </w:style>
  <w:style w:type="character" w:customStyle="1" w:styleId="ab">
    <w:name w:val="ab"/>
    <w:basedOn w:val="DefaultParagraphFont"/>
    <w:rsid w:val="004C6968"/>
  </w:style>
  <w:style w:type="paragraph" w:styleId="Revision">
    <w:name w:val="Revision"/>
    <w:hidden/>
    <w:uiPriority w:val="99"/>
    <w:semiHidden/>
    <w:rsid w:val="00DA6694"/>
    <w:rPr>
      <w:sz w:val="24"/>
      <w:szCs w:val="24"/>
    </w:rPr>
  </w:style>
  <w:style w:type="character" w:styleId="Emphasis">
    <w:name w:val="Emphasis"/>
    <w:basedOn w:val="DefaultParagraphFont"/>
    <w:qFormat/>
    <w:rsid w:val="00A67775"/>
    <w:rPr>
      <w:i/>
      <w:iCs/>
    </w:rPr>
  </w:style>
  <w:style w:type="paragraph" w:customStyle="1" w:styleId="Pa20">
    <w:name w:val="Pa20"/>
    <w:basedOn w:val="Default"/>
    <w:next w:val="Default"/>
    <w:uiPriority w:val="99"/>
    <w:rsid w:val="00752F66"/>
    <w:pPr>
      <w:spacing w:line="161" w:lineRule="atLeast"/>
    </w:pPr>
    <w:rPr>
      <w:rFonts w:ascii="Graphik Light" w:eastAsia="Times New Roman" w:hAnsi="Graphik Light" w:cs="Times New Roman"/>
      <w:color w:val="auto"/>
      <w:lang w:eastAsia="en-GB"/>
    </w:rPr>
  </w:style>
  <w:style w:type="character" w:customStyle="1" w:styleId="Heading1Char">
    <w:name w:val="Heading 1 Char"/>
    <w:basedOn w:val="DefaultParagraphFont"/>
    <w:link w:val="Heading1"/>
    <w:uiPriority w:val="9"/>
    <w:rsid w:val="00F01EC8"/>
    <w:rPr>
      <w:b/>
      <w:sz w:val="24"/>
      <w:lang w:eastAsia="en-US"/>
    </w:rPr>
  </w:style>
  <w:style w:type="paragraph" w:customStyle="1" w:styleId="msonormal0">
    <w:name w:val="msonormal"/>
    <w:basedOn w:val="Normal"/>
    <w:rsid w:val="00F01EC8"/>
    <w:pPr>
      <w:spacing w:before="100" w:beforeAutospacing="1" w:after="100" w:afterAutospacing="1"/>
    </w:pPr>
  </w:style>
  <w:style w:type="character" w:customStyle="1" w:styleId="CommentTextChar">
    <w:name w:val="Comment Text Char"/>
    <w:basedOn w:val="DefaultParagraphFont"/>
    <w:link w:val="CommentText"/>
    <w:uiPriority w:val="99"/>
    <w:semiHidden/>
    <w:rsid w:val="00F01EC8"/>
  </w:style>
  <w:style w:type="character" w:customStyle="1" w:styleId="HeaderChar">
    <w:name w:val="Header Char"/>
    <w:basedOn w:val="DefaultParagraphFont"/>
    <w:link w:val="Header"/>
    <w:uiPriority w:val="99"/>
    <w:rsid w:val="00F01EC8"/>
    <w:rPr>
      <w:sz w:val="24"/>
      <w:lang w:eastAsia="en-US"/>
    </w:rPr>
  </w:style>
  <w:style w:type="character" w:customStyle="1" w:styleId="CommentSubjectChar">
    <w:name w:val="Comment Subject Char"/>
    <w:basedOn w:val="CommentTextChar"/>
    <w:link w:val="CommentSubject"/>
    <w:uiPriority w:val="99"/>
    <w:semiHidden/>
    <w:rsid w:val="00F01EC8"/>
    <w:rPr>
      <w:b/>
      <w:bCs/>
    </w:rPr>
  </w:style>
  <w:style w:type="character" w:customStyle="1" w:styleId="BalloonTextChar">
    <w:name w:val="Balloon Text Char"/>
    <w:basedOn w:val="DefaultParagraphFont"/>
    <w:link w:val="BalloonText"/>
    <w:uiPriority w:val="99"/>
    <w:semiHidden/>
    <w:rsid w:val="00F01EC8"/>
    <w:rPr>
      <w:rFonts w:ascii="Tahoma" w:hAnsi="Tahoma" w:cs="Tahoma"/>
      <w:sz w:val="16"/>
      <w:szCs w:val="16"/>
    </w:rPr>
  </w:style>
  <w:style w:type="paragraph" w:customStyle="1" w:styleId="Pa22">
    <w:name w:val="Pa22"/>
    <w:basedOn w:val="Normal"/>
    <w:next w:val="Normal"/>
    <w:uiPriority w:val="99"/>
    <w:rsid w:val="00F01EC8"/>
    <w:pPr>
      <w:autoSpaceDE w:val="0"/>
      <w:autoSpaceDN w:val="0"/>
      <w:adjustRightInd w:val="0"/>
      <w:spacing w:line="171" w:lineRule="atLeast"/>
    </w:pPr>
    <w:rPr>
      <w:rFonts w:ascii="Graphik Medium" w:eastAsiaTheme="minorHAnsi" w:hAnsi="Graphik Medium" w:cstheme="minorBidi"/>
      <w:lang w:eastAsia="en-US"/>
    </w:rPr>
  </w:style>
  <w:style w:type="character" w:styleId="Strong">
    <w:name w:val="Strong"/>
    <w:basedOn w:val="DefaultParagraphFont"/>
    <w:uiPriority w:val="22"/>
    <w:qFormat/>
    <w:rsid w:val="00F01EC8"/>
    <w:rPr>
      <w:b/>
      <w:bCs/>
    </w:rPr>
  </w:style>
  <w:style w:type="paragraph" w:customStyle="1" w:styleId="TableParagraph">
    <w:name w:val="Table Paragraph"/>
    <w:basedOn w:val="Normal"/>
    <w:uiPriority w:val="1"/>
    <w:qFormat/>
    <w:rsid w:val="006A5B4B"/>
    <w:pPr>
      <w:widowControl w:val="0"/>
      <w:autoSpaceDE w:val="0"/>
      <w:autoSpaceDN w:val="0"/>
    </w:pPr>
    <w:rPr>
      <w:rFonts w:ascii="Graphik Light" w:eastAsia="Graphik Light" w:hAnsi="Graphik Light" w:cs="Graphik Light"/>
      <w:sz w:val="22"/>
      <w:szCs w:val="22"/>
      <w:lang w:bidi="en-GB"/>
    </w:rPr>
  </w:style>
  <w:style w:type="paragraph" w:customStyle="1" w:styleId="NtTextLevel1">
    <w:name w:val="Nt Text Level1"/>
    <w:basedOn w:val="Normal"/>
    <w:uiPriority w:val="99"/>
    <w:rsid w:val="00E7468E"/>
    <w:pPr>
      <w:autoSpaceDE w:val="0"/>
      <w:autoSpaceDN w:val="0"/>
      <w:ind w:left="403"/>
      <w:jc w:val="both"/>
    </w:pPr>
    <w:rPr>
      <w:rFonts w:ascii="Arial" w:eastAsiaTheme="minorHAnsi" w:hAnsi="Arial" w:cs="Arial"/>
      <w:color w:val="000000"/>
      <w:sz w:val="20"/>
      <w:szCs w:val="20"/>
    </w:rPr>
  </w:style>
  <w:style w:type="paragraph" w:customStyle="1" w:styleId="xmsolistparagraph">
    <w:name w:val="x_msolistparagraph"/>
    <w:basedOn w:val="Normal"/>
    <w:rsid w:val="00E7468E"/>
    <w:pPr>
      <w:spacing w:line="264" w:lineRule="auto"/>
      <w:ind w:left="527" w:hanging="357"/>
      <w:jc w:val="both"/>
    </w:pPr>
    <w:rPr>
      <w:rFonts w:ascii="Arial" w:eastAsiaTheme="minorHAnsi" w:hAnsi="Arial" w:cs="Arial"/>
      <w:sz w:val="22"/>
      <w:szCs w:val="22"/>
    </w:rPr>
  </w:style>
  <w:style w:type="paragraph" w:styleId="FootnoteText">
    <w:name w:val="footnote text"/>
    <w:basedOn w:val="Normal"/>
    <w:link w:val="FootnoteTextChar"/>
    <w:semiHidden/>
    <w:unhideWhenUsed/>
    <w:rsid w:val="00AA37D8"/>
    <w:rPr>
      <w:sz w:val="20"/>
      <w:szCs w:val="20"/>
    </w:rPr>
  </w:style>
  <w:style w:type="character" w:customStyle="1" w:styleId="FootnoteTextChar">
    <w:name w:val="Footnote Text Char"/>
    <w:basedOn w:val="DefaultParagraphFont"/>
    <w:link w:val="FootnoteText"/>
    <w:semiHidden/>
    <w:rsid w:val="00AA37D8"/>
  </w:style>
  <w:style w:type="character" w:styleId="FootnoteReference">
    <w:name w:val="footnote reference"/>
    <w:basedOn w:val="DefaultParagraphFont"/>
    <w:semiHidden/>
    <w:unhideWhenUsed/>
    <w:rsid w:val="00AA37D8"/>
    <w:rPr>
      <w:vertAlign w:val="superscript"/>
    </w:rPr>
  </w:style>
  <w:style w:type="paragraph" w:customStyle="1" w:styleId="Pa2">
    <w:name w:val="Pa2"/>
    <w:basedOn w:val="Default"/>
    <w:next w:val="Default"/>
    <w:uiPriority w:val="99"/>
    <w:rsid w:val="00F04225"/>
    <w:pPr>
      <w:spacing w:line="151" w:lineRule="atLeast"/>
    </w:pPr>
    <w:rPr>
      <w:rFonts w:ascii="Poppins Light" w:eastAsia="Times New Roman" w:hAnsi="Poppins Light" w:cs="Times New Roman"/>
      <w:color w:val="auto"/>
      <w:lang w:eastAsia="en-GB"/>
    </w:rPr>
  </w:style>
  <w:style w:type="character" w:customStyle="1" w:styleId="A71">
    <w:name w:val="A71"/>
    <w:uiPriority w:val="99"/>
    <w:rsid w:val="00F04225"/>
    <w:rPr>
      <w:rFonts w:cs="Poppins Light"/>
      <w:color w:val="211D1E"/>
      <w:sz w:val="15"/>
      <w:szCs w:val="15"/>
      <w:u w:val="single"/>
    </w:rPr>
  </w:style>
  <w:style w:type="character" w:styleId="UnresolvedMention">
    <w:name w:val="Unresolved Mention"/>
    <w:basedOn w:val="DefaultParagraphFont"/>
    <w:uiPriority w:val="99"/>
    <w:semiHidden/>
    <w:unhideWhenUsed/>
    <w:rsid w:val="000071DB"/>
    <w:rPr>
      <w:color w:val="605E5C"/>
      <w:shd w:val="clear" w:color="auto" w:fill="E1DFDD"/>
    </w:rPr>
  </w:style>
  <w:style w:type="paragraph" w:customStyle="1" w:styleId="Pa14">
    <w:name w:val="Pa14"/>
    <w:basedOn w:val="Default"/>
    <w:next w:val="Default"/>
    <w:uiPriority w:val="99"/>
    <w:rsid w:val="00607E22"/>
    <w:pPr>
      <w:spacing w:line="151" w:lineRule="atLeast"/>
    </w:pPr>
    <w:rPr>
      <w:rFonts w:ascii="Poppins Light" w:eastAsia="Times New Roman" w:hAnsi="Poppins Light" w:cs="Times New Roman"/>
      <w:color w:val="auto"/>
      <w:lang w:eastAsia="en-GB"/>
    </w:rPr>
  </w:style>
  <w:style w:type="character" w:customStyle="1" w:styleId="A24">
    <w:name w:val="A24"/>
    <w:uiPriority w:val="99"/>
    <w:rsid w:val="00607E22"/>
    <w:rPr>
      <w:rFonts w:cs="Poppins Light"/>
      <w:color w:val="000000"/>
      <w:sz w:val="15"/>
      <w:szCs w:val="15"/>
    </w:rPr>
  </w:style>
  <w:style w:type="paragraph" w:customStyle="1" w:styleId="Pa141">
    <w:name w:val="Pa14_1"/>
    <w:basedOn w:val="Default"/>
    <w:next w:val="Default"/>
    <w:uiPriority w:val="99"/>
    <w:rsid w:val="00607E22"/>
    <w:pPr>
      <w:spacing w:line="151" w:lineRule="atLeast"/>
    </w:pPr>
    <w:rPr>
      <w:rFonts w:ascii="Poppins Light" w:eastAsia="Times New Roman" w:hAnsi="Poppins Light" w:cs="Times New Roman"/>
      <w:color w:val="auto"/>
      <w:lang w:eastAsia="en-GB"/>
    </w:rPr>
  </w:style>
  <w:style w:type="character" w:styleId="Mention">
    <w:name w:val="Mention"/>
    <w:basedOn w:val="DefaultParagraphFont"/>
    <w:uiPriority w:val="99"/>
    <w:unhideWhenUsed/>
    <w:rsid w:val="00F93A71"/>
    <w:rPr>
      <w:color w:val="2B579A"/>
      <w:shd w:val="clear" w:color="auto" w:fill="E1DFDD"/>
    </w:rPr>
  </w:style>
  <w:style w:type="paragraph" w:customStyle="1" w:styleId="FigshdRTFigs">
    <w:name w:val="Figshd RT (Figs)"/>
    <w:basedOn w:val="Normal"/>
    <w:uiPriority w:val="99"/>
    <w:rsid w:val="00E027D1"/>
    <w:pPr>
      <w:tabs>
        <w:tab w:val="left" w:pos="751"/>
      </w:tabs>
      <w:suppressAutoHyphens/>
      <w:autoSpaceDE w:val="0"/>
      <w:autoSpaceDN w:val="0"/>
      <w:adjustRightInd w:val="0"/>
      <w:spacing w:line="160" w:lineRule="atLeast"/>
      <w:textAlignment w:val="center"/>
    </w:pPr>
    <w:rPr>
      <w:rFonts w:ascii="Poppins Light" w:hAnsi="Poppins Light" w:cs="Poppins Light"/>
      <w:color w:val="000000"/>
      <w:sz w:val="13"/>
      <w:szCs w:val="13"/>
    </w:rPr>
  </w:style>
  <w:style w:type="character" w:customStyle="1" w:styleId="TableFigsBold">
    <w:name w:val="Table Figs Bold"/>
    <w:uiPriority w:val="99"/>
    <w:rsid w:val="00E027D1"/>
    <w:rPr>
      <w:color w:val="3059FF"/>
    </w:rPr>
  </w:style>
  <w:style w:type="character" w:customStyle="1" w:styleId="TableTextBold">
    <w:name w:val="Table Text Bold"/>
    <w:uiPriority w:val="99"/>
    <w:rsid w:val="00E027D1"/>
    <w:rPr>
      <w:color w:val="000054"/>
    </w:rPr>
  </w:style>
  <w:style w:type="paragraph" w:customStyle="1" w:styleId="bodytext0">
    <w:name w:val="_body text"/>
    <w:basedOn w:val="Normal"/>
    <w:uiPriority w:val="99"/>
    <w:rsid w:val="008E2484"/>
    <w:pPr>
      <w:autoSpaceDE w:val="0"/>
      <w:autoSpaceDN w:val="0"/>
      <w:spacing w:after="120" w:line="200" w:lineRule="atLeast"/>
    </w:pPr>
    <w:rPr>
      <w:rFonts w:ascii="Arial" w:eastAsiaTheme="minorHAnsi" w:hAnsi="Arial" w:cs="Arial"/>
      <w:color w:val="000000"/>
      <w:sz w:val="18"/>
      <w:szCs w:val="18"/>
      <w:lang w:eastAsia="en-US"/>
    </w:rPr>
  </w:style>
  <w:style w:type="paragraph" w:customStyle="1" w:styleId="bullettext">
    <w:name w:val="_bullet text"/>
    <w:basedOn w:val="Normal"/>
    <w:uiPriority w:val="99"/>
    <w:rsid w:val="008E2484"/>
    <w:pPr>
      <w:autoSpaceDE w:val="0"/>
      <w:autoSpaceDN w:val="0"/>
      <w:spacing w:after="120" w:line="200" w:lineRule="atLeast"/>
      <w:ind w:left="284" w:hanging="284"/>
    </w:pPr>
    <w:rPr>
      <w:rFonts w:ascii="Arial" w:eastAsiaTheme="minorHAnsi" w:hAnsi="Arial" w:cs="Arial"/>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800">
      <w:bodyDiv w:val="1"/>
      <w:marLeft w:val="0"/>
      <w:marRight w:val="0"/>
      <w:marTop w:val="0"/>
      <w:marBottom w:val="0"/>
      <w:divBdr>
        <w:top w:val="none" w:sz="0" w:space="0" w:color="auto"/>
        <w:left w:val="none" w:sz="0" w:space="0" w:color="auto"/>
        <w:bottom w:val="none" w:sz="0" w:space="0" w:color="auto"/>
        <w:right w:val="none" w:sz="0" w:space="0" w:color="auto"/>
      </w:divBdr>
    </w:div>
    <w:div w:id="8260940">
      <w:bodyDiv w:val="1"/>
      <w:marLeft w:val="0"/>
      <w:marRight w:val="0"/>
      <w:marTop w:val="0"/>
      <w:marBottom w:val="0"/>
      <w:divBdr>
        <w:top w:val="none" w:sz="0" w:space="0" w:color="auto"/>
        <w:left w:val="none" w:sz="0" w:space="0" w:color="auto"/>
        <w:bottom w:val="none" w:sz="0" w:space="0" w:color="auto"/>
        <w:right w:val="none" w:sz="0" w:space="0" w:color="auto"/>
      </w:divBdr>
    </w:div>
    <w:div w:id="79759054">
      <w:bodyDiv w:val="1"/>
      <w:marLeft w:val="0"/>
      <w:marRight w:val="0"/>
      <w:marTop w:val="0"/>
      <w:marBottom w:val="0"/>
      <w:divBdr>
        <w:top w:val="none" w:sz="0" w:space="0" w:color="auto"/>
        <w:left w:val="none" w:sz="0" w:space="0" w:color="auto"/>
        <w:bottom w:val="none" w:sz="0" w:space="0" w:color="auto"/>
        <w:right w:val="none" w:sz="0" w:space="0" w:color="auto"/>
      </w:divBdr>
    </w:div>
    <w:div w:id="104231445">
      <w:bodyDiv w:val="1"/>
      <w:marLeft w:val="0"/>
      <w:marRight w:val="0"/>
      <w:marTop w:val="0"/>
      <w:marBottom w:val="0"/>
      <w:divBdr>
        <w:top w:val="none" w:sz="0" w:space="0" w:color="auto"/>
        <w:left w:val="none" w:sz="0" w:space="0" w:color="auto"/>
        <w:bottom w:val="none" w:sz="0" w:space="0" w:color="auto"/>
        <w:right w:val="none" w:sz="0" w:space="0" w:color="auto"/>
      </w:divBdr>
      <w:divsChild>
        <w:div w:id="357632394">
          <w:marLeft w:val="288"/>
          <w:marRight w:val="0"/>
          <w:marTop w:val="0"/>
          <w:marBottom w:val="170"/>
          <w:divBdr>
            <w:top w:val="none" w:sz="0" w:space="0" w:color="auto"/>
            <w:left w:val="none" w:sz="0" w:space="0" w:color="auto"/>
            <w:bottom w:val="none" w:sz="0" w:space="0" w:color="auto"/>
            <w:right w:val="none" w:sz="0" w:space="0" w:color="auto"/>
          </w:divBdr>
        </w:div>
      </w:divsChild>
    </w:div>
    <w:div w:id="171338060">
      <w:bodyDiv w:val="1"/>
      <w:marLeft w:val="0"/>
      <w:marRight w:val="0"/>
      <w:marTop w:val="0"/>
      <w:marBottom w:val="0"/>
      <w:divBdr>
        <w:top w:val="none" w:sz="0" w:space="0" w:color="auto"/>
        <w:left w:val="none" w:sz="0" w:space="0" w:color="auto"/>
        <w:bottom w:val="none" w:sz="0" w:space="0" w:color="auto"/>
        <w:right w:val="none" w:sz="0" w:space="0" w:color="auto"/>
      </w:divBdr>
    </w:div>
    <w:div w:id="173569360">
      <w:bodyDiv w:val="1"/>
      <w:marLeft w:val="0"/>
      <w:marRight w:val="0"/>
      <w:marTop w:val="0"/>
      <w:marBottom w:val="0"/>
      <w:divBdr>
        <w:top w:val="none" w:sz="0" w:space="0" w:color="auto"/>
        <w:left w:val="none" w:sz="0" w:space="0" w:color="auto"/>
        <w:bottom w:val="none" w:sz="0" w:space="0" w:color="auto"/>
        <w:right w:val="none" w:sz="0" w:space="0" w:color="auto"/>
      </w:divBdr>
    </w:div>
    <w:div w:id="174730321">
      <w:bodyDiv w:val="1"/>
      <w:marLeft w:val="0"/>
      <w:marRight w:val="0"/>
      <w:marTop w:val="0"/>
      <w:marBottom w:val="0"/>
      <w:divBdr>
        <w:top w:val="none" w:sz="0" w:space="0" w:color="auto"/>
        <w:left w:val="none" w:sz="0" w:space="0" w:color="auto"/>
        <w:bottom w:val="none" w:sz="0" w:space="0" w:color="auto"/>
        <w:right w:val="none" w:sz="0" w:space="0" w:color="auto"/>
      </w:divBdr>
    </w:div>
    <w:div w:id="182020613">
      <w:bodyDiv w:val="1"/>
      <w:marLeft w:val="0"/>
      <w:marRight w:val="0"/>
      <w:marTop w:val="0"/>
      <w:marBottom w:val="0"/>
      <w:divBdr>
        <w:top w:val="none" w:sz="0" w:space="0" w:color="auto"/>
        <w:left w:val="none" w:sz="0" w:space="0" w:color="auto"/>
        <w:bottom w:val="none" w:sz="0" w:space="0" w:color="auto"/>
        <w:right w:val="none" w:sz="0" w:space="0" w:color="auto"/>
      </w:divBdr>
    </w:div>
    <w:div w:id="216284370">
      <w:bodyDiv w:val="1"/>
      <w:marLeft w:val="0"/>
      <w:marRight w:val="0"/>
      <w:marTop w:val="0"/>
      <w:marBottom w:val="0"/>
      <w:divBdr>
        <w:top w:val="none" w:sz="0" w:space="0" w:color="auto"/>
        <w:left w:val="none" w:sz="0" w:space="0" w:color="auto"/>
        <w:bottom w:val="none" w:sz="0" w:space="0" w:color="auto"/>
        <w:right w:val="none" w:sz="0" w:space="0" w:color="auto"/>
      </w:divBdr>
    </w:div>
    <w:div w:id="262038372">
      <w:bodyDiv w:val="1"/>
      <w:marLeft w:val="0"/>
      <w:marRight w:val="0"/>
      <w:marTop w:val="0"/>
      <w:marBottom w:val="0"/>
      <w:divBdr>
        <w:top w:val="none" w:sz="0" w:space="0" w:color="auto"/>
        <w:left w:val="none" w:sz="0" w:space="0" w:color="auto"/>
        <w:bottom w:val="none" w:sz="0" w:space="0" w:color="auto"/>
        <w:right w:val="none" w:sz="0" w:space="0" w:color="auto"/>
      </w:divBdr>
    </w:div>
    <w:div w:id="268392376">
      <w:bodyDiv w:val="1"/>
      <w:marLeft w:val="0"/>
      <w:marRight w:val="0"/>
      <w:marTop w:val="0"/>
      <w:marBottom w:val="0"/>
      <w:divBdr>
        <w:top w:val="none" w:sz="0" w:space="0" w:color="auto"/>
        <w:left w:val="none" w:sz="0" w:space="0" w:color="auto"/>
        <w:bottom w:val="none" w:sz="0" w:space="0" w:color="auto"/>
        <w:right w:val="none" w:sz="0" w:space="0" w:color="auto"/>
      </w:divBdr>
    </w:div>
    <w:div w:id="303312814">
      <w:bodyDiv w:val="1"/>
      <w:marLeft w:val="0"/>
      <w:marRight w:val="0"/>
      <w:marTop w:val="0"/>
      <w:marBottom w:val="0"/>
      <w:divBdr>
        <w:top w:val="none" w:sz="0" w:space="0" w:color="auto"/>
        <w:left w:val="none" w:sz="0" w:space="0" w:color="auto"/>
        <w:bottom w:val="none" w:sz="0" w:space="0" w:color="auto"/>
        <w:right w:val="none" w:sz="0" w:space="0" w:color="auto"/>
      </w:divBdr>
    </w:div>
    <w:div w:id="309989575">
      <w:bodyDiv w:val="1"/>
      <w:marLeft w:val="0"/>
      <w:marRight w:val="0"/>
      <w:marTop w:val="0"/>
      <w:marBottom w:val="0"/>
      <w:divBdr>
        <w:top w:val="none" w:sz="0" w:space="0" w:color="auto"/>
        <w:left w:val="none" w:sz="0" w:space="0" w:color="auto"/>
        <w:bottom w:val="none" w:sz="0" w:space="0" w:color="auto"/>
        <w:right w:val="none" w:sz="0" w:space="0" w:color="auto"/>
      </w:divBdr>
    </w:div>
    <w:div w:id="352995639">
      <w:bodyDiv w:val="1"/>
      <w:marLeft w:val="0"/>
      <w:marRight w:val="0"/>
      <w:marTop w:val="0"/>
      <w:marBottom w:val="0"/>
      <w:divBdr>
        <w:top w:val="none" w:sz="0" w:space="0" w:color="auto"/>
        <w:left w:val="none" w:sz="0" w:space="0" w:color="auto"/>
        <w:bottom w:val="none" w:sz="0" w:space="0" w:color="auto"/>
        <w:right w:val="none" w:sz="0" w:space="0" w:color="auto"/>
      </w:divBdr>
    </w:div>
    <w:div w:id="394857943">
      <w:bodyDiv w:val="1"/>
      <w:marLeft w:val="0"/>
      <w:marRight w:val="0"/>
      <w:marTop w:val="0"/>
      <w:marBottom w:val="0"/>
      <w:divBdr>
        <w:top w:val="none" w:sz="0" w:space="0" w:color="auto"/>
        <w:left w:val="none" w:sz="0" w:space="0" w:color="auto"/>
        <w:bottom w:val="none" w:sz="0" w:space="0" w:color="auto"/>
        <w:right w:val="none" w:sz="0" w:space="0" w:color="auto"/>
      </w:divBdr>
    </w:div>
    <w:div w:id="401802284">
      <w:bodyDiv w:val="1"/>
      <w:marLeft w:val="0"/>
      <w:marRight w:val="0"/>
      <w:marTop w:val="0"/>
      <w:marBottom w:val="0"/>
      <w:divBdr>
        <w:top w:val="none" w:sz="0" w:space="0" w:color="auto"/>
        <w:left w:val="none" w:sz="0" w:space="0" w:color="auto"/>
        <w:bottom w:val="none" w:sz="0" w:space="0" w:color="auto"/>
        <w:right w:val="none" w:sz="0" w:space="0" w:color="auto"/>
      </w:divBdr>
    </w:div>
    <w:div w:id="456989605">
      <w:bodyDiv w:val="1"/>
      <w:marLeft w:val="0"/>
      <w:marRight w:val="0"/>
      <w:marTop w:val="0"/>
      <w:marBottom w:val="0"/>
      <w:divBdr>
        <w:top w:val="none" w:sz="0" w:space="0" w:color="auto"/>
        <w:left w:val="none" w:sz="0" w:space="0" w:color="auto"/>
        <w:bottom w:val="none" w:sz="0" w:space="0" w:color="auto"/>
        <w:right w:val="none" w:sz="0" w:space="0" w:color="auto"/>
      </w:divBdr>
    </w:div>
    <w:div w:id="473566789">
      <w:bodyDiv w:val="1"/>
      <w:marLeft w:val="0"/>
      <w:marRight w:val="0"/>
      <w:marTop w:val="0"/>
      <w:marBottom w:val="0"/>
      <w:divBdr>
        <w:top w:val="none" w:sz="0" w:space="0" w:color="auto"/>
        <w:left w:val="none" w:sz="0" w:space="0" w:color="auto"/>
        <w:bottom w:val="none" w:sz="0" w:space="0" w:color="auto"/>
        <w:right w:val="none" w:sz="0" w:space="0" w:color="auto"/>
      </w:divBdr>
    </w:div>
    <w:div w:id="478032295">
      <w:bodyDiv w:val="1"/>
      <w:marLeft w:val="0"/>
      <w:marRight w:val="0"/>
      <w:marTop w:val="0"/>
      <w:marBottom w:val="0"/>
      <w:divBdr>
        <w:top w:val="none" w:sz="0" w:space="0" w:color="auto"/>
        <w:left w:val="none" w:sz="0" w:space="0" w:color="auto"/>
        <w:bottom w:val="none" w:sz="0" w:space="0" w:color="auto"/>
        <w:right w:val="none" w:sz="0" w:space="0" w:color="auto"/>
      </w:divBdr>
    </w:div>
    <w:div w:id="530798164">
      <w:bodyDiv w:val="1"/>
      <w:marLeft w:val="0"/>
      <w:marRight w:val="0"/>
      <w:marTop w:val="0"/>
      <w:marBottom w:val="0"/>
      <w:divBdr>
        <w:top w:val="none" w:sz="0" w:space="0" w:color="auto"/>
        <w:left w:val="none" w:sz="0" w:space="0" w:color="auto"/>
        <w:bottom w:val="none" w:sz="0" w:space="0" w:color="auto"/>
        <w:right w:val="none" w:sz="0" w:space="0" w:color="auto"/>
      </w:divBdr>
    </w:div>
    <w:div w:id="536164539">
      <w:bodyDiv w:val="1"/>
      <w:marLeft w:val="0"/>
      <w:marRight w:val="0"/>
      <w:marTop w:val="0"/>
      <w:marBottom w:val="0"/>
      <w:divBdr>
        <w:top w:val="none" w:sz="0" w:space="0" w:color="auto"/>
        <w:left w:val="none" w:sz="0" w:space="0" w:color="auto"/>
        <w:bottom w:val="none" w:sz="0" w:space="0" w:color="auto"/>
        <w:right w:val="none" w:sz="0" w:space="0" w:color="auto"/>
      </w:divBdr>
    </w:div>
    <w:div w:id="574359727">
      <w:bodyDiv w:val="1"/>
      <w:marLeft w:val="0"/>
      <w:marRight w:val="0"/>
      <w:marTop w:val="0"/>
      <w:marBottom w:val="0"/>
      <w:divBdr>
        <w:top w:val="none" w:sz="0" w:space="0" w:color="auto"/>
        <w:left w:val="none" w:sz="0" w:space="0" w:color="auto"/>
        <w:bottom w:val="none" w:sz="0" w:space="0" w:color="auto"/>
        <w:right w:val="none" w:sz="0" w:space="0" w:color="auto"/>
      </w:divBdr>
    </w:div>
    <w:div w:id="575627158">
      <w:bodyDiv w:val="1"/>
      <w:marLeft w:val="0"/>
      <w:marRight w:val="0"/>
      <w:marTop w:val="0"/>
      <w:marBottom w:val="0"/>
      <w:divBdr>
        <w:top w:val="none" w:sz="0" w:space="0" w:color="auto"/>
        <w:left w:val="none" w:sz="0" w:space="0" w:color="auto"/>
        <w:bottom w:val="none" w:sz="0" w:space="0" w:color="auto"/>
        <w:right w:val="none" w:sz="0" w:space="0" w:color="auto"/>
      </w:divBdr>
    </w:div>
    <w:div w:id="619454934">
      <w:bodyDiv w:val="1"/>
      <w:marLeft w:val="0"/>
      <w:marRight w:val="0"/>
      <w:marTop w:val="0"/>
      <w:marBottom w:val="0"/>
      <w:divBdr>
        <w:top w:val="none" w:sz="0" w:space="0" w:color="auto"/>
        <w:left w:val="none" w:sz="0" w:space="0" w:color="auto"/>
        <w:bottom w:val="none" w:sz="0" w:space="0" w:color="auto"/>
        <w:right w:val="none" w:sz="0" w:space="0" w:color="auto"/>
      </w:divBdr>
    </w:div>
    <w:div w:id="726875094">
      <w:bodyDiv w:val="1"/>
      <w:marLeft w:val="0"/>
      <w:marRight w:val="0"/>
      <w:marTop w:val="0"/>
      <w:marBottom w:val="0"/>
      <w:divBdr>
        <w:top w:val="none" w:sz="0" w:space="0" w:color="auto"/>
        <w:left w:val="none" w:sz="0" w:space="0" w:color="auto"/>
        <w:bottom w:val="none" w:sz="0" w:space="0" w:color="auto"/>
        <w:right w:val="none" w:sz="0" w:space="0" w:color="auto"/>
      </w:divBdr>
    </w:div>
    <w:div w:id="781152717">
      <w:bodyDiv w:val="1"/>
      <w:marLeft w:val="0"/>
      <w:marRight w:val="0"/>
      <w:marTop w:val="0"/>
      <w:marBottom w:val="0"/>
      <w:divBdr>
        <w:top w:val="none" w:sz="0" w:space="0" w:color="auto"/>
        <w:left w:val="none" w:sz="0" w:space="0" w:color="auto"/>
        <w:bottom w:val="none" w:sz="0" w:space="0" w:color="auto"/>
        <w:right w:val="none" w:sz="0" w:space="0" w:color="auto"/>
      </w:divBdr>
    </w:div>
    <w:div w:id="781153056">
      <w:bodyDiv w:val="1"/>
      <w:marLeft w:val="0"/>
      <w:marRight w:val="0"/>
      <w:marTop w:val="0"/>
      <w:marBottom w:val="0"/>
      <w:divBdr>
        <w:top w:val="none" w:sz="0" w:space="0" w:color="auto"/>
        <w:left w:val="none" w:sz="0" w:space="0" w:color="auto"/>
        <w:bottom w:val="none" w:sz="0" w:space="0" w:color="auto"/>
        <w:right w:val="none" w:sz="0" w:space="0" w:color="auto"/>
      </w:divBdr>
    </w:div>
    <w:div w:id="864513303">
      <w:bodyDiv w:val="1"/>
      <w:marLeft w:val="0"/>
      <w:marRight w:val="0"/>
      <w:marTop w:val="0"/>
      <w:marBottom w:val="0"/>
      <w:divBdr>
        <w:top w:val="none" w:sz="0" w:space="0" w:color="auto"/>
        <w:left w:val="none" w:sz="0" w:space="0" w:color="auto"/>
        <w:bottom w:val="none" w:sz="0" w:space="0" w:color="auto"/>
        <w:right w:val="none" w:sz="0" w:space="0" w:color="auto"/>
      </w:divBdr>
    </w:div>
    <w:div w:id="886338483">
      <w:bodyDiv w:val="1"/>
      <w:marLeft w:val="0"/>
      <w:marRight w:val="0"/>
      <w:marTop w:val="0"/>
      <w:marBottom w:val="0"/>
      <w:divBdr>
        <w:top w:val="none" w:sz="0" w:space="0" w:color="auto"/>
        <w:left w:val="none" w:sz="0" w:space="0" w:color="auto"/>
        <w:bottom w:val="none" w:sz="0" w:space="0" w:color="auto"/>
        <w:right w:val="none" w:sz="0" w:space="0" w:color="auto"/>
      </w:divBdr>
    </w:div>
    <w:div w:id="897739915">
      <w:bodyDiv w:val="1"/>
      <w:marLeft w:val="0"/>
      <w:marRight w:val="0"/>
      <w:marTop w:val="0"/>
      <w:marBottom w:val="0"/>
      <w:divBdr>
        <w:top w:val="none" w:sz="0" w:space="0" w:color="auto"/>
        <w:left w:val="none" w:sz="0" w:space="0" w:color="auto"/>
        <w:bottom w:val="none" w:sz="0" w:space="0" w:color="auto"/>
        <w:right w:val="none" w:sz="0" w:space="0" w:color="auto"/>
      </w:divBdr>
    </w:div>
    <w:div w:id="928851259">
      <w:bodyDiv w:val="1"/>
      <w:marLeft w:val="0"/>
      <w:marRight w:val="0"/>
      <w:marTop w:val="0"/>
      <w:marBottom w:val="0"/>
      <w:divBdr>
        <w:top w:val="none" w:sz="0" w:space="0" w:color="auto"/>
        <w:left w:val="none" w:sz="0" w:space="0" w:color="auto"/>
        <w:bottom w:val="none" w:sz="0" w:space="0" w:color="auto"/>
        <w:right w:val="none" w:sz="0" w:space="0" w:color="auto"/>
      </w:divBdr>
    </w:div>
    <w:div w:id="948396803">
      <w:bodyDiv w:val="1"/>
      <w:marLeft w:val="0"/>
      <w:marRight w:val="0"/>
      <w:marTop w:val="0"/>
      <w:marBottom w:val="0"/>
      <w:divBdr>
        <w:top w:val="none" w:sz="0" w:space="0" w:color="auto"/>
        <w:left w:val="none" w:sz="0" w:space="0" w:color="auto"/>
        <w:bottom w:val="none" w:sz="0" w:space="0" w:color="auto"/>
        <w:right w:val="none" w:sz="0" w:space="0" w:color="auto"/>
      </w:divBdr>
    </w:div>
    <w:div w:id="955254072">
      <w:bodyDiv w:val="1"/>
      <w:marLeft w:val="0"/>
      <w:marRight w:val="0"/>
      <w:marTop w:val="0"/>
      <w:marBottom w:val="0"/>
      <w:divBdr>
        <w:top w:val="none" w:sz="0" w:space="0" w:color="auto"/>
        <w:left w:val="none" w:sz="0" w:space="0" w:color="auto"/>
        <w:bottom w:val="none" w:sz="0" w:space="0" w:color="auto"/>
        <w:right w:val="none" w:sz="0" w:space="0" w:color="auto"/>
      </w:divBdr>
    </w:div>
    <w:div w:id="959068013">
      <w:bodyDiv w:val="1"/>
      <w:marLeft w:val="0"/>
      <w:marRight w:val="0"/>
      <w:marTop w:val="0"/>
      <w:marBottom w:val="0"/>
      <w:divBdr>
        <w:top w:val="none" w:sz="0" w:space="0" w:color="auto"/>
        <w:left w:val="none" w:sz="0" w:space="0" w:color="auto"/>
        <w:bottom w:val="none" w:sz="0" w:space="0" w:color="auto"/>
        <w:right w:val="none" w:sz="0" w:space="0" w:color="auto"/>
      </w:divBdr>
    </w:div>
    <w:div w:id="970817480">
      <w:bodyDiv w:val="1"/>
      <w:marLeft w:val="0"/>
      <w:marRight w:val="0"/>
      <w:marTop w:val="0"/>
      <w:marBottom w:val="0"/>
      <w:divBdr>
        <w:top w:val="none" w:sz="0" w:space="0" w:color="auto"/>
        <w:left w:val="none" w:sz="0" w:space="0" w:color="auto"/>
        <w:bottom w:val="none" w:sz="0" w:space="0" w:color="auto"/>
        <w:right w:val="none" w:sz="0" w:space="0" w:color="auto"/>
      </w:divBdr>
    </w:div>
    <w:div w:id="978419119">
      <w:bodyDiv w:val="1"/>
      <w:marLeft w:val="0"/>
      <w:marRight w:val="0"/>
      <w:marTop w:val="0"/>
      <w:marBottom w:val="0"/>
      <w:divBdr>
        <w:top w:val="none" w:sz="0" w:space="0" w:color="auto"/>
        <w:left w:val="none" w:sz="0" w:space="0" w:color="auto"/>
        <w:bottom w:val="none" w:sz="0" w:space="0" w:color="auto"/>
        <w:right w:val="none" w:sz="0" w:space="0" w:color="auto"/>
      </w:divBdr>
    </w:div>
    <w:div w:id="1014187145">
      <w:bodyDiv w:val="1"/>
      <w:marLeft w:val="0"/>
      <w:marRight w:val="0"/>
      <w:marTop w:val="0"/>
      <w:marBottom w:val="0"/>
      <w:divBdr>
        <w:top w:val="none" w:sz="0" w:space="0" w:color="auto"/>
        <w:left w:val="none" w:sz="0" w:space="0" w:color="auto"/>
        <w:bottom w:val="none" w:sz="0" w:space="0" w:color="auto"/>
        <w:right w:val="none" w:sz="0" w:space="0" w:color="auto"/>
      </w:divBdr>
    </w:div>
    <w:div w:id="1026322461">
      <w:bodyDiv w:val="1"/>
      <w:marLeft w:val="0"/>
      <w:marRight w:val="0"/>
      <w:marTop w:val="0"/>
      <w:marBottom w:val="0"/>
      <w:divBdr>
        <w:top w:val="none" w:sz="0" w:space="0" w:color="auto"/>
        <w:left w:val="none" w:sz="0" w:space="0" w:color="auto"/>
        <w:bottom w:val="none" w:sz="0" w:space="0" w:color="auto"/>
        <w:right w:val="none" w:sz="0" w:space="0" w:color="auto"/>
      </w:divBdr>
    </w:div>
    <w:div w:id="1045563266">
      <w:bodyDiv w:val="1"/>
      <w:marLeft w:val="0"/>
      <w:marRight w:val="0"/>
      <w:marTop w:val="0"/>
      <w:marBottom w:val="0"/>
      <w:divBdr>
        <w:top w:val="none" w:sz="0" w:space="0" w:color="auto"/>
        <w:left w:val="none" w:sz="0" w:space="0" w:color="auto"/>
        <w:bottom w:val="none" w:sz="0" w:space="0" w:color="auto"/>
        <w:right w:val="none" w:sz="0" w:space="0" w:color="auto"/>
      </w:divBdr>
    </w:div>
    <w:div w:id="1060909231">
      <w:bodyDiv w:val="1"/>
      <w:marLeft w:val="0"/>
      <w:marRight w:val="0"/>
      <w:marTop w:val="0"/>
      <w:marBottom w:val="0"/>
      <w:divBdr>
        <w:top w:val="none" w:sz="0" w:space="0" w:color="auto"/>
        <w:left w:val="none" w:sz="0" w:space="0" w:color="auto"/>
        <w:bottom w:val="none" w:sz="0" w:space="0" w:color="auto"/>
        <w:right w:val="none" w:sz="0" w:space="0" w:color="auto"/>
      </w:divBdr>
    </w:div>
    <w:div w:id="1077289113">
      <w:bodyDiv w:val="1"/>
      <w:marLeft w:val="0"/>
      <w:marRight w:val="0"/>
      <w:marTop w:val="0"/>
      <w:marBottom w:val="0"/>
      <w:divBdr>
        <w:top w:val="none" w:sz="0" w:space="0" w:color="auto"/>
        <w:left w:val="none" w:sz="0" w:space="0" w:color="auto"/>
        <w:bottom w:val="none" w:sz="0" w:space="0" w:color="auto"/>
        <w:right w:val="none" w:sz="0" w:space="0" w:color="auto"/>
      </w:divBdr>
    </w:div>
    <w:div w:id="1090155648">
      <w:bodyDiv w:val="1"/>
      <w:marLeft w:val="0"/>
      <w:marRight w:val="0"/>
      <w:marTop w:val="0"/>
      <w:marBottom w:val="0"/>
      <w:divBdr>
        <w:top w:val="none" w:sz="0" w:space="0" w:color="auto"/>
        <w:left w:val="none" w:sz="0" w:space="0" w:color="auto"/>
        <w:bottom w:val="none" w:sz="0" w:space="0" w:color="auto"/>
        <w:right w:val="none" w:sz="0" w:space="0" w:color="auto"/>
      </w:divBdr>
    </w:div>
    <w:div w:id="1098871218">
      <w:bodyDiv w:val="1"/>
      <w:marLeft w:val="0"/>
      <w:marRight w:val="0"/>
      <w:marTop w:val="0"/>
      <w:marBottom w:val="0"/>
      <w:divBdr>
        <w:top w:val="none" w:sz="0" w:space="0" w:color="auto"/>
        <w:left w:val="none" w:sz="0" w:space="0" w:color="auto"/>
        <w:bottom w:val="none" w:sz="0" w:space="0" w:color="auto"/>
        <w:right w:val="none" w:sz="0" w:space="0" w:color="auto"/>
      </w:divBdr>
    </w:div>
    <w:div w:id="1110780373">
      <w:bodyDiv w:val="1"/>
      <w:marLeft w:val="0"/>
      <w:marRight w:val="0"/>
      <w:marTop w:val="0"/>
      <w:marBottom w:val="0"/>
      <w:divBdr>
        <w:top w:val="none" w:sz="0" w:space="0" w:color="auto"/>
        <w:left w:val="none" w:sz="0" w:space="0" w:color="auto"/>
        <w:bottom w:val="none" w:sz="0" w:space="0" w:color="auto"/>
        <w:right w:val="none" w:sz="0" w:space="0" w:color="auto"/>
      </w:divBdr>
    </w:div>
    <w:div w:id="1114594628">
      <w:bodyDiv w:val="1"/>
      <w:marLeft w:val="0"/>
      <w:marRight w:val="0"/>
      <w:marTop w:val="0"/>
      <w:marBottom w:val="0"/>
      <w:divBdr>
        <w:top w:val="none" w:sz="0" w:space="0" w:color="auto"/>
        <w:left w:val="none" w:sz="0" w:space="0" w:color="auto"/>
        <w:bottom w:val="none" w:sz="0" w:space="0" w:color="auto"/>
        <w:right w:val="none" w:sz="0" w:space="0" w:color="auto"/>
      </w:divBdr>
    </w:div>
    <w:div w:id="1144011578">
      <w:bodyDiv w:val="1"/>
      <w:marLeft w:val="0"/>
      <w:marRight w:val="0"/>
      <w:marTop w:val="0"/>
      <w:marBottom w:val="0"/>
      <w:divBdr>
        <w:top w:val="none" w:sz="0" w:space="0" w:color="auto"/>
        <w:left w:val="none" w:sz="0" w:space="0" w:color="auto"/>
        <w:bottom w:val="none" w:sz="0" w:space="0" w:color="auto"/>
        <w:right w:val="none" w:sz="0" w:space="0" w:color="auto"/>
      </w:divBdr>
    </w:div>
    <w:div w:id="1158110920">
      <w:bodyDiv w:val="1"/>
      <w:marLeft w:val="0"/>
      <w:marRight w:val="0"/>
      <w:marTop w:val="0"/>
      <w:marBottom w:val="0"/>
      <w:divBdr>
        <w:top w:val="none" w:sz="0" w:space="0" w:color="auto"/>
        <w:left w:val="none" w:sz="0" w:space="0" w:color="auto"/>
        <w:bottom w:val="none" w:sz="0" w:space="0" w:color="auto"/>
        <w:right w:val="none" w:sz="0" w:space="0" w:color="auto"/>
      </w:divBdr>
    </w:div>
    <w:div w:id="1245381076">
      <w:bodyDiv w:val="1"/>
      <w:marLeft w:val="0"/>
      <w:marRight w:val="0"/>
      <w:marTop w:val="0"/>
      <w:marBottom w:val="0"/>
      <w:divBdr>
        <w:top w:val="none" w:sz="0" w:space="0" w:color="auto"/>
        <w:left w:val="none" w:sz="0" w:space="0" w:color="auto"/>
        <w:bottom w:val="none" w:sz="0" w:space="0" w:color="auto"/>
        <w:right w:val="none" w:sz="0" w:space="0" w:color="auto"/>
      </w:divBdr>
      <w:divsChild>
        <w:div w:id="1203979691">
          <w:marLeft w:val="274"/>
          <w:marRight w:val="0"/>
          <w:marTop w:val="200"/>
          <w:marBottom w:val="0"/>
          <w:divBdr>
            <w:top w:val="none" w:sz="0" w:space="0" w:color="auto"/>
            <w:left w:val="none" w:sz="0" w:space="0" w:color="auto"/>
            <w:bottom w:val="none" w:sz="0" w:space="0" w:color="auto"/>
            <w:right w:val="none" w:sz="0" w:space="0" w:color="auto"/>
          </w:divBdr>
        </w:div>
      </w:divsChild>
    </w:div>
    <w:div w:id="1259830632">
      <w:bodyDiv w:val="1"/>
      <w:marLeft w:val="0"/>
      <w:marRight w:val="0"/>
      <w:marTop w:val="0"/>
      <w:marBottom w:val="0"/>
      <w:divBdr>
        <w:top w:val="none" w:sz="0" w:space="0" w:color="auto"/>
        <w:left w:val="none" w:sz="0" w:space="0" w:color="auto"/>
        <w:bottom w:val="none" w:sz="0" w:space="0" w:color="auto"/>
        <w:right w:val="none" w:sz="0" w:space="0" w:color="auto"/>
      </w:divBdr>
    </w:div>
    <w:div w:id="1313023386">
      <w:bodyDiv w:val="1"/>
      <w:marLeft w:val="0"/>
      <w:marRight w:val="0"/>
      <w:marTop w:val="0"/>
      <w:marBottom w:val="0"/>
      <w:divBdr>
        <w:top w:val="none" w:sz="0" w:space="0" w:color="auto"/>
        <w:left w:val="none" w:sz="0" w:space="0" w:color="auto"/>
        <w:bottom w:val="none" w:sz="0" w:space="0" w:color="auto"/>
        <w:right w:val="none" w:sz="0" w:space="0" w:color="auto"/>
      </w:divBdr>
    </w:div>
    <w:div w:id="1346252633">
      <w:bodyDiv w:val="1"/>
      <w:marLeft w:val="0"/>
      <w:marRight w:val="0"/>
      <w:marTop w:val="0"/>
      <w:marBottom w:val="0"/>
      <w:divBdr>
        <w:top w:val="none" w:sz="0" w:space="0" w:color="auto"/>
        <w:left w:val="none" w:sz="0" w:space="0" w:color="auto"/>
        <w:bottom w:val="none" w:sz="0" w:space="0" w:color="auto"/>
        <w:right w:val="none" w:sz="0" w:space="0" w:color="auto"/>
      </w:divBdr>
    </w:div>
    <w:div w:id="1361861941">
      <w:bodyDiv w:val="1"/>
      <w:marLeft w:val="0"/>
      <w:marRight w:val="0"/>
      <w:marTop w:val="0"/>
      <w:marBottom w:val="0"/>
      <w:divBdr>
        <w:top w:val="none" w:sz="0" w:space="0" w:color="auto"/>
        <w:left w:val="none" w:sz="0" w:space="0" w:color="auto"/>
        <w:bottom w:val="none" w:sz="0" w:space="0" w:color="auto"/>
        <w:right w:val="none" w:sz="0" w:space="0" w:color="auto"/>
      </w:divBdr>
    </w:div>
    <w:div w:id="1373073538">
      <w:bodyDiv w:val="1"/>
      <w:marLeft w:val="0"/>
      <w:marRight w:val="0"/>
      <w:marTop w:val="0"/>
      <w:marBottom w:val="0"/>
      <w:divBdr>
        <w:top w:val="none" w:sz="0" w:space="0" w:color="auto"/>
        <w:left w:val="none" w:sz="0" w:space="0" w:color="auto"/>
        <w:bottom w:val="none" w:sz="0" w:space="0" w:color="auto"/>
        <w:right w:val="none" w:sz="0" w:space="0" w:color="auto"/>
      </w:divBdr>
    </w:div>
    <w:div w:id="1396123327">
      <w:bodyDiv w:val="1"/>
      <w:marLeft w:val="0"/>
      <w:marRight w:val="0"/>
      <w:marTop w:val="0"/>
      <w:marBottom w:val="0"/>
      <w:divBdr>
        <w:top w:val="none" w:sz="0" w:space="0" w:color="auto"/>
        <w:left w:val="none" w:sz="0" w:space="0" w:color="auto"/>
        <w:bottom w:val="none" w:sz="0" w:space="0" w:color="auto"/>
        <w:right w:val="none" w:sz="0" w:space="0" w:color="auto"/>
      </w:divBdr>
    </w:div>
    <w:div w:id="1463425222">
      <w:bodyDiv w:val="1"/>
      <w:marLeft w:val="0"/>
      <w:marRight w:val="0"/>
      <w:marTop w:val="0"/>
      <w:marBottom w:val="0"/>
      <w:divBdr>
        <w:top w:val="none" w:sz="0" w:space="0" w:color="auto"/>
        <w:left w:val="none" w:sz="0" w:space="0" w:color="auto"/>
        <w:bottom w:val="none" w:sz="0" w:space="0" w:color="auto"/>
        <w:right w:val="none" w:sz="0" w:space="0" w:color="auto"/>
      </w:divBdr>
    </w:div>
    <w:div w:id="1540702288">
      <w:bodyDiv w:val="1"/>
      <w:marLeft w:val="0"/>
      <w:marRight w:val="0"/>
      <w:marTop w:val="0"/>
      <w:marBottom w:val="0"/>
      <w:divBdr>
        <w:top w:val="none" w:sz="0" w:space="0" w:color="auto"/>
        <w:left w:val="none" w:sz="0" w:space="0" w:color="auto"/>
        <w:bottom w:val="none" w:sz="0" w:space="0" w:color="auto"/>
        <w:right w:val="none" w:sz="0" w:space="0" w:color="auto"/>
      </w:divBdr>
    </w:div>
    <w:div w:id="1543590714">
      <w:bodyDiv w:val="1"/>
      <w:marLeft w:val="0"/>
      <w:marRight w:val="0"/>
      <w:marTop w:val="0"/>
      <w:marBottom w:val="0"/>
      <w:divBdr>
        <w:top w:val="none" w:sz="0" w:space="0" w:color="auto"/>
        <w:left w:val="none" w:sz="0" w:space="0" w:color="auto"/>
        <w:bottom w:val="none" w:sz="0" w:space="0" w:color="auto"/>
        <w:right w:val="none" w:sz="0" w:space="0" w:color="auto"/>
      </w:divBdr>
    </w:div>
    <w:div w:id="1557886837">
      <w:bodyDiv w:val="1"/>
      <w:marLeft w:val="0"/>
      <w:marRight w:val="0"/>
      <w:marTop w:val="0"/>
      <w:marBottom w:val="0"/>
      <w:divBdr>
        <w:top w:val="none" w:sz="0" w:space="0" w:color="auto"/>
        <w:left w:val="none" w:sz="0" w:space="0" w:color="auto"/>
        <w:bottom w:val="none" w:sz="0" w:space="0" w:color="auto"/>
        <w:right w:val="none" w:sz="0" w:space="0" w:color="auto"/>
      </w:divBdr>
    </w:div>
    <w:div w:id="1560628835">
      <w:bodyDiv w:val="1"/>
      <w:marLeft w:val="0"/>
      <w:marRight w:val="0"/>
      <w:marTop w:val="0"/>
      <w:marBottom w:val="0"/>
      <w:divBdr>
        <w:top w:val="none" w:sz="0" w:space="0" w:color="auto"/>
        <w:left w:val="none" w:sz="0" w:space="0" w:color="auto"/>
        <w:bottom w:val="none" w:sz="0" w:space="0" w:color="auto"/>
        <w:right w:val="none" w:sz="0" w:space="0" w:color="auto"/>
      </w:divBdr>
    </w:div>
    <w:div w:id="1602029373">
      <w:bodyDiv w:val="1"/>
      <w:marLeft w:val="0"/>
      <w:marRight w:val="0"/>
      <w:marTop w:val="0"/>
      <w:marBottom w:val="0"/>
      <w:divBdr>
        <w:top w:val="none" w:sz="0" w:space="0" w:color="auto"/>
        <w:left w:val="none" w:sz="0" w:space="0" w:color="auto"/>
        <w:bottom w:val="none" w:sz="0" w:space="0" w:color="auto"/>
        <w:right w:val="none" w:sz="0" w:space="0" w:color="auto"/>
      </w:divBdr>
    </w:div>
    <w:div w:id="1613781341">
      <w:bodyDiv w:val="1"/>
      <w:marLeft w:val="0"/>
      <w:marRight w:val="0"/>
      <w:marTop w:val="0"/>
      <w:marBottom w:val="0"/>
      <w:divBdr>
        <w:top w:val="none" w:sz="0" w:space="0" w:color="auto"/>
        <w:left w:val="none" w:sz="0" w:space="0" w:color="auto"/>
        <w:bottom w:val="none" w:sz="0" w:space="0" w:color="auto"/>
        <w:right w:val="none" w:sz="0" w:space="0" w:color="auto"/>
      </w:divBdr>
      <w:divsChild>
        <w:div w:id="1422944883">
          <w:marLeft w:val="446"/>
          <w:marRight w:val="0"/>
          <w:marTop w:val="0"/>
          <w:marBottom w:val="0"/>
          <w:divBdr>
            <w:top w:val="none" w:sz="0" w:space="0" w:color="auto"/>
            <w:left w:val="none" w:sz="0" w:space="0" w:color="auto"/>
            <w:bottom w:val="none" w:sz="0" w:space="0" w:color="auto"/>
            <w:right w:val="none" w:sz="0" w:space="0" w:color="auto"/>
          </w:divBdr>
        </w:div>
      </w:divsChild>
    </w:div>
    <w:div w:id="1645236154">
      <w:bodyDiv w:val="1"/>
      <w:marLeft w:val="0"/>
      <w:marRight w:val="0"/>
      <w:marTop w:val="0"/>
      <w:marBottom w:val="0"/>
      <w:divBdr>
        <w:top w:val="none" w:sz="0" w:space="0" w:color="auto"/>
        <w:left w:val="none" w:sz="0" w:space="0" w:color="auto"/>
        <w:bottom w:val="none" w:sz="0" w:space="0" w:color="auto"/>
        <w:right w:val="none" w:sz="0" w:space="0" w:color="auto"/>
      </w:divBdr>
    </w:div>
    <w:div w:id="1694064281">
      <w:bodyDiv w:val="1"/>
      <w:marLeft w:val="0"/>
      <w:marRight w:val="0"/>
      <w:marTop w:val="0"/>
      <w:marBottom w:val="0"/>
      <w:divBdr>
        <w:top w:val="none" w:sz="0" w:space="0" w:color="auto"/>
        <w:left w:val="none" w:sz="0" w:space="0" w:color="auto"/>
        <w:bottom w:val="none" w:sz="0" w:space="0" w:color="auto"/>
        <w:right w:val="none" w:sz="0" w:space="0" w:color="auto"/>
      </w:divBdr>
    </w:div>
    <w:div w:id="1697345678">
      <w:bodyDiv w:val="1"/>
      <w:marLeft w:val="0"/>
      <w:marRight w:val="0"/>
      <w:marTop w:val="0"/>
      <w:marBottom w:val="0"/>
      <w:divBdr>
        <w:top w:val="none" w:sz="0" w:space="0" w:color="auto"/>
        <w:left w:val="none" w:sz="0" w:space="0" w:color="auto"/>
        <w:bottom w:val="none" w:sz="0" w:space="0" w:color="auto"/>
        <w:right w:val="none" w:sz="0" w:space="0" w:color="auto"/>
      </w:divBdr>
    </w:div>
    <w:div w:id="1704089387">
      <w:bodyDiv w:val="1"/>
      <w:marLeft w:val="0"/>
      <w:marRight w:val="0"/>
      <w:marTop w:val="0"/>
      <w:marBottom w:val="0"/>
      <w:divBdr>
        <w:top w:val="none" w:sz="0" w:space="0" w:color="auto"/>
        <w:left w:val="none" w:sz="0" w:space="0" w:color="auto"/>
        <w:bottom w:val="none" w:sz="0" w:space="0" w:color="auto"/>
        <w:right w:val="none" w:sz="0" w:space="0" w:color="auto"/>
      </w:divBdr>
    </w:div>
    <w:div w:id="1713577176">
      <w:bodyDiv w:val="1"/>
      <w:marLeft w:val="0"/>
      <w:marRight w:val="0"/>
      <w:marTop w:val="0"/>
      <w:marBottom w:val="0"/>
      <w:divBdr>
        <w:top w:val="none" w:sz="0" w:space="0" w:color="auto"/>
        <w:left w:val="none" w:sz="0" w:space="0" w:color="auto"/>
        <w:bottom w:val="none" w:sz="0" w:space="0" w:color="auto"/>
        <w:right w:val="none" w:sz="0" w:space="0" w:color="auto"/>
      </w:divBdr>
    </w:div>
    <w:div w:id="1722747559">
      <w:bodyDiv w:val="1"/>
      <w:marLeft w:val="0"/>
      <w:marRight w:val="0"/>
      <w:marTop w:val="0"/>
      <w:marBottom w:val="0"/>
      <w:divBdr>
        <w:top w:val="none" w:sz="0" w:space="0" w:color="auto"/>
        <w:left w:val="none" w:sz="0" w:space="0" w:color="auto"/>
        <w:bottom w:val="none" w:sz="0" w:space="0" w:color="auto"/>
        <w:right w:val="none" w:sz="0" w:space="0" w:color="auto"/>
      </w:divBdr>
    </w:div>
    <w:div w:id="1727294221">
      <w:bodyDiv w:val="1"/>
      <w:marLeft w:val="0"/>
      <w:marRight w:val="0"/>
      <w:marTop w:val="0"/>
      <w:marBottom w:val="0"/>
      <w:divBdr>
        <w:top w:val="none" w:sz="0" w:space="0" w:color="auto"/>
        <w:left w:val="none" w:sz="0" w:space="0" w:color="auto"/>
        <w:bottom w:val="none" w:sz="0" w:space="0" w:color="auto"/>
        <w:right w:val="none" w:sz="0" w:space="0" w:color="auto"/>
      </w:divBdr>
    </w:div>
    <w:div w:id="1739589615">
      <w:bodyDiv w:val="1"/>
      <w:marLeft w:val="0"/>
      <w:marRight w:val="0"/>
      <w:marTop w:val="0"/>
      <w:marBottom w:val="0"/>
      <w:divBdr>
        <w:top w:val="none" w:sz="0" w:space="0" w:color="auto"/>
        <w:left w:val="none" w:sz="0" w:space="0" w:color="auto"/>
        <w:bottom w:val="none" w:sz="0" w:space="0" w:color="auto"/>
        <w:right w:val="none" w:sz="0" w:space="0" w:color="auto"/>
      </w:divBdr>
      <w:divsChild>
        <w:div w:id="1696227044">
          <w:marLeft w:val="274"/>
          <w:marRight w:val="0"/>
          <w:marTop w:val="200"/>
          <w:marBottom w:val="0"/>
          <w:divBdr>
            <w:top w:val="none" w:sz="0" w:space="0" w:color="auto"/>
            <w:left w:val="none" w:sz="0" w:space="0" w:color="auto"/>
            <w:bottom w:val="none" w:sz="0" w:space="0" w:color="auto"/>
            <w:right w:val="none" w:sz="0" w:space="0" w:color="auto"/>
          </w:divBdr>
        </w:div>
      </w:divsChild>
    </w:div>
    <w:div w:id="1761484000">
      <w:bodyDiv w:val="1"/>
      <w:marLeft w:val="0"/>
      <w:marRight w:val="0"/>
      <w:marTop w:val="0"/>
      <w:marBottom w:val="0"/>
      <w:divBdr>
        <w:top w:val="none" w:sz="0" w:space="0" w:color="auto"/>
        <w:left w:val="none" w:sz="0" w:space="0" w:color="auto"/>
        <w:bottom w:val="none" w:sz="0" w:space="0" w:color="auto"/>
        <w:right w:val="none" w:sz="0" w:space="0" w:color="auto"/>
      </w:divBdr>
    </w:div>
    <w:div w:id="1762989019">
      <w:bodyDiv w:val="1"/>
      <w:marLeft w:val="0"/>
      <w:marRight w:val="0"/>
      <w:marTop w:val="0"/>
      <w:marBottom w:val="0"/>
      <w:divBdr>
        <w:top w:val="none" w:sz="0" w:space="0" w:color="auto"/>
        <w:left w:val="none" w:sz="0" w:space="0" w:color="auto"/>
        <w:bottom w:val="none" w:sz="0" w:space="0" w:color="auto"/>
        <w:right w:val="none" w:sz="0" w:space="0" w:color="auto"/>
      </w:divBdr>
    </w:div>
    <w:div w:id="1787385577">
      <w:bodyDiv w:val="1"/>
      <w:marLeft w:val="0"/>
      <w:marRight w:val="0"/>
      <w:marTop w:val="0"/>
      <w:marBottom w:val="0"/>
      <w:divBdr>
        <w:top w:val="none" w:sz="0" w:space="0" w:color="auto"/>
        <w:left w:val="none" w:sz="0" w:space="0" w:color="auto"/>
        <w:bottom w:val="none" w:sz="0" w:space="0" w:color="auto"/>
        <w:right w:val="none" w:sz="0" w:space="0" w:color="auto"/>
      </w:divBdr>
    </w:div>
    <w:div w:id="1788693371">
      <w:bodyDiv w:val="1"/>
      <w:marLeft w:val="0"/>
      <w:marRight w:val="0"/>
      <w:marTop w:val="0"/>
      <w:marBottom w:val="0"/>
      <w:divBdr>
        <w:top w:val="none" w:sz="0" w:space="0" w:color="auto"/>
        <w:left w:val="none" w:sz="0" w:space="0" w:color="auto"/>
        <w:bottom w:val="none" w:sz="0" w:space="0" w:color="auto"/>
        <w:right w:val="none" w:sz="0" w:space="0" w:color="auto"/>
      </w:divBdr>
    </w:div>
    <w:div w:id="1828204421">
      <w:bodyDiv w:val="1"/>
      <w:marLeft w:val="0"/>
      <w:marRight w:val="0"/>
      <w:marTop w:val="0"/>
      <w:marBottom w:val="0"/>
      <w:divBdr>
        <w:top w:val="none" w:sz="0" w:space="0" w:color="auto"/>
        <w:left w:val="none" w:sz="0" w:space="0" w:color="auto"/>
        <w:bottom w:val="none" w:sz="0" w:space="0" w:color="auto"/>
        <w:right w:val="none" w:sz="0" w:space="0" w:color="auto"/>
      </w:divBdr>
    </w:div>
    <w:div w:id="1839151771">
      <w:bodyDiv w:val="1"/>
      <w:marLeft w:val="0"/>
      <w:marRight w:val="0"/>
      <w:marTop w:val="0"/>
      <w:marBottom w:val="0"/>
      <w:divBdr>
        <w:top w:val="none" w:sz="0" w:space="0" w:color="auto"/>
        <w:left w:val="none" w:sz="0" w:space="0" w:color="auto"/>
        <w:bottom w:val="none" w:sz="0" w:space="0" w:color="auto"/>
        <w:right w:val="none" w:sz="0" w:space="0" w:color="auto"/>
      </w:divBdr>
    </w:div>
    <w:div w:id="1875776155">
      <w:bodyDiv w:val="1"/>
      <w:marLeft w:val="0"/>
      <w:marRight w:val="0"/>
      <w:marTop w:val="0"/>
      <w:marBottom w:val="0"/>
      <w:divBdr>
        <w:top w:val="none" w:sz="0" w:space="0" w:color="auto"/>
        <w:left w:val="none" w:sz="0" w:space="0" w:color="auto"/>
        <w:bottom w:val="none" w:sz="0" w:space="0" w:color="auto"/>
        <w:right w:val="none" w:sz="0" w:space="0" w:color="auto"/>
      </w:divBdr>
    </w:div>
    <w:div w:id="1929803336">
      <w:bodyDiv w:val="1"/>
      <w:marLeft w:val="0"/>
      <w:marRight w:val="0"/>
      <w:marTop w:val="0"/>
      <w:marBottom w:val="0"/>
      <w:divBdr>
        <w:top w:val="none" w:sz="0" w:space="0" w:color="auto"/>
        <w:left w:val="none" w:sz="0" w:space="0" w:color="auto"/>
        <w:bottom w:val="none" w:sz="0" w:space="0" w:color="auto"/>
        <w:right w:val="none" w:sz="0" w:space="0" w:color="auto"/>
      </w:divBdr>
    </w:div>
    <w:div w:id="1932347720">
      <w:bodyDiv w:val="1"/>
      <w:marLeft w:val="0"/>
      <w:marRight w:val="0"/>
      <w:marTop w:val="0"/>
      <w:marBottom w:val="0"/>
      <w:divBdr>
        <w:top w:val="none" w:sz="0" w:space="0" w:color="auto"/>
        <w:left w:val="none" w:sz="0" w:space="0" w:color="auto"/>
        <w:bottom w:val="none" w:sz="0" w:space="0" w:color="auto"/>
        <w:right w:val="none" w:sz="0" w:space="0" w:color="auto"/>
      </w:divBdr>
    </w:div>
    <w:div w:id="1941331333">
      <w:bodyDiv w:val="1"/>
      <w:marLeft w:val="0"/>
      <w:marRight w:val="0"/>
      <w:marTop w:val="0"/>
      <w:marBottom w:val="0"/>
      <w:divBdr>
        <w:top w:val="none" w:sz="0" w:space="0" w:color="auto"/>
        <w:left w:val="none" w:sz="0" w:space="0" w:color="auto"/>
        <w:bottom w:val="none" w:sz="0" w:space="0" w:color="auto"/>
        <w:right w:val="none" w:sz="0" w:space="0" w:color="auto"/>
      </w:divBdr>
    </w:div>
    <w:div w:id="2020035167">
      <w:bodyDiv w:val="1"/>
      <w:marLeft w:val="0"/>
      <w:marRight w:val="0"/>
      <w:marTop w:val="0"/>
      <w:marBottom w:val="0"/>
      <w:divBdr>
        <w:top w:val="none" w:sz="0" w:space="0" w:color="auto"/>
        <w:left w:val="none" w:sz="0" w:space="0" w:color="auto"/>
        <w:bottom w:val="none" w:sz="0" w:space="0" w:color="auto"/>
        <w:right w:val="none" w:sz="0" w:space="0" w:color="auto"/>
      </w:divBdr>
    </w:div>
    <w:div w:id="2022976242">
      <w:bodyDiv w:val="1"/>
      <w:marLeft w:val="0"/>
      <w:marRight w:val="0"/>
      <w:marTop w:val="0"/>
      <w:marBottom w:val="0"/>
      <w:divBdr>
        <w:top w:val="none" w:sz="0" w:space="0" w:color="auto"/>
        <w:left w:val="none" w:sz="0" w:space="0" w:color="auto"/>
        <w:bottom w:val="none" w:sz="0" w:space="0" w:color="auto"/>
        <w:right w:val="none" w:sz="0" w:space="0" w:color="auto"/>
      </w:divBdr>
    </w:div>
    <w:div w:id="2045400669">
      <w:bodyDiv w:val="1"/>
      <w:marLeft w:val="0"/>
      <w:marRight w:val="0"/>
      <w:marTop w:val="0"/>
      <w:marBottom w:val="0"/>
      <w:divBdr>
        <w:top w:val="none" w:sz="0" w:space="0" w:color="auto"/>
        <w:left w:val="none" w:sz="0" w:space="0" w:color="auto"/>
        <w:bottom w:val="none" w:sz="0" w:space="0" w:color="auto"/>
        <w:right w:val="none" w:sz="0" w:space="0" w:color="auto"/>
      </w:divBdr>
      <w:divsChild>
        <w:div w:id="2070617190">
          <w:marLeft w:val="274"/>
          <w:marRight w:val="0"/>
          <w:marTop w:val="200"/>
          <w:marBottom w:val="0"/>
          <w:divBdr>
            <w:top w:val="none" w:sz="0" w:space="0" w:color="auto"/>
            <w:left w:val="none" w:sz="0" w:space="0" w:color="auto"/>
            <w:bottom w:val="none" w:sz="0" w:space="0" w:color="auto"/>
            <w:right w:val="none" w:sz="0" w:space="0" w:color="auto"/>
          </w:divBdr>
        </w:div>
      </w:divsChild>
    </w:div>
    <w:div w:id="2051298376">
      <w:bodyDiv w:val="1"/>
      <w:marLeft w:val="0"/>
      <w:marRight w:val="0"/>
      <w:marTop w:val="0"/>
      <w:marBottom w:val="0"/>
      <w:divBdr>
        <w:top w:val="none" w:sz="0" w:space="0" w:color="auto"/>
        <w:left w:val="none" w:sz="0" w:space="0" w:color="auto"/>
        <w:bottom w:val="none" w:sz="0" w:space="0" w:color="auto"/>
        <w:right w:val="none" w:sz="0" w:space="0" w:color="auto"/>
      </w:divBdr>
    </w:div>
    <w:div w:id="2057049205">
      <w:bodyDiv w:val="1"/>
      <w:marLeft w:val="0"/>
      <w:marRight w:val="0"/>
      <w:marTop w:val="0"/>
      <w:marBottom w:val="0"/>
      <w:divBdr>
        <w:top w:val="none" w:sz="0" w:space="0" w:color="auto"/>
        <w:left w:val="none" w:sz="0" w:space="0" w:color="auto"/>
        <w:bottom w:val="none" w:sz="0" w:space="0" w:color="auto"/>
        <w:right w:val="none" w:sz="0" w:space="0" w:color="auto"/>
      </w:divBdr>
    </w:div>
    <w:div w:id="2085176531">
      <w:bodyDiv w:val="1"/>
      <w:marLeft w:val="0"/>
      <w:marRight w:val="0"/>
      <w:marTop w:val="0"/>
      <w:marBottom w:val="0"/>
      <w:divBdr>
        <w:top w:val="none" w:sz="0" w:space="0" w:color="auto"/>
        <w:left w:val="none" w:sz="0" w:space="0" w:color="auto"/>
        <w:bottom w:val="none" w:sz="0" w:space="0" w:color="auto"/>
        <w:right w:val="none" w:sz="0" w:space="0" w:color="auto"/>
      </w:divBdr>
    </w:div>
    <w:div w:id="2102296364">
      <w:bodyDiv w:val="1"/>
      <w:marLeft w:val="0"/>
      <w:marRight w:val="0"/>
      <w:marTop w:val="0"/>
      <w:marBottom w:val="0"/>
      <w:divBdr>
        <w:top w:val="none" w:sz="0" w:space="0" w:color="auto"/>
        <w:left w:val="none" w:sz="0" w:space="0" w:color="auto"/>
        <w:bottom w:val="none" w:sz="0" w:space="0" w:color="auto"/>
        <w:right w:val="none" w:sz="0" w:space="0" w:color="auto"/>
      </w:divBdr>
    </w:div>
    <w:div w:id="211327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0F79191-17F6-4C5A-8E09-76F8686A7B21}">
  <we:reference id="aaaf9df8-c70b-49c3-b3ee-22b92523ec74" version="1.0.0.1" store="EXCatalog" storeType="EXCatalog"/>
  <we:alternateReferences>
    <we:reference id="WA200004023" version="1.0.0.1"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bef28e94-248e-454a-8534-20decc41487d">
      <Terms xmlns="http://schemas.microsoft.com/office/infopath/2007/PartnerControls"/>
    </lcf76f155ced4ddcb4097134ff3c332f>
    <_ip_UnifiedCompliancePolicyProperties xmlns="http://schemas.microsoft.com/sharepoint/v3" xsi:nil="true"/>
    <TaxCatchAll xmlns="cb086667-544a-49f0-9d42-1cc1ba74174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7BC98785A6C544ABF1D42769C06435" ma:contentTypeVersion="15" ma:contentTypeDescription="Create a new document." ma:contentTypeScope="" ma:versionID="24974213624d9b73fd826b713531aa1f">
  <xsd:schema xmlns:xsd="http://www.w3.org/2001/XMLSchema" xmlns:xs="http://www.w3.org/2001/XMLSchema" xmlns:p="http://schemas.microsoft.com/office/2006/metadata/properties" xmlns:ns1="http://schemas.microsoft.com/sharepoint/v3" xmlns:ns2="bef28e94-248e-454a-8534-20decc41487d" xmlns:ns3="cb086667-544a-49f0-9d42-1cc1ba741747" targetNamespace="http://schemas.microsoft.com/office/2006/metadata/properties" ma:root="true" ma:fieldsID="21847e54f83de8caf623745dbf5d124d" ns1:_="" ns2:_="" ns3:_="">
    <xsd:import namespace="http://schemas.microsoft.com/sharepoint/v3"/>
    <xsd:import namespace="bef28e94-248e-454a-8534-20decc41487d"/>
    <xsd:import namespace="cb086667-544a-49f0-9d42-1cc1ba741747"/>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f28e94-248e-454a-8534-20decc41487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cac793a9-347d-4481-abe9-16a2acff0899"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086667-544a-49f0-9d42-1cc1ba74174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b47d9d2b-a528-4187-b716-c95cec4d5155}" ma:internalName="TaxCatchAll" ma:showField="CatchAllData" ma:web="cb086667-544a-49f0-9d42-1cc1ba74174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35302-08EC-4B92-8C7D-A2720E69A37E}">
  <ds:schemaRefs>
    <ds:schemaRef ds:uri="http://schemas.microsoft.com/office/2006/metadata/properties"/>
    <ds:schemaRef ds:uri="http://schemas.microsoft.com/office/infopath/2007/PartnerControls"/>
    <ds:schemaRef ds:uri="http://schemas.microsoft.com/sharepoint/v3"/>
    <ds:schemaRef ds:uri="bef28e94-248e-454a-8534-20decc41487d"/>
    <ds:schemaRef ds:uri="cb086667-544a-49f0-9d42-1cc1ba741747"/>
  </ds:schemaRefs>
</ds:datastoreItem>
</file>

<file path=customXml/itemProps2.xml><?xml version="1.0" encoding="utf-8"?>
<ds:datastoreItem xmlns:ds="http://schemas.openxmlformats.org/officeDocument/2006/customXml" ds:itemID="{9D7CFE11-5FFF-441A-8C27-87834D5E7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f28e94-248e-454a-8534-20decc41487d"/>
    <ds:schemaRef ds:uri="cb086667-544a-49f0-9d42-1cc1ba7417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BBB73E-BD62-4BC0-9945-D8FB4BE8C8EC}">
  <ds:schemaRefs>
    <ds:schemaRef ds:uri="http://schemas.microsoft.com/sharepoint/v3/contenttype/forms"/>
  </ds:schemaRefs>
</ds:datastoreItem>
</file>

<file path=customXml/itemProps4.xml><?xml version="1.0" encoding="utf-8"?>
<ds:datastoreItem xmlns:ds="http://schemas.openxmlformats.org/officeDocument/2006/customXml" ds:itemID="{AE8EA74E-EB57-4EEB-914E-FFF7E1AAD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19877</Words>
  <Characters>113305</Characters>
  <Application>Microsoft Office Word</Application>
  <DocSecurity>0</DocSecurity>
  <Lines>944</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Jones (PF Investor Relations)</dc:creator>
  <cp:keywords/>
  <dc:description/>
  <cp:lastModifiedBy>Owen Jones (PF Investor Relations)</cp:lastModifiedBy>
  <cp:revision>2</cp:revision>
  <cp:lastPrinted>2023-04-01T15:19:00Z</cp:lastPrinted>
  <dcterms:created xsi:type="dcterms:W3CDTF">2023-03-30T18:15:00Z</dcterms:created>
  <dcterms:modified xsi:type="dcterms:W3CDTF">2023-03-30T18:15:00Z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2022-03-26T19:23:46Z</vt:lpwstr>
  </property>
  <property fmtid="{D5CDD505-2E9C-101B-9397-08002B2CF9AE}" pid="4" name="MSIP_Label_ea60d57e-af5b-4752-ac57-3e4f28ca11dc_Method">
    <vt:lpwstr>Privileged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e64211c6-490c-4a6f-b3a7-7121a1baa855</vt:lpwstr>
  </property>
  <property fmtid="{D5CDD505-2E9C-101B-9397-08002B2CF9AE}" pid="8" name="MSIP_Label_ea60d57e-af5b-4752-ac57-3e4f28ca11dc_ContentBits">
    <vt:lpwstr>0</vt:lpwstr>
  </property>
  <property fmtid="{D5CDD505-2E9C-101B-9397-08002B2CF9AE}" pid="9" name="ContentTypeId">
    <vt:lpwstr>0x010100E97BC98785A6C544ABF1D42769C06435</vt:lpwstr>
  </property>
  <property fmtid="{D5CDD505-2E9C-101B-9397-08002B2CF9AE}" pid="10" name="Order">
    <vt:r8>100</vt:r8>
  </property>
  <property fmtid="{D5CDD505-2E9C-101B-9397-08002B2CF9AE}" pid="11" name="MediaServiceImageTags">
    <vt:lpwstr/>
  </property>
  <property fmtid="{D5CDD505-2E9C-101B-9397-08002B2CF9AE}" pid="12" name="MSIP_Label_2595328a-955e-44b2-8fcc-1ffddffeddb2_Enabled">
    <vt:lpwstr>true</vt:lpwstr>
  </property>
  <property fmtid="{D5CDD505-2E9C-101B-9397-08002B2CF9AE}" pid="13" name="MSIP_Label_2595328a-955e-44b2-8fcc-1ffddffeddb2_SetDate">
    <vt:lpwstr>2023-02-27T14:18:44Z</vt:lpwstr>
  </property>
  <property fmtid="{D5CDD505-2E9C-101B-9397-08002B2CF9AE}" pid="14" name="MSIP_Label_2595328a-955e-44b2-8fcc-1ffddffeddb2_Method">
    <vt:lpwstr>Privileged</vt:lpwstr>
  </property>
  <property fmtid="{D5CDD505-2E9C-101B-9397-08002B2CF9AE}" pid="15" name="MSIP_Label_2595328a-955e-44b2-8fcc-1ffddffeddb2_Name">
    <vt:lpwstr>Highly Confidential</vt:lpwstr>
  </property>
  <property fmtid="{D5CDD505-2E9C-101B-9397-08002B2CF9AE}" pid="16" name="MSIP_Label_2595328a-955e-44b2-8fcc-1ffddffeddb2_SiteId">
    <vt:lpwstr>73984ebf-3c43-45de-900f-969cd50a6a65</vt:lpwstr>
  </property>
  <property fmtid="{D5CDD505-2E9C-101B-9397-08002B2CF9AE}" pid="17" name="MSIP_Label_2595328a-955e-44b2-8fcc-1ffddffeddb2_ActionId">
    <vt:lpwstr>061ad9f9-37a4-4f9f-a7c1-ec4dddef10b6</vt:lpwstr>
  </property>
  <property fmtid="{D5CDD505-2E9C-101B-9397-08002B2CF9AE}" pid="18" name="MSIP_Label_2595328a-955e-44b2-8fcc-1ffddffeddb2_ContentBits">
    <vt:lpwstr>0</vt:lpwstr>
  </property>
</Properties>
</file>